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DCC9E" w14:textId="77777777" w:rsidR="00035FFE" w:rsidRDefault="00035FFE" w:rsidP="00BF2A9F">
      <w:pPr>
        <w:tabs>
          <w:tab w:val="left" w:pos="567"/>
        </w:tabs>
        <w:adjustRightInd w:val="0"/>
        <w:snapToGrid w:val="0"/>
        <w:spacing w:line="360" w:lineRule="auto"/>
        <w:rPr>
          <w:rFonts w:ascii="Times New Roman" w:eastAsia="宋体" w:hAnsi="Times New Roman" w:cs="Times New Roman"/>
          <w:sz w:val="24"/>
          <w:szCs w:val="24"/>
        </w:rPr>
      </w:pPr>
    </w:p>
    <w:p w14:paraId="05EFA171" w14:textId="450C6991" w:rsidR="00747A3C" w:rsidRDefault="00747A3C" w:rsidP="00BF2A9F">
      <w:pPr>
        <w:tabs>
          <w:tab w:val="left" w:pos="567"/>
        </w:tabs>
        <w:adjustRightInd w:val="0"/>
        <w:snapToGrid w:val="0"/>
        <w:spacing w:line="360" w:lineRule="auto"/>
        <w:rPr>
          <w:rFonts w:ascii="Times New Roman" w:eastAsia="宋体" w:hAnsi="Times New Roman" w:cs="Times New Roman"/>
          <w:sz w:val="24"/>
          <w:szCs w:val="24"/>
        </w:rPr>
      </w:pPr>
    </w:p>
    <w:p w14:paraId="55112FEF" w14:textId="77777777" w:rsidR="00A07FB0" w:rsidRDefault="00A07FB0" w:rsidP="00BF2A9F">
      <w:pPr>
        <w:tabs>
          <w:tab w:val="left" w:pos="567"/>
        </w:tabs>
        <w:adjustRightInd w:val="0"/>
        <w:snapToGrid w:val="0"/>
        <w:spacing w:line="360" w:lineRule="auto"/>
        <w:rPr>
          <w:rFonts w:ascii="Times New Roman" w:eastAsia="宋体" w:hAnsi="Times New Roman" w:cs="Times New Roman"/>
          <w:sz w:val="24"/>
          <w:szCs w:val="24"/>
        </w:rPr>
      </w:pPr>
    </w:p>
    <w:p w14:paraId="0F68D365" w14:textId="77777777" w:rsidR="00A07FB0" w:rsidRDefault="00A07FB0" w:rsidP="00BF2A9F">
      <w:pPr>
        <w:tabs>
          <w:tab w:val="left" w:pos="567"/>
        </w:tabs>
        <w:adjustRightInd w:val="0"/>
        <w:snapToGrid w:val="0"/>
        <w:spacing w:line="360" w:lineRule="auto"/>
        <w:rPr>
          <w:rFonts w:ascii="Times New Roman" w:eastAsia="宋体" w:hAnsi="Times New Roman" w:cs="Times New Roman"/>
          <w:sz w:val="24"/>
          <w:szCs w:val="24"/>
        </w:rPr>
      </w:pPr>
    </w:p>
    <w:p w14:paraId="43828EED" w14:textId="77777777" w:rsidR="00A07FB0" w:rsidRDefault="00A07FB0" w:rsidP="00BF2A9F">
      <w:pPr>
        <w:tabs>
          <w:tab w:val="left" w:pos="567"/>
        </w:tabs>
        <w:adjustRightInd w:val="0"/>
        <w:snapToGrid w:val="0"/>
        <w:spacing w:line="360" w:lineRule="auto"/>
        <w:rPr>
          <w:rFonts w:ascii="Times New Roman" w:eastAsia="宋体" w:hAnsi="Times New Roman" w:cs="Times New Roman"/>
          <w:sz w:val="24"/>
          <w:szCs w:val="24"/>
        </w:rPr>
      </w:pPr>
    </w:p>
    <w:p w14:paraId="02B1EDA6" w14:textId="77777777" w:rsidR="00A07FB0" w:rsidRPr="00035FFE" w:rsidRDefault="00A07FB0" w:rsidP="00BF2A9F">
      <w:pPr>
        <w:tabs>
          <w:tab w:val="left" w:pos="567"/>
        </w:tabs>
        <w:adjustRightInd w:val="0"/>
        <w:snapToGrid w:val="0"/>
        <w:spacing w:line="360" w:lineRule="auto"/>
        <w:rPr>
          <w:rFonts w:ascii="Times New Roman" w:eastAsia="宋体" w:hAnsi="Times New Roman" w:cs="Times New Roman"/>
          <w:sz w:val="24"/>
          <w:szCs w:val="24"/>
        </w:rPr>
      </w:pPr>
    </w:p>
    <w:p w14:paraId="7EF69AB8" w14:textId="77777777" w:rsidR="003F51F7" w:rsidRPr="00096C71" w:rsidRDefault="003F51F7" w:rsidP="00BF2A9F">
      <w:pPr>
        <w:adjustRightInd w:val="0"/>
        <w:snapToGrid w:val="0"/>
        <w:spacing w:after="240" w:line="360" w:lineRule="auto"/>
        <w:jc w:val="center"/>
        <w:rPr>
          <w:rFonts w:ascii="Times New Roman" w:eastAsia="宋体" w:hAnsi="Times New Roman" w:cs="Times New Roman"/>
          <w:b/>
          <w:bCs/>
          <w:sz w:val="52"/>
          <w:szCs w:val="32"/>
        </w:rPr>
      </w:pPr>
      <w:r w:rsidRPr="00096C71">
        <w:rPr>
          <w:rFonts w:ascii="Times New Roman" w:eastAsia="宋体" w:hAnsi="Times New Roman" w:cs="Times New Roman"/>
          <w:b/>
          <w:bCs/>
          <w:sz w:val="52"/>
          <w:szCs w:val="32"/>
        </w:rPr>
        <w:t>上海科技大学物质科学与技术学院</w:t>
      </w:r>
    </w:p>
    <w:p w14:paraId="559A857F" w14:textId="77777777" w:rsidR="003F51F7" w:rsidRDefault="003F51F7" w:rsidP="00BF2A9F">
      <w:pPr>
        <w:adjustRightInd w:val="0"/>
        <w:snapToGrid w:val="0"/>
        <w:spacing w:before="240" w:after="240" w:line="360" w:lineRule="auto"/>
        <w:jc w:val="center"/>
        <w:rPr>
          <w:rFonts w:ascii="Times New Roman" w:eastAsia="宋体" w:hAnsi="Times New Roman" w:cs="Times New Roman"/>
          <w:b/>
          <w:bCs/>
          <w:sz w:val="52"/>
          <w:szCs w:val="32"/>
        </w:rPr>
      </w:pPr>
      <w:r w:rsidRPr="00096C71">
        <w:rPr>
          <w:rFonts w:ascii="Times New Roman" w:eastAsia="宋体" w:hAnsi="Times New Roman" w:cs="Times New Roman" w:hint="eastAsia"/>
          <w:b/>
          <w:bCs/>
          <w:sz w:val="52"/>
          <w:szCs w:val="32"/>
        </w:rPr>
        <w:t>本科</w:t>
      </w:r>
      <w:r w:rsidR="00A07FB0">
        <w:rPr>
          <w:rFonts w:ascii="Times New Roman" w:eastAsia="宋体" w:hAnsi="Times New Roman" w:cs="Times New Roman" w:hint="eastAsia"/>
          <w:b/>
          <w:bCs/>
          <w:sz w:val="52"/>
          <w:szCs w:val="32"/>
        </w:rPr>
        <w:t>生</w:t>
      </w:r>
      <w:r w:rsidRPr="00096C71">
        <w:rPr>
          <w:rFonts w:ascii="Times New Roman" w:eastAsia="宋体" w:hAnsi="Times New Roman" w:cs="Times New Roman" w:hint="eastAsia"/>
          <w:b/>
          <w:bCs/>
          <w:sz w:val="52"/>
          <w:szCs w:val="32"/>
        </w:rPr>
        <w:t>科研项目总结报告</w:t>
      </w:r>
    </w:p>
    <w:p w14:paraId="24004543" w14:textId="77777777" w:rsidR="003F51F7" w:rsidRPr="00096C71" w:rsidRDefault="003F51F7" w:rsidP="00BF2A9F">
      <w:pPr>
        <w:adjustRightInd w:val="0"/>
        <w:snapToGrid w:val="0"/>
        <w:spacing w:before="240" w:line="360" w:lineRule="auto"/>
        <w:jc w:val="center"/>
        <w:rPr>
          <w:rFonts w:ascii="Times New Roman" w:eastAsia="宋体" w:hAnsi="Times New Roman" w:cs="Times New Roman"/>
          <w:b/>
          <w:bCs/>
          <w:sz w:val="52"/>
          <w:szCs w:val="32"/>
        </w:rPr>
      </w:pPr>
    </w:p>
    <w:p w14:paraId="396DD2F0" w14:textId="77777777" w:rsidR="003F51F7" w:rsidRPr="00096C71" w:rsidRDefault="003F51F7" w:rsidP="00BF2A9F">
      <w:pPr>
        <w:adjustRightInd w:val="0"/>
        <w:snapToGrid w:val="0"/>
        <w:spacing w:before="240" w:line="360" w:lineRule="auto"/>
        <w:ind w:firstLineChars="500" w:firstLine="1606"/>
        <w:rPr>
          <w:rFonts w:ascii="Times New Roman" w:eastAsia="宋体" w:hAnsi="Times New Roman" w:cs="Times New Roman"/>
          <w:b/>
          <w:bCs/>
          <w:sz w:val="32"/>
          <w:szCs w:val="32"/>
          <w:u w:val="single"/>
        </w:rPr>
      </w:pPr>
      <w:r w:rsidRPr="00096C71">
        <w:rPr>
          <w:rFonts w:ascii="Times New Roman" w:eastAsia="宋体" w:hAnsi="Times New Roman" w:cs="Times New Roman"/>
          <w:b/>
          <w:bCs/>
          <w:sz w:val="32"/>
          <w:szCs w:val="32"/>
        </w:rPr>
        <w:t>学</w:t>
      </w:r>
      <w:r w:rsidRPr="00096C71">
        <w:rPr>
          <w:rFonts w:ascii="Times New Roman" w:eastAsia="宋体" w:hAnsi="Times New Roman" w:cs="Times New Roman" w:hint="eastAsia"/>
          <w:b/>
          <w:bCs/>
          <w:sz w:val="32"/>
          <w:szCs w:val="32"/>
        </w:rPr>
        <w:t xml:space="preserve">    </w:t>
      </w:r>
      <w:r w:rsidRPr="00096C71">
        <w:rPr>
          <w:rFonts w:ascii="Times New Roman" w:eastAsia="宋体" w:hAnsi="Times New Roman" w:cs="Times New Roman"/>
          <w:b/>
          <w:bCs/>
          <w:sz w:val="32"/>
          <w:szCs w:val="32"/>
        </w:rPr>
        <w:t>号</w:t>
      </w:r>
      <w:r w:rsidRPr="00096C71">
        <w:rPr>
          <w:rFonts w:ascii="Times New Roman" w:eastAsia="宋体" w:hAnsi="Times New Roman" w:cs="Times New Roman" w:hint="eastAsia"/>
          <w:b/>
          <w:bCs/>
          <w:sz w:val="32"/>
          <w:szCs w:val="32"/>
        </w:rPr>
        <w:t xml:space="preserve"> </w:t>
      </w:r>
      <w:r w:rsidRPr="00096C71">
        <w:rPr>
          <w:rFonts w:ascii="Times New Roman" w:eastAsia="宋体" w:hAnsi="Times New Roman" w:cs="Times New Roman"/>
          <w:b/>
          <w:bCs/>
          <w:sz w:val="32"/>
          <w:szCs w:val="32"/>
          <w:u w:val="single"/>
        </w:rPr>
        <w:t xml:space="preserve">                       </w:t>
      </w:r>
      <w:bookmarkStart w:id="0" w:name="_GoBack"/>
      <w:bookmarkEnd w:id="0"/>
    </w:p>
    <w:p w14:paraId="4542127C" w14:textId="77777777" w:rsidR="003F51F7" w:rsidRPr="00096C71" w:rsidRDefault="003F51F7" w:rsidP="00BF2A9F">
      <w:pPr>
        <w:adjustRightInd w:val="0"/>
        <w:snapToGrid w:val="0"/>
        <w:spacing w:before="240" w:line="360" w:lineRule="auto"/>
        <w:ind w:firstLineChars="500" w:firstLine="1606"/>
        <w:jc w:val="left"/>
        <w:rPr>
          <w:rFonts w:ascii="Times New Roman" w:eastAsia="宋体" w:hAnsi="Times New Roman" w:cs="Times New Roman"/>
          <w:b/>
          <w:bCs/>
          <w:sz w:val="32"/>
          <w:szCs w:val="32"/>
          <w:u w:val="single"/>
        </w:rPr>
      </w:pPr>
      <w:r w:rsidRPr="00096C71">
        <w:rPr>
          <w:rFonts w:ascii="Times New Roman" w:eastAsia="宋体" w:hAnsi="Times New Roman" w:cs="Times New Roman" w:hint="eastAsia"/>
          <w:b/>
          <w:bCs/>
          <w:sz w:val="32"/>
          <w:szCs w:val="32"/>
        </w:rPr>
        <w:t>姓</w:t>
      </w:r>
      <w:r w:rsidRPr="00096C71">
        <w:rPr>
          <w:rFonts w:ascii="Times New Roman" w:eastAsia="宋体" w:hAnsi="Times New Roman" w:cs="Times New Roman" w:hint="eastAsia"/>
          <w:b/>
          <w:bCs/>
          <w:sz w:val="32"/>
          <w:szCs w:val="32"/>
        </w:rPr>
        <w:t xml:space="preserve">    </w:t>
      </w:r>
      <w:r w:rsidRPr="00096C71">
        <w:rPr>
          <w:rFonts w:ascii="Times New Roman" w:eastAsia="宋体" w:hAnsi="Times New Roman" w:cs="Times New Roman" w:hint="eastAsia"/>
          <w:b/>
          <w:bCs/>
          <w:sz w:val="32"/>
          <w:szCs w:val="32"/>
        </w:rPr>
        <w:t>名</w:t>
      </w:r>
      <w:r w:rsidRPr="00096C71">
        <w:rPr>
          <w:rFonts w:ascii="Times New Roman" w:eastAsia="宋体" w:hAnsi="Times New Roman" w:cs="Times New Roman"/>
          <w:b/>
          <w:bCs/>
          <w:sz w:val="32"/>
          <w:szCs w:val="32"/>
        </w:rPr>
        <w:t xml:space="preserve"> </w:t>
      </w:r>
      <w:r w:rsidRPr="00096C71">
        <w:rPr>
          <w:rFonts w:ascii="Times New Roman" w:eastAsia="宋体" w:hAnsi="Times New Roman" w:cs="Times New Roman"/>
          <w:b/>
          <w:bCs/>
          <w:sz w:val="32"/>
          <w:szCs w:val="32"/>
          <w:u w:val="single"/>
        </w:rPr>
        <w:t xml:space="preserve">                       </w:t>
      </w:r>
    </w:p>
    <w:p w14:paraId="12CBFBF6" w14:textId="77777777" w:rsidR="003F51F7" w:rsidRPr="00096C71" w:rsidRDefault="003F51F7" w:rsidP="00BF2A9F">
      <w:pPr>
        <w:adjustRightInd w:val="0"/>
        <w:snapToGrid w:val="0"/>
        <w:spacing w:before="240" w:line="360" w:lineRule="auto"/>
        <w:ind w:firstLineChars="500" w:firstLine="1606"/>
        <w:jc w:val="left"/>
        <w:rPr>
          <w:rFonts w:ascii="Times New Roman" w:eastAsia="宋体" w:hAnsi="Times New Roman" w:cs="Times New Roman"/>
          <w:b/>
          <w:bCs/>
          <w:sz w:val="32"/>
          <w:szCs w:val="32"/>
          <w:u w:val="single"/>
        </w:rPr>
      </w:pPr>
      <w:r w:rsidRPr="00096C71">
        <w:rPr>
          <w:rFonts w:ascii="Times New Roman" w:eastAsia="宋体" w:hAnsi="Times New Roman" w:cs="Times New Roman"/>
          <w:b/>
          <w:bCs/>
          <w:sz w:val="32"/>
          <w:szCs w:val="32"/>
        </w:rPr>
        <w:t>专</w:t>
      </w:r>
      <w:r w:rsidR="004D0B52">
        <w:rPr>
          <w:rFonts w:ascii="Times New Roman" w:eastAsia="宋体" w:hAnsi="Times New Roman" w:cs="Times New Roman" w:hint="eastAsia"/>
          <w:b/>
          <w:bCs/>
          <w:sz w:val="32"/>
          <w:szCs w:val="32"/>
        </w:rPr>
        <w:t xml:space="preserve"> </w:t>
      </w:r>
      <w:r w:rsidR="004D0B52">
        <w:rPr>
          <w:rFonts w:ascii="Times New Roman" w:eastAsia="宋体" w:hAnsi="Times New Roman" w:cs="Times New Roman"/>
          <w:b/>
          <w:bCs/>
          <w:sz w:val="32"/>
          <w:szCs w:val="32"/>
        </w:rPr>
        <w:t xml:space="preserve">   </w:t>
      </w:r>
      <w:r w:rsidRPr="00096C71">
        <w:rPr>
          <w:rFonts w:ascii="Times New Roman" w:eastAsia="宋体" w:hAnsi="Times New Roman" w:cs="Times New Roman"/>
          <w:b/>
          <w:bCs/>
          <w:sz w:val="32"/>
          <w:szCs w:val="32"/>
        </w:rPr>
        <w:t>业</w:t>
      </w:r>
      <w:r w:rsidRPr="00096C71">
        <w:rPr>
          <w:rFonts w:ascii="Times New Roman" w:eastAsia="宋体" w:hAnsi="Times New Roman" w:cs="Times New Roman" w:hint="eastAsia"/>
          <w:b/>
          <w:bCs/>
          <w:sz w:val="32"/>
          <w:szCs w:val="32"/>
        </w:rPr>
        <w:t xml:space="preserve"> </w:t>
      </w:r>
      <w:r w:rsidRPr="00096C71">
        <w:rPr>
          <w:rFonts w:ascii="Times New Roman" w:eastAsia="宋体" w:hAnsi="Times New Roman" w:cs="Times New Roman" w:hint="eastAsia"/>
          <w:b/>
          <w:bCs/>
          <w:sz w:val="32"/>
          <w:szCs w:val="32"/>
          <w:u w:val="single"/>
        </w:rPr>
        <w:t xml:space="preserve">             </w:t>
      </w:r>
      <w:r w:rsidRPr="00096C71">
        <w:rPr>
          <w:rFonts w:ascii="Times New Roman" w:eastAsia="宋体" w:hAnsi="Times New Roman" w:cs="Times New Roman"/>
          <w:b/>
          <w:bCs/>
          <w:sz w:val="32"/>
          <w:szCs w:val="32"/>
          <w:u w:val="single"/>
        </w:rPr>
        <w:t xml:space="preserve">          </w:t>
      </w:r>
    </w:p>
    <w:p w14:paraId="368DC8D6" w14:textId="77777777" w:rsidR="003F51F7" w:rsidRPr="00096C71" w:rsidRDefault="003F51F7" w:rsidP="00BF2A9F">
      <w:pPr>
        <w:adjustRightInd w:val="0"/>
        <w:snapToGrid w:val="0"/>
        <w:spacing w:before="240" w:line="360" w:lineRule="auto"/>
        <w:ind w:firstLineChars="500" w:firstLine="1606"/>
        <w:jc w:val="left"/>
        <w:rPr>
          <w:rFonts w:ascii="Times New Roman" w:eastAsia="宋体" w:hAnsi="Times New Roman" w:cs="Times New Roman"/>
          <w:b/>
          <w:bCs/>
          <w:sz w:val="32"/>
          <w:szCs w:val="32"/>
          <w:u w:val="single"/>
        </w:rPr>
      </w:pPr>
      <w:r w:rsidRPr="00096C71">
        <w:rPr>
          <w:rFonts w:ascii="Times New Roman" w:eastAsia="宋体" w:hAnsi="Times New Roman" w:cs="Times New Roman"/>
          <w:b/>
          <w:bCs/>
          <w:sz w:val="32"/>
          <w:szCs w:val="32"/>
        </w:rPr>
        <w:t>入学年月</w:t>
      </w:r>
      <w:r w:rsidRPr="00096C71">
        <w:rPr>
          <w:rFonts w:ascii="Times New Roman" w:eastAsia="宋体" w:hAnsi="Times New Roman" w:cs="Times New Roman" w:hint="eastAsia"/>
          <w:b/>
          <w:bCs/>
          <w:sz w:val="32"/>
          <w:szCs w:val="32"/>
        </w:rPr>
        <w:t xml:space="preserve"> </w:t>
      </w:r>
      <w:r w:rsidRPr="00096C71">
        <w:rPr>
          <w:rFonts w:ascii="Times New Roman" w:eastAsia="宋体" w:hAnsi="Times New Roman" w:cs="Times New Roman" w:hint="eastAsia"/>
          <w:b/>
          <w:bCs/>
          <w:sz w:val="32"/>
          <w:szCs w:val="32"/>
          <w:u w:val="single"/>
        </w:rPr>
        <w:t xml:space="preserve">             </w:t>
      </w:r>
      <w:r w:rsidRPr="00096C71">
        <w:rPr>
          <w:rFonts w:ascii="Times New Roman" w:eastAsia="宋体" w:hAnsi="Times New Roman" w:cs="Times New Roman"/>
          <w:b/>
          <w:bCs/>
          <w:sz w:val="32"/>
          <w:szCs w:val="32"/>
          <w:u w:val="single"/>
        </w:rPr>
        <w:t xml:space="preserve">          </w:t>
      </w:r>
    </w:p>
    <w:p w14:paraId="785E839E" w14:textId="77777777" w:rsidR="003F51F7" w:rsidRPr="00096C71" w:rsidRDefault="003F51F7" w:rsidP="00BF2A9F">
      <w:pPr>
        <w:adjustRightInd w:val="0"/>
        <w:snapToGrid w:val="0"/>
        <w:spacing w:before="240" w:line="360" w:lineRule="auto"/>
        <w:ind w:firstLineChars="500" w:firstLine="1606"/>
        <w:jc w:val="left"/>
        <w:rPr>
          <w:rFonts w:ascii="Times New Roman" w:eastAsia="宋体" w:hAnsi="Times New Roman" w:cs="Times New Roman"/>
          <w:b/>
          <w:bCs/>
          <w:sz w:val="32"/>
          <w:szCs w:val="32"/>
          <w:u w:val="single"/>
        </w:rPr>
      </w:pPr>
      <w:r w:rsidRPr="00096C71">
        <w:rPr>
          <w:rFonts w:ascii="Times New Roman" w:eastAsia="宋体" w:hAnsi="Times New Roman" w:cs="Times New Roman"/>
          <w:b/>
          <w:bCs/>
          <w:sz w:val="32"/>
          <w:szCs w:val="32"/>
        </w:rPr>
        <w:t>题</w:t>
      </w:r>
      <w:r w:rsidRPr="00096C71">
        <w:rPr>
          <w:rFonts w:ascii="Times New Roman" w:eastAsia="宋体" w:hAnsi="Times New Roman" w:cs="Times New Roman" w:hint="eastAsia"/>
          <w:b/>
          <w:bCs/>
          <w:sz w:val="32"/>
          <w:szCs w:val="32"/>
        </w:rPr>
        <w:t xml:space="preserve">    </w:t>
      </w:r>
      <w:r w:rsidRPr="00096C71">
        <w:rPr>
          <w:rFonts w:ascii="Times New Roman" w:eastAsia="宋体" w:hAnsi="Times New Roman" w:cs="Times New Roman"/>
          <w:b/>
          <w:bCs/>
          <w:sz w:val="32"/>
          <w:szCs w:val="32"/>
        </w:rPr>
        <w:t>目</w:t>
      </w:r>
      <w:r w:rsidRPr="00096C71">
        <w:rPr>
          <w:rFonts w:ascii="Times New Roman" w:eastAsia="宋体" w:hAnsi="Times New Roman" w:cs="Times New Roman" w:hint="eastAsia"/>
          <w:b/>
          <w:bCs/>
          <w:sz w:val="32"/>
          <w:szCs w:val="32"/>
        </w:rPr>
        <w:t xml:space="preserve"> </w:t>
      </w:r>
      <w:r w:rsidRPr="00096C71">
        <w:rPr>
          <w:rFonts w:ascii="Times New Roman" w:eastAsia="宋体" w:hAnsi="Times New Roman" w:cs="Times New Roman"/>
          <w:b/>
          <w:bCs/>
          <w:sz w:val="32"/>
          <w:szCs w:val="32"/>
          <w:u w:val="single"/>
        </w:rPr>
        <w:t xml:space="preserve">                       </w:t>
      </w:r>
    </w:p>
    <w:p w14:paraId="5CEC4859" w14:textId="77777777" w:rsidR="003F51F7" w:rsidRPr="00096C71" w:rsidRDefault="003F51F7" w:rsidP="00BF2A9F">
      <w:pPr>
        <w:adjustRightInd w:val="0"/>
        <w:snapToGrid w:val="0"/>
        <w:spacing w:before="240" w:line="360" w:lineRule="auto"/>
        <w:ind w:firstLineChars="500" w:firstLine="1606"/>
        <w:jc w:val="left"/>
        <w:rPr>
          <w:rFonts w:ascii="Times New Roman" w:eastAsia="宋体" w:hAnsi="Times New Roman" w:cs="Times New Roman"/>
          <w:b/>
          <w:bCs/>
          <w:sz w:val="32"/>
          <w:szCs w:val="32"/>
          <w:u w:val="single"/>
        </w:rPr>
      </w:pPr>
      <w:r w:rsidRPr="00096C71">
        <w:rPr>
          <w:rFonts w:ascii="Times New Roman" w:eastAsia="宋体" w:hAnsi="Times New Roman" w:cs="Times New Roman"/>
          <w:b/>
          <w:bCs/>
          <w:sz w:val="32"/>
          <w:szCs w:val="32"/>
        </w:rPr>
        <w:t>学分认定</w:t>
      </w:r>
      <w:r w:rsidRPr="00096C71">
        <w:rPr>
          <w:rFonts w:ascii="Times New Roman" w:eastAsia="宋体" w:hAnsi="Times New Roman" w:cs="Times New Roman" w:hint="eastAsia"/>
          <w:b/>
          <w:bCs/>
          <w:sz w:val="32"/>
          <w:szCs w:val="32"/>
        </w:rPr>
        <w:t xml:space="preserve"> </w:t>
      </w:r>
      <w:r w:rsidRPr="00096C71">
        <w:rPr>
          <w:rFonts w:ascii="宋体" w:eastAsia="宋体" w:hAnsi="宋体" w:cs="Times New Roman" w:hint="eastAsia"/>
          <w:b/>
          <w:bCs/>
          <w:sz w:val="32"/>
          <w:szCs w:val="32"/>
          <w:u w:val="single"/>
        </w:rPr>
        <w:t>□</w:t>
      </w:r>
      <w:r w:rsidRPr="00096C71">
        <w:rPr>
          <w:rFonts w:ascii="Times New Roman" w:eastAsia="宋体" w:hAnsi="Times New Roman" w:cs="Times New Roman"/>
          <w:b/>
          <w:bCs/>
          <w:sz w:val="32"/>
          <w:szCs w:val="32"/>
          <w:u w:val="single"/>
        </w:rPr>
        <w:t xml:space="preserve">1  </w:t>
      </w:r>
      <w:r w:rsidRPr="00096C71">
        <w:rPr>
          <w:rFonts w:ascii="宋体" w:eastAsia="宋体" w:hAnsi="宋体" w:cs="Times New Roman" w:hint="eastAsia"/>
          <w:b/>
          <w:bCs/>
          <w:sz w:val="32"/>
          <w:szCs w:val="32"/>
          <w:u w:val="single"/>
        </w:rPr>
        <w:t>□</w:t>
      </w:r>
      <w:r w:rsidRPr="00096C71">
        <w:rPr>
          <w:rFonts w:ascii="Times New Roman" w:eastAsia="宋体" w:hAnsi="Times New Roman" w:cs="Times New Roman"/>
          <w:b/>
          <w:bCs/>
          <w:sz w:val="32"/>
          <w:szCs w:val="32"/>
          <w:u w:val="single"/>
        </w:rPr>
        <w:t xml:space="preserve">2  </w:t>
      </w:r>
      <w:r w:rsidRPr="00096C71">
        <w:rPr>
          <w:rFonts w:ascii="宋体" w:eastAsia="宋体" w:hAnsi="宋体" w:cs="Times New Roman" w:hint="eastAsia"/>
          <w:b/>
          <w:bCs/>
          <w:sz w:val="32"/>
          <w:szCs w:val="32"/>
          <w:u w:val="single"/>
        </w:rPr>
        <w:t>□</w:t>
      </w:r>
      <w:r w:rsidRPr="00096C71">
        <w:rPr>
          <w:rFonts w:ascii="Times New Roman" w:eastAsia="宋体" w:hAnsi="Times New Roman" w:cs="Times New Roman"/>
          <w:b/>
          <w:bCs/>
          <w:sz w:val="32"/>
          <w:szCs w:val="32"/>
          <w:u w:val="single"/>
        </w:rPr>
        <w:t xml:space="preserve">3  </w:t>
      </w:r>
      <w:r w:rsidRPr="00096C71">
        <w:rPr>
          <w:rFonts w:ascii="宋体" w:eastAsia="宋体" w:hAnsi="宋体" w:cs="Times New Roman" w:hint="eastAsia"/>
          <w:b/>
          <w:bCs/>
          <w:sz w:val="32"/>
          <w:szCs w:val="32"/>
          <w:u w:val="single"/>
        </w:rPr>
        <w:t>□</w:t>
      </w:r>
      <w:r w:rsidRPr="00096C71">
        <w:rPr>
          <w:rFonts w:ascii="Times New Roman" w:eastAsia="宋体" w:hAnsi="Times New Roman" w:cs="Times New Roman"/>
          <w:b/>
          <w:bCs/>
          <w:sz w:val="32"/>
          <w:szCs w:val="32"/>
          <w:u w:val="single"/>
        </w:rPr>
        <w:t xml:space="preserve">4 </w:t>
      </w:r>
      <w:r w:rsidRPr="00096C71">
        <w:rPr>
          <w:rFonts w:ascii="Times New Roman" w:eastAsia="宋体" w:hAnsi="Times New Roman" w:cs="Times New Roman"/>
          <w:b/>
          <w:bCs/>
          <w:sz w:val="32"/>
          <w:szCs w:val="32"/>
          <w:u w:val="single"/>
        </w:rPr>
        <w:t>学分</w:t>
      </w:r>
    </w:p>
    <w:p w14:paraId="6FA05339" w14:textId="77777777" w:rsidR="003F51F7" w:rsidRPr="00096C71" w:rsidRDefault="003F51F7" w:rsidP="00BF2A9F">
      <w:pPr>
        <w:adjustRightInd w:val="0"/>
        <w:snapToGrid w:val="0"/>
        <w:spacing w:before="240" w:line="360" w:lineRule="auto"/>
        <w:ind w:firstLineChars="500" w:firstLine="1606"/>
        <w:jc w:val="left"/>
        <w:rPr>
          <w:rFonts w:ascii="Times New Roman" w:eastAsia="宋体" w:hAnsi="Times New Roman" w:cs="Times New Roman"/>
          <w:b/>
          <w:bCs/>
          <w:sz w:val="32"/>
          <w:szCs w:val="32"/>
        </w:rPr>
      </w:pPr>
      <w:r w:rsidRPr="00096C71">
        <w:rPr>
          <w:rFonts w:ascii="Times New Roman" w:eastAsia="宋体" w:hAnsi="Times New Roman" w:cs="Times New Roman"/>
          <w:b/>
          <w:bCs/>
          <w:sz w:val="32"/>
          <w:szCs w:val="32"/>
        </w:rPr>
        <w:t>导师签字</w:t>
      </w:r>
      <w:r w:rsidRPr="00096C71">
        <w:rPr>
          <w:rFonts w:ascii="Times New Roman" w:eastAsia="宋体" w:hAnsi="Times New Roman" w:cs="Times New Roman" w:hint="eastAsia"/>
          <w:b/>
          <w:bCs/>
          <w:sz w:val="32"/>
          <w:szCs w:val="32"/>
        </w:rPr>
        <w:t xml:space="preserve"> </w:t>
      </w:r>
      <w:r w:rsidRPr="00096C71">
        <w:rPr>
          <w:rFonts w:ascii="Times New Roman" w:eastAsia="宋体" w:hAnsi="Times New Roman" w:cs="Times New Roman"/>
          <w:b/>
          <w:bCs/>
          <w:sz w:val="32"/>
          <w:szCs w:val="32"/>
          <w:u w:val="single"/>
        </w:rPr>
        <w:t xml:space="preserve">                       </w:t>
      </w:r>
      <w:r w:rsidRPr="00096C71">
        <w:rPr>
          <w:rFonts w:ascii="Times New Roman" w:eastAsia="宋体" w:hAnsi="Times New Roman" w:cs="Times New Roman" w:hint="eastAsia"/>
          <w:b/>
          <w:bCs/>
          <w:sz w:val="32"/>
          <w:szCs w:val="32"/>
        </w:rPr>
        <w:t xml:space="preserve">           </w:t>
      </w:r>
    </w:p>
    <w:p w14:paraId="74A5AA30" w14:textId="77777777" w:rsidR="003F51F7" w:rsidRPr="00096C71" w:rsidRDefault="003F51F7" w:rsidP="00BF2A9F">
      <w:pPr>
        <w:adjustRightInd w:val="0"/>
        <w:snapToGrid w:val="0"/>
        <w:spacing w:line="360" w:lineRule="auto"/>
        <w:ind w:firstLineChars="800" w:firstLine="2570"/>
        <w:jc w:val="left"/>
        <w:rPr>
          <w:rFonts w:ascii="Times New Roman" w:eastAsia="宋体" w:hAnsi="Times New Roman" w:cs="Times New Roman"/>
          <w:b/>
          <w:bCs/>
          <w:sz w:val="32"/>
          <w:szCs w:val="32"/>
        </w:rPr>
      </w:pPr>
    </w:p>
    <w:p w14:paraId="127EF6A4" w14:textId="77777777" w:rsidR="00A55AC4" w:rsidRDefault="00A55AC4" w:rsidP="00BF2A9F">
      <w:pPr>
        <w:adjustRightInd w:val="0"/>
        <w:snapToGrid w:val="0"/>
        <w:spacing w:line="360" w:lineRule="auto"/>
        <w:rPr>
          <w:rFonts w:ascii="Times New Roman" w:eastAsia="宋体" w:hAnsi="Times New Roman" w:cs="Times New Roman"/>
          <w:b/>
          <w:bCs/>
          <w:sz w:val="32"/>
          <w:szCs w:val="32"/>
        </w:rPr>
      </w:pPr>
    </w:p>
    <w:p w14:paraId="2BC8A727" w14:textId="77777777" w:rsidR="003F51F7" w:rsidRDefault="00A07FB0" w:rsidP="00BF2A9F">
      <w:pPr>
        <w:adjustRightInd w:val="0"/>
        <w:snapToGrid w:val="0"/>
        <w:spacing w:line="360" w:lineRule="auto"/>
        <w:jc w:val="center"/>
        <w:rPr>
          <w:rFonts w:ascii="Times New Roman" w:eastAsia="宋体" w:hAnsi="Times New Roman" w:cs="Times New Roman"/>
          <w:b/>
          <w:bCs/>
          <w:sz w:val="32"/>
          <w:szCs w:val="32"/>
        </w:rPr>
      </w:pPr>
      <w:r>
        <w:rPr>
          <w:rFonts w:ascii="Times New Roman" w:eastAsia="宋体" w:hAnsi="Times New Roman" w:cs="Times New Roman"/>
          <w:b/>
          <w:bCs/>
          <w:sz w:val="32"/>
          <w:szCs w:val="32"/>
        </w:rPr>
        <w:t xml:space="preserve"> </w:t>
      </w:r>
      <w:r w:rsidR="003F51F7" w:rsidRPr="00096C71">
        <w:rPr>
          <w:rFonts w:ascii="Times New Roman" w:eastAsia="宋体" w:hAnsi="Times New Roman" w:cs="Times New Roman"/>
          <w:b/>
          <w:bCs/>
          <w:sz w:val="32"/>
          <w:szCs w:val="32"/>
        </w:rPr>
        <w:t xml:space="preserve"> </w:t>
      </w:r>
      <w:r w:rsidR="003F51F7" w:rsidRPr="00096C71">
        <w:rPr>
          <w:rFonts w:ascii="Times New Roman" w:eastAsia="宋体" w:hAnsi="Times New Roman" w:cs="Times New Roman"/>
          <w:b/>
          <w:bCs/>
          <w:sz w:val="32"/>
          <w:szCs w:val="32"/>
        </w:rPr>
        <w:t>年</w:t>
      </w:r>
      <w:r>
        <w:rPr>
          <w:rFonts w:ascii="Times New Roman" w:eastAsia="宋体" w:hAnsi="Times New Roman" w:cs="Times New Roman" w:hint="eastAsia"/>
          <w:b/>
          <w:bCs/>
          <w:sz w:val="32"/>
          <w:szCs w:val="32"/>
        </w:rPr>
        <w:t xml:space="preserve"> </w:t>
      </w:r>
      <w:r>
        <w:rPr>
          <w:rFonts w:ascii="Times New Roman" w:eastAsia="宋体" w:hAnsi="Times New Roman" w:cs="Times New Roman"/>
          <w:b/>
          <w:bCs/>
          <w:sz w:val="32"/>
          <w:szCs w:val="32"/>
        </w:rPr>
        <w:t xml:space="preserve">    </w:t>
      </w:r>
      <w:r w:rsidR="003F51F7" w:rsidRPr="00096C71">
        <w:rPr>
          <w:rFonts w:ascii="Times New Roman" w:eastAsia="宋体" w:hAnsi="Times New Roman" w:cs="Times New Roman" w:hint="eastAsia"/>
          <w:b/>
          <w:bCs/>
          <w:sz w:val="32"/>
          <w:szCs w:val="32"/>
        </w:rPr>
        <w:t>月</w:t>
      </w:r>
      <w:r>
        <w:rPr>
          <w:rFonts w:ascii="Times New Roman" w:eastAsia="宋体" w:hAnsi="Times New Roman" w:cs="Times New Roman" w:hint="eastAsia"/>
          <w:b/>
          <w:bCs/>
          <w:sz w:val="32"/>
          <w:szCs w:val="32"/>
        </w:rPr>
        <w:t xml:space="preserve"> </w:t>
      </w:r>
      <w:r>
        <w:rPr>
          <w:rFonts w:ascii="Times New Roman" w:eastAsia="宋体" w:hAnsi="Times New Roman" w:cs="Times New Roman"/>
          <w:b/>
          <w:bCs/>
          <w:sz w:val="32"/>
          <w:szCs w:val="32"/>
        </w:rPr>
        <w:t xml:space="preserve">   </w:t>
      </w:r>
      <w:r>
        <w:rPr>
          <w:rFonts w:ascii="Times New Roman" w:eastAsia="宋体" w:hAnsi="Times New Roman" w:cs="Times New Roman"/>
          <w:b/>
          <w:bCs/>
          <w:sz w:val="32"/>
          <w:szCs w:val="32"/>
        </w:rPr>
        <w:t>日</w:t>
      </w:r>
    </w:p>
    <w:p w14:paraId="4BC15823" w14:textId="43F329BF" w:rsidR="00A55AC4" w:rsidRPr="004D0B52" w:rsidRDefault="00A55AC4" w:rsidP="00BF2A9F">
      <w:pPr>
        <w:adjustRightInd w:val="0"/>
        <w:snapToGrid w:val="0"/>
        <w:spacing w:line="360" w:lineRule="auto"/>
        <w:jc w:val="center"/>
        <w:rPr>
          <w:rFonts w:ascii="Times New Roman" w:eastAsia="宋体" w:hAnsi="Times New Roman" w:cs="Times New Roman"/>
          <w:b/>
          <w:sz w:val="32"/>
          <w:szCs w:val="32"/>
        </w:rPr>
      </w:pPr>
      <w:r w:rsidRPr="004D0B52">
        <w:rPr>
          <w:rFonts w:ascii="Times New Roman" w:eastAsia="宋体" w:hAnsi="Times New Roman" w:cs="Times New Roman"/>
          <w:b/>
          <w:sz w:val="32"/>
          <w:szCs w:val="32"/>
        </w:rPr>
        <w:lastRenderedPageBreak/>
        <w:t>炮钢材料</w:t>
      </w:r>
      <w:r w:rsidRPr="004D0B52">
        <w:rPr>
          <w:rFonts w:ascii="Times New Roman" w:eastAsia="宋体" w:hAnsi="Times New Roman" w:cs="Times New Roman"/>
          <w:b/>
          <w:sz w:val="32"/>
          <w:szCs w:val="32"/>
        </w:rPr>
        <w:t>XXXX</w:t>
      </w:r>
    </w:p>
    <w:p w14:paraId="57119667" w14:textId="77777777" w:rsidR="00A55AC4" w:rsidRPr="00220C44" w:rsidRDefault="00A55AC4" w:rsidP="00BF2A9F">
      <w:pPr>
        <w:adjustRightInd w:val="0"/>
        <w:snapToGrid w:val="0"/>
        <w:spacing w:line="360" w:lineRule="auto"/>
        <w:ind w:firstLineChars="200" w:firstLine="480"/>
        <w:jc w:val="left"/>
        <w:rPr>
          <w:rFonts w:ascii="Times New Roman" w:eastAsia="宋体" w:hAnsi="Times New Roman" w:cs="Times New Roman"/>
          <w:sz w:val="24"/>
          <w:szCs w:val="24"/>
        </w:rPr>
      </w:pPr>
      <w:r w:rsidRPr="00220C44">
        <w:rPr>
          <w:rFonts w:ascii="Times New Roman" w:eastAsia="宋体" w:hAnsi="Times New Roman" w:cs="Times New Roman"/>
          <w:sz w:val="24"/>
          <w:szCs w:val="24"/>
        </w:rPr>
        <w:t>火炮</w:t>
      </w:r>
      <w:proofErr w:type="gramStart"/>
      <w:r w:rsidRPr="00220C44">
        <w:rPr>
          <w:rFonts w:ascii="Times New Roman" w:eastAsia="宋体" w:hAnsi="Times New Roman" w:cs="Times New Roman"/>
          <w:sz w:val="24"/>
          <w:szCs w:val="24"/>
        </w:rPr>
        <w:t>身管由较</w:t>
      </w:r>
      <w:proofErr w:type="gramEnd"/>
      <w:r w:rsidRPr="00220C44">
        <w:rPr>
          <w:rFonts w:ascii="Times New Roman" w:eastAsia="宋体" w:hAnsi="Times New Roman" w:cs="Times New Roman"/>
          <w:sz w:val="24"/>
          <w:szCs w:val="24"/>
        </w:rPr>
        <w:t>高强度与韧性的</w:t>
      </w:r>
      <w:proofErr w:type="gramStart"/>
      <w:r w:rsidRPr="00220C44">
        <w:rPr>
          <w:rFonts w:ascii="Times New Roman" w:eastAsia="宋体" w:hAnsi="Times New Roman" w:cs="Times New Roman"/>
          <w:sz w:val="24"/>
          <w:szCs w:val="24"/>
        </w:rPr>
        <w:t>炮钢制</w:t>
      </w:r>
      <w:proofErr w:type="gramEnd"/>
      <w:r w:rsidRPr="00220C44">
        <w:rPr>
          <w:rFonts w:ascii="Times New Roman" w:eastAsia="宋体" w:hAnsi="Times New Roman" w:cs="Times New Roman"/>
          <w:sz w:val="24"/>
          <w:szCs w:val="24"/>
        </w:rPr>
        <w:t>造而成。炮钢材料及加工制造技术的发展，大幅提高火炮威力、减轻火炮质量、延长火炮使用寿命、降低生产成本。现代坦克炮、榴弹炮等大口径火炮的不断发展，对炮钢材料的研究和制备提出更高的挑战。作者综述了大口径</w:t>
      </w:r>
      <w:proofErr w:type="gramStart"/>
      <w:r w:rsidRPr="00220C44">
        <w:rPr>
          <w:rFonts w:ascii="Times New Roman" w:eastAsia="宋体" w:hAnsi="Times New Roman" w:cs="Times New Roman"/>
          <w:sz w:val="24"/>
          <w:szCs w:val="24"/>
        </w:rPr>
        <w:t>厚壁炮钢的</w:t>
      </w:r>
      <w:proofErr w:type="gramEnd"/>
      <w:r w:rsidRPr="00220C44">
        <w:rPr>
          <w:rFonts w:ascii="Times New Roman" w:eastAsia="宋体" w:hAnsi="Times New Roman" w:cs="Times New Roman"/>
          <w:sz w:val="24"/>
          <w:szCs w:val="24"/>
        </w:rPr>
        <w:t>发展历程及性能，论述了炮钢材料的发展方向，提出炮钢材</w:t>
      </w:r>
      <w:proofErr w:type="gramStart"/>
      <w:r w:rsidRPr="00220C44">
        <w:rPr>
          <w:rFonts w:ascii="Times New Roman" w:eastAsia="宋体" w:hAnsi="Times New Roman" w:cs="Times New Roman"/>
          <w:sz w:val="24"/>
          <w:szCs w:val="24"/>
        </w:rPr>
        <w:t>料发</w:t>
      </w:r>
      <w:proofErr w:type="gramEnd"/>
      <w:r w:rsidRPr="00220C44">
        <w:rPr>
          <w:rFonts w:ascii="Times New Roman" w:eastAsia="宋体" w:hAnsi="Times New Roman" w:cs="Times New Roman"/>
          <w:sz w:val="24"/>
          <w:szCs w:val="24"/>
        </w:rPr>
        <w:t>展的新思路。</w:t>
      </w:r>
    </w:p>
    <w:p w14:paraId="58C3BF9D" w14:textId="7B297C33" w:rsidR="00A55AC4" w:rsidRPr="00220C44" w:rsidRDefault="00A55AC4" w:rsidP="00BF2A9F">
      <w:pPr>
        <w:adjustRightInd w:val="0"/>
        <w:snapToGrid w:val="0"/>
        <w:spacing w:line="360" w:lineRule="auto"/>
        <w:ind w:firstLineChars="200" w:firstLine="480"/>
        <w:jc w:val="left"/>
        <w:rPr>
          <w:rFonts w:ascii="Times New Roman" w:eastAsia="宋体" w:hAnsi="Times New Roman" w:cs="Times New Roman"/>
          <w:sz w:val="24"/>
          <w:szCs w:val="24"/>
        </w:rPr>
      </w:pPr>
      <w:r w:rsidRPr="00220C44">
        <w:rPr>
          <w:rFonts w:ascii="Times New Roman" w:eastAsia="宋体" w:hAnsi="Times New Roman" w:cs="Times New Roman"/>
          <w:sz w:val="24"/>
          <w:szCs w:val="24"/>
        </w:rPr>
        <w:t>随着火炮膛压的不断提高，中强度</w:t>
      </w:r>
      <w:r w:rsidRPr="00220C44">
        <w:rPr>
          <w:rFonts w:ascii="Times New Roman" w:eastAsia="宋体" w:hAnsi="Times New Roman" w:cs="Times New Roman"/>
          <w:sz w:val="24"/>
          <w:szCs w:val="24"/>
        </w:rPr>
        <w:t>2%NiCrMoV</w:t>
      </w:r>
      <w:proofErr w:type="gramStart"/>
      <w:r w:rsidRPr="00220C44">
        <w:rPr>
          <w:rFonts w:ascii="Times New Roman" w:eastAsia="宋体" w:hAnsi="Times New Roman" w:cs="Times New Roman"/>
          <w:sz w:val="24"/>
          <w:szCs w:val="24"/>
        </w:rPr>
        <w:t>钢逐渐</w:t>
      </w:r>
      <w:proofErr w:type="gramEnd"/>
      <w:r w:rsidRPr="00220C44">
        <w:rPr>
          <w:rFonts w:ascii="Times New Roman" w:eastAsia="宋体" w:hAnsi="Times New Roman" w:cs="Times New Roman"/>
          <w:sz w:val="24"/>
          <w:szCs w:val="24"/>
        </w:rPr>
        <w:t>不能</w:t>
      </w:r>
      <w:proofErr w:type="gramStart"/>
      <w:r w:rsidRPr="00220C44">
        <w:rPr>
          <w:rFonts w:ascii="Times New Roman" w:eastAsia="宋体" w:hAnsi="Times New Roman" w:cs="Times New Roman"/>
          <w:sz w:val="24"/>
          <w:szCs w:val="24"/>
        </w:rPr>
        <w:t>胜任高膛压</w:t>
      </w:r>
      <w:proofErr w:type="gramEnd"/>
      <w:r w:rsidRPr="00220C44">
        <w:rPr>
          <w:rFonts w:ascii="Times New Roman" w:eastAsia="宋体" w:hAnsi="Times New Roman" w:cs="Times New Roman"/>
          <w:sz w:val="24"/>
          <w:szCs w:val="24"/>
        </w:rPr>
        <w:t>厚壁炮管材料，</w:t>
      </w:r>
      <w:r w:rsidRPr="00220C44">
        <w:rPr>
          <w:rFonts w:ascii="Times New Roman" w:eastAsia="宋体" w:hAnsi="Times New Roman" w:cs="Times New Roman"/>
          <w:sz w:val="24"/>
          <w:szCs w:val="24"/>
        </w:rPr>
        <w:t>70</w:t>
      </w:r>
      <w:r w:rsidRPr="00220C44">
        <w:rPr>
          <w:rFonts w:ascii="Times New Roman" w:eastAsia="宋体" w:hAnsi="Times New Roman" w:cs="Times New Roman"/>
          <w:sz w:val="24"/>
          <w:szCs w:val="24"/>
        </w:rPr>
        <w:t>年代以后，在世界范围内，大口径厚壁炮管，如</w:t>
      </w:r>
      <w:r w:rsidRPr="00220C44">
        <w:rPr>
          <w:rFonts w:ascii="Times New Roman" w:eastAsia="宋体" w:hAnsi="Times New Roman" w:cs="Times New Roman"/>
          <w:sz w:val="24"/>
          <w:szCs w:val="24"/>
        </w:rPr>
        <w:t>105</w:t>
      </w:r>
      <w:r w:rsidRPr="00220C44">
        <w:rPr>
          <w:rFonts w:ascii="Times New Roman" w:eastAsia="宋体" w:hAnsi="Times New Roman" w:cs="Times New Roman"/>
          <w:sz w:val="24"/>
          <w:szCs w:val="24"/>
        </w:rPr>
        <w:t>、</w:t>
      </w:r>
      <w:r w:rsidRPr="00220C44">
        <w:rPr>
          <w:rFonts w:ascii="Times New Roman" w:eastAsia="宋体" w:hAnsi="Times New Roman" w:cs="Times New Roman"/>
          <w:sz w:val="24"/>
          <w:szCs w:val="24"/>
        </w:rPr>
        <w:t>155</w:t>
      </w:r>
      <w:r w:rsidRPr="00220C44">
        <w:rPr>
          <w:rFonts w:ascii="Times New Roman" w:eastAsia="宋体" w:hAnsi="Times New Roman" w:cs="Times New Roman"/>
          <w:sz w:val="24"/>
          <w:szCs w:val="24"/>
        </w:rPr>
        <w:t>、</w:t>
      </w:r>
      <w:r w:rsidRPr="00220C44">
        <w:rPr>
          <w:rFonts w:ascii="Times New Roman" w:eastAsia="宋体" w:hAnsi="Times New Roman" w:cs="Times New Roman"/>
          <w:sz w:val="24"/>
          <w:szCs w:val="24"/>
        </w:rPr>
        <w:t>175 mm</w:t>
      </w:r>
      <w:r w:rsidRPr="00220C44">
        <w:rPr>
          <w:rFonts w:ascii="Times New Roman" w:eastAsia="宋体" w:hAnsi="Times New Roman" w:cs="Times New Roman"/>
          <w:sz w:val="24"/>
          <w:szCs w:val="24"/>
        </w:rPr>
        <w:t>等大炮身管大多采用</w:t>
      </w:r>
      <w:r w:rsidRPr="00220C44">
        <w:rPr>
          <w:rFonts w:ascii="Times New Roman" w:eastAsia="宋体" w:hAnsi="Times New Roman" w:cs="Times New Roman"/>
          <w:sz w:val="24"/>
          <w:szCs w:val="24"/>
        </w:rPr>
        <w:t>3%Ni</w:t>
      </w:r>
      <w:r w:rsidRPr="00220C44">
        <w:rPr>
          <w:rFonts w:ascii="Times New Roman" w:eastAsia="宋体" w:hAnsi="Times New Roman" w:cs="Times New Roman"/>
          <w:sz w:val="24"/>
          <w:szCs w:val="24"/>
        </w:rPr>
        <w:t>系列的</w:t>
      </w:r>
      <w:r w:rsidRPr="00220C44">
        <w:rPr>
          <w:rFonts w:ascii="Times New Roman" w:eastAsia="宋体" w:hAnsi="Times New Roman" w:cs="Times New Roman"/>
          <w:sz w:val="24"/>
          <w:szCs w:val="24"/>
        </w:rPr>
        <w:t>Cr-Ni-Mo-V</w:t>
      </w:r>
      <w:r w:rsidRPr="00220C44">
        <w:rPr>
          <w:rFonts w:ascii="Times New Roman" w:eastAsia="宋体" w:hAnsi="Times New Roman" w:cs="Times New Roman"/>
          <w:sz w:val="24"/>
          <w:szCs w:val="24"/>
        </w:rPr>
        <w:t>钢，如</w:t>
      </w:r>
      <w:r w:rsidRPr="00220C44">
        <w:rPr>
          <w:rStyle w:val="aa"/>
          <w:rFonts w:ascii="Times New Roman" w:eastAsia="宋体" w:hAnsi="Times New Roman" w:cs="Times New Roman"/>
          <w:sz w:val="24"/>
          <w:szCs w:val="24"/>
        </w:rPr>
        <w:t>表</w:t>
      </w:r>
      <w:r w:rsidRPr="00220C44">
        <w:rPr>
          <w:rStyle w:val="aa"/>
          <w:rFonts w:ascii="Times New Roman" w:eastAsia="宋体" w:hAnsi="Times New Roman" w:cs="Times New Roman"/>
          <w:sz w:val="24"/>
          <w:szCs w:val="24"/>
        </w:rPr>
        <w:t>1</w:t>
      </w:r>
      <w:r w:rsidRPr="00220C44">
        <w:rPr>
          <w:rFonts w:ascii="Times New Roman" w:eastAsia="宋体" w:hAnsi="Times New Roman" w:cs="Times New Roman"/>
          <w:sz w:val="24"/>
          <w:szCs w:val="24"/>
          <w:vertAlign w:val="superscript"/>
        </w:rPr>
        <w:t>1</w:t>
      </w:r>
      <w:r w:rsidRPr="00220C44">
        <w:rPr>
          <w:rFonts w:ascii="Times New Roman" w:eastAsia="宋体" w:hAnsi="Times New Roman" w:cs="Times New Roman"/>
          <w:sz w:val="24"/>
          <w:szCs w:val="24"/>
        </w:rPr>
        <w:t>所示。</w:t>
      </w:r>
    </w:p>
    <w:p w14:paraId="727FB9F1" w14:textId="77777777" w:rsidR="00A55AC4" w:rsidRPr="00220C44" w:rsidRDefault="00A55AC4" w:rsidP="00BF2A9F">
      <w:pPr>
        <w:adjustRightInd w:val="0"/>
        <w:snapToGrid w:val="0"/>
        <w:spacing w:line="360" w:lineRule="auto"/>
        <w:ind w:firstLineChars="200" w:firstLine="482"/>
        <w:jc w:val="center"/>
        <w:rPr>
          <w:rFonts w:ascii="Times New Roman" w:eastAsia="宋体" w:hAnsi="Times New Roman" w:cs="Times New Roman"/>
          <w:sz w:val="24"/>
          <w:szCs w:val="24"/>
          <w:vertAlign w:val="superscript"/>
        </w:rPr>
      </w:pPr>
      <w:r w:rsidRPr="00220C44">
        <w:rPr>
          <w:rFonts w:ascii="Times New Roman" w:eastAsia="宋体" w:hAnsi="Times New Roman" w:cs="Times New Roman"/>
          <w:b/>
          <w:bCs/>
          <w:sz w:val="24"/>
          <w:szCs w:val="24"/>
        </w:rPr>
        <w:t>表</w:t>
      </w:r>
      <w:r w:rsidRPr="00220C44">
        <w:rPr>
          <w:rFonts w:ascii="Times New Roman" w:eastAsia="宋体" w:hAnsi="Times New Roman" w:cs="Times New Roman"/>
          <w:b/>
          <w:bCs/>
          <w:sz w:val="24"/>
          <w:szCs w:val="24"/>
        </w:rPr>
        <w:t xml:space="preserve">1. </w:t>
      </w:r>
      <w:r w:rsidRPr="00220C44">
        <w:rPr>
          <w:rFonts w:ascii="Times New Roman" w:eastAsia="宋体" w:hAnsi="Times New Roman" w:cs="Times New Roman"/>
          <w:b/>
          <w:bCs/>
          <w:sz w:val="24"/>
          <w:szCs w:val="24"/>
        </w:rPr>
        <w:t>炮钢化学成</w:t>
      </w:r>
      <w:r w:rsidR="0041583A">
        <w:rPr>
          <w:rFonts w:ascii="Times New Roman" w:eastAsia="宋体" w:hAnsi="Times New Roman" w:cs="Times New Roman" w:hint="eastAsia"/>
          <w:b/>
          <w:bCs/>
          <w:sz w:val="24"/>
          <w:szCs w:val="24"/>
          <w:vertAlign w:val="superscript"/>
        </w:rPr>
        <w:t>[</w:t>
      </w:r>
      <w:r w:rsidRPr="00220C44">
        <w:rPr>
          <w:rFonts w:ascii="Times New Roman" w:eastAsia="宋体" w:hAnsi="Times New Roman" w:cs="Times New Roman"/>
          <w:b/>
          <w:bCs/>
          <w:sz w:val="24"/>
          <w:szCs w:val="24"/>
          <w:vertAlign w:val="superscript"/>
        </w:rPr>
        <w:t>1</w:t>
      </w:r>
      <w:r w:rsidR="0041583A">
        <w:rPr>
          <w:rFonts w:ascii="Times New Roman" w:eastAsia="宋体" w:hAnsi="Times New Roman" w:cs="Times New Roman"/>
          <w:b/>
          <w:bCs/>
          <w:sz w:val="24"/>
          <w:szCs w:val="24"/>
          <w:vertAlign w:val="superscript"/>
        </w:rPr>
        <w:t>]</w:t>
      </w:r>
    </w:p>
    <w:tbl>
      <w:tblPr>
        <w:tblStyle w:val="ab"/>
        <w:tblW w:w="822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418"/>
        <w:gridCol w:w="1276"/>
        <w:gridCol w:w="1842"/>
        <w:gridCol w:w="1701"/>
        <w:gridCol w:w="1985"/>
      </w:tblGrid>
      <w:tr w:rsidR="00A55AC4" w:rsidRPr="00220C44" w14:paraId="565B0810" w14:textId="77777777" w:rsidTr="00587FA3">
        <w:trPr>
          <w:trHeight w:hRule="exact" w:val="340"/>
        </w:trPr>
        <w:tc>
          <w:tcPr>
            <w:tcW w:w="1418" w:type="dxa"/>
            <w:vAlign w:val="center"/>
          </w:tcPr>
          <w:p w14:paraId="290D3CA7"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钢号</w:t>
            </w:r>
            <w:r w:rsidRPr="00220C44">
              <w:rPr>
                <w:rFonts w:ascii="Times New Roman" w:eastAsia="宋体" w:hAnsi="Times New Roman" w:cs="Times New Roman"/>
                <w:sz w:val="24"/>
                <w:szCs w:val="24"/>
              </w:rPr>
              <w:t>(</w:t>
            </w:r>
            <w:r w:rsidRPr="00220C44">
              <w:rPr>
                <w:rFonts w:ascii="Times New Roman" w:eastAsia="宋体" w:hAnsi="Times New Roman" w:cs="Times New Roman"/>
                <w:sz w:val="24"/>
                <w:szCs w:val="24"/>
              </w:rPr>
              <w:t>种</w:t>
            </w:r>
            <w:r w:rsidRPr="00220C44">
              <w:rPr>
                <w:rFonts w:ascii="Times New Roman" w:eastAsia="宋体" w:hAnsi="Times New Roman" w:cs="Times New Roman"/>
                <w:sz w:val="24"/>
                <w:szCs w:val="24"/>
              </w:rPr>
              <w:t>)</w:t>
            </w:r>
          </w:p>
        </w:tc>
        <w:tc>
          <w:tcPr>
            <w:tcW w:w="1276" w:type="dxa"/>
            <w:vAlign w:val="center"/>
          </w:tcPr>
          <w:p w14:paraId="7BDC8DEF"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C</w:t>
            </w:r>
          </w:p>
        </w:tc>
        <w:tc>
          <w:tcPr>
            <w:tcW w:w="1842" w:type="dxa"/>
            <w:vAlign w:val="center"/>
          </w:tcPr>
          <w:p w14:paraId="573DFDAA"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Cr</w:t>
            </w:r>
          </w:p>
        </w:tc>
        <w:tc>
          <w:tcPr>
            <w:tcW w:w="1701" w:type="dxa"/>
            <w:vAlign w:val="center"/>
          </w:tcPr>
          <w:p w14:paraId="003935B5"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Ni</w:t>
            </w:r>
          </w:p>
        </w:tc>
        <w:tc>
          <w:tcPr>
            <w:tcW w:w="1985" w:type="dxa"/>
            <w:vAlign w:val="center"/>
          </w:tcPr>
          <w:p w14:paraId="2DCE1727"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Mo</w:t>
            </w:r>
          </w:p>
        </w:tc>
      </w:tr>
      <w:tr w:rsidR="00A55AC4" w:rsidRPr="00220C44" w14:paraId="03F7E17D" w14:textId="77777777" w:rsidTr="00587FA3">
        <w:trPr>
          <w:trHeight w:hRule="exact" w:val="340"/>
        </w:trPr>
        <w:tc>
          <w:tcPr>
            <w:tcW w:w="1418" w:type="dxa"/>
            <w:tcBorders>
              <w:bottom w:val="nil"/>
            </w:tcBorders>
            <w:vAlign w:val="center"/>
          </w:tcPr>
          <w:p w14:paraId="7D512E51"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A723 1</w:t>
            </w:r>
            <w:r w:rsidRPr="00220C44">
              <w:rPr>
                <w:rFonts w:ascii="Times New Roman" w:eastAsia="宋体" w:hAnsi="Times New Roman" w:cs="Times New Roman"/>
                <w:sz w:val="24"/>
                <w:szCs w:val="24"/>
              </w:rPr>
              <w:t>级</w:t>
            </w:r>
          </w:p>
        </w:tc>
        <w:tc>
          <w:tcPr>
            <w:tcW w:w="1276" w:type="dxa"/>
            <w:tcBorders>
              <w:bottom w:val="nil"/>
            </w:tcBorders>
            <w:vAlign w:val="center"/>
          </w:tcPr>
          <w:p w14:paraId="2E6AD7D5"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0.35</w:t>
            </w:r>
          </w:p>
        </w:tc>
        <w:tc>
          <w:tcPr>
            <w:tcW w:w="1842" w:type="dxa"/>
            <w:tcBorders>
              <w:bottom w:val="nil"/>
            </w:tcBorders>
            <w:vAlign w:val="center"/>
          </w:tcPr>
          <w:p w14:paraId="53E6CA57"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0.80~2.00</w:t>
            </w:r>
          </w:p>
        </w:tc>
        <w:tc>
          <w:tcPr>
            <w:tcW w:w="1701" w:type="dxa"/>
            <w:tcBorders>
              <w:bottom w:val="nil"/>
            </w:tcBorders>
            <w:vAlign w:val="center"/>
          </w:tcPr>
          <w:p w14:paraId="57ED3BC7"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1.50~2.25</w:t>
            </w:r>
          </w:p>
        </w:tc>
        <w:tc>
          <w:tcPr>
            <w:tcW w:w="1985" w:type="dxa"/>
            <w:tcBorders>
              <w:bottom w:val="nil"/>
            </w:tcBorders>
            <w:vAlign w:val="center"/>
          </w:tcPr>
          <w:p w14:paraId="431B28C5"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0.2~0.4</w:t>
            </w:r>
          </w:p>
        </w:tc>
      </w:tr>
      <w:tr w:rsidR="00A55AC4" w:rsidRPr="00220C44" w14:paraId="18ADD547" w14:textId="77777777" w:rsidTr="00587FA3">
        <w:trPr>
          <w:trHeight w:hRule="exact" w:val="340"/>
        </w:trPr>
        <w:tc>
          <w:tcPr>
            <w:tcW w:w="1418" w:type="dxa"/>
            <w:tcBorders>
              <w:top w:val="nil"/>
              <w:bottom w:val="nil"/>
            </w:tcBorders>
            <w:vAlign w:val="center"/>
          </w:tcPr>
          <w:p w14:paraId="57923CAB"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A723 2</w:t>
            </w:r>
            <w:r w:rsidRPr="00220C44">
              <w:rPr>
                <w:rFonts w:ascii="Times New Roman" w:eastAsia="宋体" w:hAnsi="Times New Roman" w:cs="Times New Roman"/>
                <w:sz w:val="24"/>
                <w:szCs w:val="24"/>
              </w:rPr>
              <w:t>级</w:t>
            </w:r>
          </w:p>
        </w:tc>
        <w:tc>
          <w:tcPr>
            <w:tcW w:w="1276" w:type="dxa"/>
            <w:tcBorders>
              <w:top w:val="nil"/>
              <w:bottom w:val="nil"/>
            </w:tcBorders>
            <w:vAlign w:val="center"/>
          </w:tcPr>
          <w:p w14:paraId="202E582C"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0.40</w:t>
            </w:r>
          </w:p>
        </w:tc>
        <w:tc>
          <w:tcPr>
            <w:tcW w:w="1842" w:type="dxa"/>
            <w:tcBorders>
              <w:top w:val="nil"/>
              <w:bottom w:val="nil"/>
            </w:tcBorders>
            <w:vAlign w:val="center"/>
          </w:tcPr>
          <w:p w14:paraId="2CF9409D"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0.80~2.00</w:t>
            </w:r>
          </w:p>
        </w:tc>
        <w:tc>
          <w:tcPr>
            <w:tcW w:w="1701" w:type="dxa"/>
            <w:tcBorders>
              <w:top w:val="nil"/>
              <w:bottom w:val="nil"/>
            </w:tcBorders>
            <w:vAlign w:val="center"/>
          </w:tcPr>
          <w:p w14:paraId="71309C73"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2.30~3.30</w:t>
            </w:r>
          </w:p>
        </w:tc>
        <w:tc>
          <w:tcPr>
            <w:tcW w:w="1985" w:type="dxa"/>
            <w:tcBorders>
              <w:top w:val="nil"/>
              <w:bottom w:val="nil"/>
            </w:tcBorders>
            <w:vAlign w:val="center"/>
          </w:tcPr>
          <w:p w14:paraId="70EEEAAD"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0.3~0.5</w:t>
            </w:r>
          </w:p>
        </w:tc>
      </w:tr>
      <w:tr w:rsidR="00A55AC4" w:rsidRPr="00220C44" w14:paraId="594EFE5D" w14:textId="77777777" w:rsidTr="00587FA3">
        <w:trPr>
          <w:trHeight w:hRule="exact" w:val="340"/>
        </w:trPr>
        <w:tc>
          <w:tcPr>
            <w:tcW w:w="1418" w:type="dxa"/>
            <w:tcBorders>
              <w:top w:val="nil"/>
            </w:tcBorders>
            <w:vAlign w:val="center"/>
          </w:tcPr>
          <w:p w14:paraId="5FDBC3F5"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A723 3</w:t>
            </w:r>
            <w:r w:rsidRPr="00220C44">
              <w:rPr>
                <w:rFonts w:ascii="Times New Roman" w:eastAsia="宋体" w:hAnsi="Times New Roman" w:cs="Times New Roman"/>
                <w:sz w:val="24"/>
                <w:szCs w:val="24"/>
              </w:rPr>
              <w:t>级</w:t>
            </w:r>
          </w:p>
        </w:tc>
        <w:tc>
          <w:tcPr>
            <w:tcW w:w="1276" w:type="dxa"/>
            <w:tcBorders>
              <w:top w:val="nil"/>
            </w:tcBorders>
            <w:vAlign w:val="center"/>
          </w:tcPr>
          <w:p w14:paraId="0CF96C91"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0.40</w:t>
            </w:r>
          </w:p>
        </w:tc>
        <w:tc>
          <w:tcPr>
            <w:tcW w:w="1842" w:type="dxa"/>
            <w:tcBorders>
              <w:top w:val="nil"/>
            </w:tcBorders>
            <w:vAlign w:val="center"/>
          </w:tcPr>
          <w:p w14:paraId="57C6B2FE"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0.80~2.00</w:t>
            </w:r>
          </w:p>
        </w:tc>
        <w:tc>
          <w:tcPr>
            <w:tcW w:w="1701" w:type="dxa"/>
            <w:tcBorders>
              <w:top w:val="nil"/>
            </w:tcBorders>
            <w:vAlign w:val="center"/>
          </w:tcPr>
          <w:p w14:paraId="7CCD9C93"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3.30~4.50</w:t>
            </w:r>
          </w:p>
        </w:tc>
        <w:tc>
          <w:tcPr>
            <w:tcW w:w="1985" w:type="dxa"/>
            <w:tcBorders>
              <w:top w:val="nil"/>
            </w:tcBorders>
            <w:vAlign w:val="center"/>
          </w:tcPr>
          <w:p w14:paraId="76FCBF97"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0.4~0.8</w:t>
            </w:r>
          </w:p>
        </w:tc>
      </w:tr>
    </w:tbl>
    <w:p w14:paraId="46810F06" w14:textId="77777777" w:rsidR="006C4E0F" w:rsidRDefault="006C4E0F" w:rsidP="00AC1338">
      <w:pPr>
        <w:adjustRightInd w:val="0"/>
        <w:snapToGrid w:val="0"/>
        <w:spacing w:beforeLines="50" w:before="156" w:line="360" w:lineRule="auto"/>
        <w:ind w:firstLineChars="200" w:firstLine="480"/>
        <w:rPr>
          <w:rFonts w:ascii="Times New Roman" w:eastAsia="宋体" w:hAnsi="Times New Roman" w:cs="Times New Roman"/>
          <w:sz w:val="24"/>
          <w:szCs w:val="24"/>
        </w:rPr>
      </w:pPr>
    </w:p>
    <w:p w14:paraId="602A3FD4" w14:textId="77777777" w:rsidR="00BF2A9F" w:rsidRPr="00220C44" w:rsidRDefault="00A55AC4" w:rsidP="00AC1338">
      <w:pPr>
        <w:adjustRightInd w:val="0"/>
        <w:snapToGrid w:val="0"/>
        <w:spacing w:beforeLines="50" w:before="156" w:line="360" w:lineRule="auto"/>
        <w:ind w:firstLineChars="200" w:firstLine="480"/>
        <w:rPr>
          <w:rFonts w:ascii="Times New Roman" w:eastAsia="宋体" w:hAnsi="Times New Roman" w:cs="Times New Roman"/>
          <w:b/>
          <w:bCs/>
          <w:sz w:val="24"/>
          <w:szCs w:val="24"/>
        </w:rPr>
      </w:pPr>
      <w:r w:rsidRPr="00220C44">
        <w:rPr>
          <w:rFonts w:ascii="Times New Roman" w:eastAsia="宋体" w:hAnsi="Times New Roman" w:cs="Times New Roman"/>
          <w:sz w:val="24"/>
          <w:szCs w:val="24"/>
        </w:rPr>
        <w:t>The saturation loading of Pu(IV) in the membrane samples was ascertained by keeping an excess amount of Pu(IV) as observed from the measurements performed on remaining Pu concentration in solution after equilibration with the membrane</w:t>
      </w:r>
      <w:r w:rsidRPr="00220C44">
        <w:rPr>
          <w:rFonts w:ascii="Times New Roman" w:eastAsia="宋体" w:hAnsi="Times New Roman" w:cs="Times New Roman"/>
          <w:sz w:val="24"/>
          <w:szCs w:val="24"/>
          <w:vertAlign w:val="superscript"/>
        </w:rPr>
        <w:t>2-4,7</w:t>
      </w:r>
      <w:r w:rsidRPr="00220C44">
        <w:rPr>
          <w:rFonts w:ascii="Times New Roman" w:eastAsia="宋体" w:hAnsi="Times New Roman" w:cs="Times New Roman"/>
          <w:sz w:val="24"/>
          <w:szCs w:val="24"/>
        </w:rPr>
        <w:t xml:space="preserve">. The Pu(IV)-loading capacities are direct representative of the available binding sites (phosphate and </w:t>
      </w:r>
      <w:proofErr w:type="spellStart"/>
      <w:r w:rsidRPr="00220C44">
        <w:rPr>
          <w:rFonts w:ascii="Times New Roman" w:eastAsia="宋体" w:hAnsi="Times New Roman" w:cs="Times New Roman"/>
          <w:sz w:val="24"/>
          <w:szCs w:val="24"/>
        </w:rPr>
        <w:t>sulphonate</w:t>
      </w:r>
      <w:proofErr w:type="spellEnd"/>
      <w:r w:rsidRPr="00220C44">
        <w:rPr>
          <w:rFonts w:ascii="Times New Roman" w:eastAsia="宋体" w:hAnsi="Times New Roman" w:cs="Times New Roman"/>
          <w:sz w:val="24"/>
          <w:szCs w:val="24"/>
        </w:rPr>
        <w:t xml:space="preserve"> groups), and hence correlated to the amount of bifunctional polymer in the PES membranes</w:t>
      </w:r>
      <w:r w:rsidRPr="00220C44">
        <w:rPr>
          <w:rFonts w:ascii="Times New Roman" w:eastAsia="宋体" w:hAnsi="Times New Roman" w:cs="Times New Roman"/>
          <w:sz w:val="24"/>
          <w:szCs w:val="24"/>
          <w:vertAlign w:val="superscript"/>
        </w:rPr>
        <w:t>1,4</w:t>
      </w:r>
      <w:r w:rsidRPr="00220C44">
        <w:rPr>
          <w:rFonts w:ascii="Times New Roman" w:eastAsia="宋体" w:hAnsi="Times New Roman" w:cs="Times New Roman"/>
          <w:sz w:val="24"/>
          <w:szCs w:val="24"/>
        </w:rPr>
        <w:t>. It is seen from </w:t>
      </w:r>
      <w:bookmarkStart w:id="1" w:name="btbl0005"/>
      <w:r w:rsidRPr="006B3792">
        <w:rPr>
          <w:rFonts w:ascii="Times New Roman" w:eastAsia="宋体" w:hAnsi="Times New Roman" w:cs="Times New Roman"/>
          <w:color w:val="4472C4" w:themeColor="accent5"/>
          <w:sz w:val="24"/>
          <w:szCs w:val="24"/>
        </w:rPr>
        <w:fldChar w:fldCharType="begin"/>
      </w:r>
      <w:r w:rsidRPr="006B3792">
        <w:rPr>
          <w:rFonts w:ascii="Times New Roman" w:eastAsia="宋体" w:hAnsi="Times New Roman" w:cs="Times New Roman"/>
          <w:color w:val="4472C4" w:themeColor="accent5"/>
          <w:sz w:val="24"/>
          <w:szCs w:val="24"/>
        </w:rPr>
        <w:instrText xml:space="preserve"> HYPERLINK "https://www.sciencedirect.com/science/article/pii/S0003267015005565" \l "tbl0005" </w:instrText>
      </w:r>
      <w:r w:rsidRPr="006B3792">
        <w:rPr>
          <w:rFonts w:ascii="Times New Roman" w:eastAsia="宋体" w:hAnsi="Times New Roman" w:cs="Times New Roman"/>
          <w:color w:val="4472C4" w:themeColor="accent5"/>
          <w:sz w:val="24"/>
          <w:szCs w:val="24"/>
        </w:rPr>
        <w:fldChar w:fldCharType="separate"/>
      </w:r>
      <w:r w:rsidRPr="006B3792">
        <w:rPr>
          <w:rStyle w:val="aa"/>
          <w:rFonts w:ascii="Times New Roman" w:eastAsia="宋体" w:hAnsi="Times New Roman" w:cs="Times New Roman"/>
          <w:color w:val="4472C4" w:themeColor="accent5"/>
          <w:sz w:val="24"/>
          <w:szCs w:val="24"/>
        </w:rPr>
        <w:t>Table 1</w:t>
      </w:r>
      <w:bookmarkEnd w:id="1"/>
      <w:r w:rsidRPr="006B3792">
        <w:rPr>
          <w:rFonts w:ascii="Times New Roman" w:eastAsia="宋体" w:hAnsi="Times New Roman" w:cs="Times New Roman"/>
          <w:color w:val="4472C4" w:themeColor="accent5"/>
          <w:sz w:val="24"/>
          <w:szCs w:val="24"/>
        </w:rPr>
        <w:fldChar w:fldCharType="end"/>
      </w:r>
      <w:r w:rsidRPr="00220C44">
        <w:rPr>
          <w:rFonts w:ascii="Times New Roman" w:eastAsia="宋体" w:hAnsi="Times New Roman" w:cs="Times New Roman"/>
          <w:sz w:val="24"/>
          <w:szCs w:val="24"/>
        </w:rPr>
        <w:t> that the Pu(IV)-loading capacity of the bifunctional layer grafted on a membrane is highly dependent on morphology of the surface of membrane</w:t>
      </w:r>
      <w:r w:rsidRPr="00220C44">
        <w:rPr>
          <w:rFonts w:ascii="Times New Roman" w:eastAsia="宋体" w:hAnsi="Times New Roman" w:cs="Times New Roman"/>
          <w:sz w:val="24"/>
          <w:szCs w:val="24"/>
          <w:vertAlign w:val="superscript"/>
        </w:rPr>
        <w:t>3-5</w:t>
      </w:r>
      <w:r w:rsidRPr="00220C44">
        <w:rPr>
          <w:rFonts w:ascii="Times New Roman" w:eastAsia="宋体" w:hAnsi="Times New Roman" w:cs="Times New Roman"/>
          <w:sz w:val="24"/>
          <w:szCs w:val="24"/>
        </w:rPr>
        <w:t>.</w:t>
      </w:r>
    </w:p>
    <w:p w14:paraId="4FDFA25F" w14:textId="77777777" w:rsidR="00A55AC4" w:rsidRPr="00220C44" w:rsidRDefault="00A55AC4" w:rsidP="00BF2A9F">
      <w:pPr>
        <w:adjustRightInd w:val="0"/>
        <w:snapToGrid w:val="0"/>
        <w:spacing w:line="360" w:lineRule="auto"/>
        <w:jc w:val="center"/>
        <w:rPr>
          <w:rFonts w:ascii="Times New Roman" w:eastAsia="宋体" w:hAnsi="Times New Roman" w:cs="Times New Roman"/>
          <w:b/>
          <w:bCs/>
          <w:sz w:val="24"/>
          <w:szCs w:val="24"/>
        </w:rPr>
      </w:pPr>
      <w:r w:rsidRPr="00220C44">
        <w:rPr>
          <w:rFonts w:ascii="Times New Roman" w:eastAsia="宋体" w:hAnsi="Times New Roman" w:cs="Times New Roman"/>
          <w:b/>
          <w:bCs/>
          <w:sz w:val="24"/>
          <w:szCs w:val="24"/>
        </w:rPr>
        <w:t xml:space="preserve">Table 1. </w:t>
      </w:r>
      <w:proofErr w:type="gramStart"/>
      <w:r w:rsidRPr="00220C44">
        <w:rPr>
          <w:rFonts w:ascii="Times New Roman" w:eastAsia="宋体" w:hAnsi="Times New Roman" w:cs="Times New Roman"/>
          <w:b/>
          <w:bCs/>
          <w:sz w:val="24"/>
          <w:szCs w:val="24"/>
        </w:rPr>
        <w:t>Pu(</w:t>
      </w:r>
      <w:proofErr w:type="gramEnd"/>
      <w:r w:rsidRPr="00220C44">
        <w:rPr>
          <w:rFonts w:ascii="Times New Roman" w:eastAsia="宋体" w:hAnsi="Times New Roman" w:cs="Times New Roman"/>
          <w:b/>
          <w:bCs/>
          <w:sz w:val="24"/>
          <w:szCs w:val="24"/>
        </w:rPr>
        <w:t>IV) loading capacity of the bifunctional layer grafted on a surface of the PES membranes having different pore sizes.</w:t>
      </w:r>
    </w:p>
    <w:tbl>
      <w:tblPr>
        <w:tblW w:w="8271"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785"/>
        <w:gridCol w:w="2690"/>
        <w:gridCol w:w="2796"/>
      </w:tblGrid>
      <w:tr w:rsidR="00A55AC4" w:rsidRPr="00220C44" w14:paraId="65DED4E0" w14:textId="77777777" w:rsidTr="006C6DB7">
        <w:trPr>
          <w:jc w:val="center"/>
        </w:trPr>
        <w:tc>
          <w:tcPr>
            <w:tcW w:w="2785" w:type="dxa"/>
            <w:tcBorders>
              <w:bottom w:val="nil"/>
              <w:right w:val="nil"/>
            </w:tcBorders>
            <w:shd w:val="clear" w:color="auto" w:fill="auto"/>
            <w:tcMar>
              <w:top w:w="75" w:type="dxa"/>
              <w:left w:w="75" w:type="dxa"/>
              <w:bottom w:w="75" w:type="dxa"/>
              <w:right w:w="75" w:type="dxa"/>
            </w:tcMar>
            <w:vAlign w:val="center"/>
          </w:tcPr>
          <w:p w14:paraId="5165081A"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Pore size (</w:t>
            </w:r>
            <w:proofErr w:type="spellStart"/>
            <w:r w:rsidRPr="00220C44">
              <w:rPr>
                <w:rFonts w:ascii="Times New Roman" w:eastAsia="宋体" w:hAnsi="Times New Roman" w:cs="Times New Roman"/>
                <w:bCs/>
                <w:kern w:val="0"/>
                <w:sz w:val="24"/>
                <w:szCs w:val="24"/>
                <w:lang w:bidi="ar"/>
              </w:rPr>
              <w:t>μm</w:t>
            </w:r>
            <w:proofErr w:type="spellEnd"/>
            <w:r w:rsidRPr="00220C44">
              <w:rPr>
                <w:rFonts w:ascii="Times New Roman" w:eastAsia="宋体" w:hAnsi="Times New Roman" w:cs="Times New Roman"/>
                <w:bCs/>
                <w:kern w:val="0"/>
                <w:sz w:val="24"/>
                <w:szCs w:val="24"/>
                <w:lang w:bidi="ar"/>
              </w:rPr>
              <w:t>)</w:t>
            </w:r>
          </w:p>
        </w:tc>
        <w:tc>
          <w:tcPr>
            <w:tcW w:w="5486" w:type="dxa"/>
            <w:gridSpan w:val="2"/>
            <w:tcBorders>
              <w:bottom w:val="single" w:sz="4" w:space="0" w:color="auto"/>
              <w:right w:val="nil"/>
            </w:tcBorders>
            <w:shd w:val="clear" w:color="auto" w:fill="auto"/>
            <w:tcMar>
              <w:top w:w="75" w:type="dxa"/>
              <w:left w:w="75" w:type="dxa"/>
              <w:bottom w:w="75" w:type="dxa"/>
              <w:right w:w="75" w:type="dxa"/>
            </w:tcMar>
            <w:vAlign w:val="center"/>
          </w:tcPr>
          <w:p w14:paraId="2BF4B55F"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Pu loading capacity (</w:t>
            </w:r>
            <w:proofErr w:type="spellStart"/>
            <w:r w:rsidRPr="00220C44">
              <w:rPr>
                <w:rFonts w:ascii="Times New Roman" w:eastAsia="宋体" w:hAnsi="Times New Roman" w:cs="Times New Roman"/>
                <w:bCs/>
                <w:kern w:val="0"/>
                <w:sz w:val="24"/>
                <w:szCs w:val="24"/>
                <w:lang w:bidi="ar"/>
              </w:rPr>
              <w:t>μg</w:t>
            </w:r>
            <w:proofErr w:type="spellEnd"/>
            <w:r w:rsidRPr="00220C44">
              <w:rPr>
                <w:rFonts w:ascii="Times New Roman" w:eastAsia="宋体" w:hAnsi="Times New Roman" w:cs="Times New Roman"/>
                <w:bCs/>
                <w:kern w:val="0"/>
                <w:sz w:val="24"/>
                <w:szCs w:val="24"/>
                <w:lang w:bidi="ar"/>
              </w:rPr>
              <w:t>)</w:t>
            </w:r>
          </w:p>
        </w:tc>
      </w:tr>
      <w:tr w:rsidR="00A55AC4" w:rsidRPr="00220C44" w14:paraId="216B9200" w14:textId="77777777" w:rsidTr="006C6DB7">
        <w:trPr>
          <w:jc w:val="center"/>
        </w:trPr>
        <w:tc>
          <w:tcPr>
            <w:tcW w:w="2785" w:type="dxa"/>
            <w:tcBorders>
              <w:bottom w:val="single" w:sz="4" w:space="0" w:color="auto"/>
              <w:right w:val="nil"/>
            </w:tcBorders>
            <w:shd w:val="clear" w:color="auto" w:fill="auto"/>
            <w:tcMar>
              <w:top w:w="75" w:type="dxa"/>
              <w:left w:w="75" w:type="dxa"/>
              <w:bottom w:w="75" w:type="dxa"/>
              <w:right w:w="75" w:type="dxa"/>
            </w:tcMar>
            <w:vAlign w:val="center"/>
          </w:tcPr>
          <w:p w14:paraId="30998DA3" w14:textId="77777777" w:rsidR="00A55AC4" w:rsidRPr="00220C44" w:rsidRDefault="00A55AC4" w:rsidP="00BF2A9F">
            <w:pPr>
              <w:adjustRightInd w:val="0"/>
              <w:snapToGrid w:val="0"/>
              <w:spacing w:line="360" w:lineRule="auto"/>
              <w:jc w:val="center"/>
              <w:rPr>
                <w:rFonts w:ascii="Times New Roman" w:eastAsia="宋体" w:hAnsi="Times New Roman" w:cs="Times New Roman"/>
                <w:bCs/>
                <w:sz w:val="24"/>
                <w:szCs w:val="24"/>
              </w:rPr>
            </w:pPr>
          </w:p>
        </w:tc>
        <w:tc>
          <w:tcPr>
            <w:tcW w:w="2690" w:type="dxa"/>
            <w:tcBorders>
              <w:top w:val="single" w:sz="4" w:space="0" w:color="auto"/>
              <w:bottom w:val="single" w:sz="4" w:space="0" w:color="auto"/>
              <w:right w:val="nil"/>
            </w:tcBorders>
            <w:shd w:val="clear" w:color="auto" w:fill="auto"/>
            <w:tcMar>
              <w:top w:w="75" w:type="dxa"/>
              <w:left w:w="75" w:type="dxa"/>
              <w:bottom w:w="75" w:type="dxa"/>
              <w:right w:w="75" w:type="dxa"/>
            </w:tcMar>
            <w:vAlign w:val="center"/>
          </w:tcPr>
          <w:p w14:paraId="0DDB6E26"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Rough side</w:t>
            </w:r>
          </w:p>
        </w:tc>
        <w:tc>
          <w:tcPr>
            <w:tcW w:w="2796" w:type="dxa"/>
            <w:tcBorders>
              <w:top w:val="single" w:sz="4" w:space="0" w:color="auto"/>
              <w:bottom w:val="single" w:sz="4" w:space="0" w:color="auto"/>
              <w:right w:val="nil"/>
            </w:tcBorders>
            <w:shd w:val="clear" w:color="auto" w:fill="auto"/>
            <w:tcMar>
              <w:top w:w="75" w:type="dxa"/>
              <w:left w:w="75" w:type="dxa"/>
              <w:bottom w:w="75" w:type="dxa"/>
              <w:right w:w="75" w:type="dxa"/>
            </w:tcMar>
            <w:vAlign w:val="center"/>
          </w:tcPr>
          <w:p w14:paraId="361D69AB"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Glossy side</w:t>
            </w:r>
          </w:p>
        </w:tc>
      </w:tr>
      <w:tr w:rsidR="00A55AC4" w:rsidRPr="00220C44" w14:paraId="253484B3" w14:textId="77777777" w:rsidTr="006C6DB7">
        <w:trPr>
          <w:jc w:val="center"/>
        </w:trPr>
        <w:tc>
          <w:tcPr>
            <w:tcW w:w="2785" w:type="dxa"/>
            <w:tcBorders>
              <w:top w:val="single" w:sz="4" w:space="0" w:color="auto"/>
              <w:bottom w:val="nil"/>
              <w:right w:val="nil"/>
            </w:tcBorders>
            <w:shd w:val="clear" w:color="auto" w:fill="auto"/>
            <w:tcMar>
              <w:top w:w="75" w:type="dxa"/>
              <w:left w:w="75" w:type="dxa"/>
              <w:bottom w:w="75" w:type="dxa"/>
              <w:right w:w="75" w:type="dxa"/>
            </w:tcMar>
            <w:vAlign w:val="center"/>
          </w:tcPr>
          <w:p w14:paraId="36CCCB6A"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0.1</w:t>
            </w:r>
          </w:p>
        </w:tc>
        <w:tc>
          <w:tcPr>
            <w:tcW w:w="2690" w:type="dxa"/>
            <w:tcBorders>
              <w:top w:val="single" w:sz="4" w:space="0" w:color="auto"/>
              <w:bottom w:val="nil"/>
              <w:right w:val="nil"/>
            </w:tcBorders>
            <w:shd w:val="clear" w:color="auto" w:fill="auto"/>
            <w:tcMar>
              <w:top w:w="75" w:type="dxa"/>
              <w:left w:w="75" w:type="dxa"/>
              <w:bottom w:w="75" w:type="dxa"/>
              <w:right w:w="75" w:type="dxa"/>
            </w:tcMar>
            <w:vAlign w:val="center"/>
          </w:tcPr>
          <w:p w14:paraId="69A46AEF"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2.56 ± 0.06</w:t>
            </w:r>
          </w:p>
        </w:tc>
        <w:tc>
          <w:tcPr>
            <w:tcW w:w="2796" w:type="dxa"/>
            <w:tcBorders>
              <w:top w:val="single" w:sz="4" w:space="0" w:color="auto"/>
              <w:bottom w:val="nil"/>
              <w:right w:val="nil"/>
            </w:tcBorders>
            <w:shd w:val="clear" w:color="auto" w:fill="auto"/>
            <w:tcMar>
              <w:top w:w="75" w:type="dxa"/>
              <w:left w:w="75" w:type="dxa"/>
              <w:bottom w:w="75" w:type="dxa"/>
              <w:right w:w="75" w:type="dxa"/>
            </w:tcMar>
            <w:vAlign w:val="center"/>
          </w:tcPr>
          <w:p w14:paraId="63A75353"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1.83 ± 0.08</w:t>
            </w:r>
          </w:p>
        </w:tc>
      </w:tr>
      <w:tr w:rsidR="00A55AC4" w:rsidRPr="00220C44" w14:paraId="5798021C" w14:textId="77777777" w:rsidTr="006C6DB7">
        <w:trPr>
          <w:jc w:val="center"/>
        </w:trPr>
        <w:tc>
          <w:tcPr>
            <w:tcW w:w="2785" w:type="dxa"/>
            <w:tcBorders>
              <w:right w:val="nil"/>
            </w:tcBorders>
            <w:shd w:val="clear" w:color="auto" w:fill="auto"/>
            <w:tcMar>
              <w:top w:w="75" w:type="dxa"/>
              <w:left w:w="75" w:type="dxa"/>
              <w:bottom w:w="75" w:type="dxa"/>
              <w:right w:w="75" w:type="dxa"/>
            </w:tcMar>
            <w:vAlign w:val="center"/>
          </w:tcPr>
          <w:p w14:paraId="6AD38FEE"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0.2</w:t>
            </w:r>
          </w:p>
        </w:tc>
        <w:tc>
          <w:tcPr>
            <w:tcW w:w="2690" w:type="dxa"/>
            <w:tcBorders>
              <w:right w:val="nil"/>
            </w:tcBorders>
            <w:shd w:val="clear" w:color="auto" w:fill="auto"/>
            <w:tcMar>
              <w:top w:w="75" w:type="dxa"/>
              <w:left w:w="75" w:type="dxa"/>
              <w:bottom w:w="75" w:type="dxa"/>
              <w:right w:w="75" w:type="dxa"/>
            </w:tcMar>
            <w:vAlign w:val="center"/>
          </w:tcPr>
          <w:p w14:paraId="5145938C"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1.79 ± 0.09</w:t>
            </w:r>
          </w:p>
        </w:tc>
        <w:tc>
          <w:tcPr>
            <w:tcW w:w="2796" w:type="dxa"/>
            <w:tcBorders>
              <w:right w:val="nil"/>
            </w:tcBorders>
            <w:shd w:val="clear" w:color="auto" w:fill="auto"/>
            <w:tcMar>
              <w:top w:w="75" w:type="dxa"/>
              <w:left w:w="75" w:type="dxa"/>
              <w:bottom w:w="75" w:type="dxa"/>
              <w:right w:w="75" w:type="dxa"/>
            </w:tcMar>
            <w:vAlign w:val="center"/>
          </w:tcPr>
          <w:p w14:paraId="753A45E3"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1.08 ± 0.10</w:t>
            </w:r>
          </w:p>
        </w:tc>
      </w:tr>
    </w:tbl>
    <w:p w14:paraId="7D95D4B2" w14:textId="77777777" w:rsidR="006C4E0F" w:rsidRDefault="006C4E0F" w:rsidP="00BF2A9F">
      <w:pPr>
        <w:adjustRightInd w:val="0"/>
        <w:snapToGrid w:val="0"/>
        <w:spacing w:beforeLines="50" w:before="156" w:line="360" w:lineRule="auto"/>
        <w:ind w:firstLineChars="200" w:firstLine="480"/>
        <w:jc w:val="left"/>
        <w:rPr>
          <w:rFonts w:ascii="Times New Roman" w:eastAsia="宋体" w:hAnsi="Times New Roman" w:cs="Times New Roman"/>
          <w:sz w:val="24"/>
          <w:szCs w:val="24"/>
        </w:rPr>
      </w:pPr>
    </w:p>
    <w:p w14:paraId="780D9969" w14:textId="77777777" w:rsidR="00A55AC4" w:rsidRPr="00220C44" w:rsidRDefault="00A55AC4" w:rsidP="00BF2A9F">
      <w:pPr>
        <w:adjustRightInd w:val="0"/>
        <w:snapToGrid w:val="0"/>
        <w:spacing w:beforeLines="50" w:before="156" w:line="360" w:lineRule="auto"/>
        <w:ind w:firstLineChars="200" w:firstLine="480"/>
        <w:jc w:val="left"/>
        <w:rPr>
          <w:rFonts w:ascii="Times New Roman" w:eastAsia="宋体" w:hAnsi="Times New Roman" w:cs="Times New Roman"/>
          <w:sz w:val="24"/>
          <w:szCs w:val="24"/>
        </w:rPr>
      </w:pPr>
      <w:r w:rsidRPr="00220C44">
        <w:rPr>
          <w:rFonts w:ascii="Times New Roman" w:eastAsia="宋体" w:hAnsi="Times New Roman" w:cs="Times New Roman"/>
          <w:sz w:val="24"/>
          <w:szCs w:val="24"/>
        </w:rPr>
        <w:lastRenderedPageBreak/>
        <w:t>试验钢的非金属夹杂物等级达到：</w:t>
      </w:r>
      <w:r w:rsidRPr="00220C44">
        <w:rPr>
          <w:rFonts w:ascii="Times New Roman" w:eastAsia="宋体" w:hAnsi="Times New Roman" w:cs="Times New Roman"/>
          <w:sz w:val="24"/>
          <w:szCs w:val="24"/>
        </w:rPr>
        <w:t>A0</w:t>
      </w:r>
      <w:r w:rsidRPr="00220C44">
        <w:rPr>
          <w:rFonts w:ascii="Times New Roman" w:eastAsia="宋体" w:hAnsi="Times New Roman" w:cs="Times New Roman"/>
          <w:sz w:val="24"/>
          <w:szCs w:val="24"/>
        </w:rPr>
        <w:t>、</w:t>
      </w:r>
      <w:r w:rsidRPr="00220C44">
        <w:rPr>
          <w:rFonts w:ascii="Times New Roman" w:eastAsia="宋体" w:hAnsi="Times New Roman" w:cs="Times New Roman"/>
          <w:sz w:val="24"/>
          <w:szCs w:val="24"/>
        </w:rPr>
        <w:t>B0</w:t>
      </w:r>
      <w:r w:rsidRPr="00220C44">
        <w:rPr>
          <w:rFonts w:ascii="Times New Roman" w:eastAsia="宋体" w:hAnsi="Times New Roman" w:cs="Times New Roman"/>
          <w:sz w:val="24"/>
          <w:szCs w:val="24"/>
        </w:rPr>
        <w:t>、</w:t>
      </w:r>
      <w:r w:rsidRPr="00220C44">
        <w:rPr>
          <w:rFonts w:ascii="Times New Roman" w:eastAsia="宋体" w:hAnsi="Times New Roman" w:cs="Times New Roman"/>
          <w:sz w:val="24"/>
          <w:szCs w:val="24"/>
        </w:rPr>
        <w:t>C0</w:t>
      </w:r>
      <w:r w:rsidRPr="00220C44">
        <w:rPr>
          <w:rFonts w:ascii="Times New Roman" w:eastAsia="宋体" w:hAnsi="Times New Roman" w:cs="Times New Roman"/>
          <w:sz w:val="24"/>
          <w:szCs w:val="24"/>
        </w:rPr>
        <w:t>、</w:t>
      </w:r>
      <w:r w:rsidRPr="00220C44">
        <w:rPr>
          <w:rFonts w:ascii="Times New Roman" w:eastAsia="宋体" w:hAnsi="Times New Roman" w:cs="Times New Roman"/>
          <w:sz w:val="24"/>
          <w:szCs w:val="24"/>
        </w:rPr>
        <w:t>D0.5</w:t>
      </w:r>
      <w:r w:rsidRPr="00220C44">
        <w:rPr>
          <w:rFonts w:ascii="Times New Roman" w:eastAsia="宋体" w:hAnsi="Times New Roman" w:cs="Times New Roman"/>
          <w:sz w:val="24"/>
          <w:szCs w:val="24"/>
        </w:rPr>
        <w:t>、</w:t>
      </w:r>
      <w:r w:rsidRPr="00220C44">
        <w:rPr>
          <w:rFonts w:ascii="Times New Roman" w:eastAsia="宋体" w:hAnsi="Times New Roman" w:cs="Times New Roman"/>
          <w:sz w:val="24"/>
          <w:szCs w:val="24"/>
        </w:rPr>
        <w:t>DS0</w:t>
      </w:r>
      <w:r w:rsidRPr="00220C44">
        <w:rPr>
          <w:rFonts w:ascii="Times New Roman" w:eastAsia="宋体" w:hAnsi="Times New Roman" w:cs="Times New Roman"/>
          <w:sz w:val="24"/>
          <w:szCs w:val="24"/>
        </w:rPr>
        <w:t>，高的纯净度保证钢的综合力学性能</w:t>
      </w:r>
      <w:r w:rsidRPr="00220C44">
        <w:rPr>
          <w:rFonts w:ascii="Times New Roman" w:eastAsia="宋体" w:hAnsi="Times New Roman" w:cs="Times New Roman"/>
          <w:sz w:val="24"/>
          <w:szCs w:val="24"/>
          <w:vertAlign w:val="superscript"/>
        </w:rPr>
        <w:t>1,4</w:t>
      </w:r>
      <w:r w:rsidRPr="00220C44">
        <w:rPr>
          <w:rFonts w:ascii="Times New Roman" w:eastAsia="宋体" w:hAnsi="Times New Roman" w:cs="Times New Roman"/>
          <w:sz w:val="24"/>
          <w:szCs w:val="24"/>
        </w:rPr>
        <w:t>。</w:t>
      </w:r>
    </w:p>
    <w:p w14:paraId="3CC34EF3" w14:textId="77777777" w:rsidR="00575692" w:rsidRPr="00220C44" w:rsidRDefault="00A55AC4" w:rsidP="00575692">
      <w:pPr>
        <w:adjustRightInd w:val="0"/>
        <w:snapToGrid w:val="0"/>
        <w:spacing w:line="360" w:lineRule="auto"/>
        <w:ind w:firstLineChars="200" w:firstLine="480"/>
        <w:jc w:val="left"/>
        <w:rPr>
          <w:rFonts w:ascii="Times New Roman" w:eastAsia="宋体" w:hAnsi="Times New Roman" w:cs="Times New Roman"/>
          <w:sz w:val="24"/>
          <w:szCs w:val="24"/>
        </w:rPr>
      </w:pPr>
      <w:r w:rsidRPr="006B3792">
        <w:rPr>
          <w:rFonts w:ascii="Times New Roman" w:eastAsia="宋体" w:hAnsi="Times New Roman" w:cs="Times New Roman"/>
          <w:color w:val="4472C4" w:themeColor="accent5"/>
          <w:sz w:val="24"/>
          <w:szCs w:val="24"/>
          <w:u w:val="single"/>
        </w:rPr>
        <w:t>图</w:t>
      </w:r>
      <w:r w:rsidRPr="006B3792">
        <w:rPr>
          <w:rFonts w:ascii="Times New Roman" w:eastAsia="宋体" w:hAnsi="Times New Roman" w:cs="Times New Roman"/>
          <w:color w:val="4472C4" w:themeColor="accent5"/>
          <w:sz w:val="24"/>
          <w:szCs w:val="24"/>
          <w:u w:val="single"/>
        </w:rPr>
        <w:t>2</w:t>
      </w:r>
      <w:r w:rsidRPr="00220C44">
        <w:rPr>
          <w:rFonts w:ascii="Times New Roman" w:eastAsia="宋体" w:hAnsi="Times New Roman" w:cs="Times New Roman"/>
          <w:sz w:val="24"/>
          <w:szCs w:val="24"/>
        </w:rPr>
        <w:t>为试验</w:t>
      </w:r>
      <w:proofErr w:type="gramStart"/>
      <w:r w:rsidRPr="00220C44">
        <w:rPr>
          <w:rFonts w:ascii="Times New Roman" w:eastAsia="宋体" w:hAnsi="Times New Roman" w:cs="Times New Roman"/>
          <w:sz w:val="24"/>
          <w:szCs w:val="24"/>
        </w:rPr>
        <w:t>炮钢经</w:t>
      </w:r>
      <w:proofErr w:type="gramEnd"/>
      <w:r w:rsidRPr="00220C44">
        <w:rPr>
          <w:rFonts w:ascii="Times New Roman" w:eastAsia="宋体" w:hAnsi="Times New Roman" w:cs="Times New Roman"/>
          <w:sz w:val="24"/>
          <w:szCs w:val="24"/>
        </w:rPr>
        <w:t>淬火高温回火后组织的</w:t>
      </w:r>
      <w:r w:rsidRPr="00220C44">
        <w:rPr>
          <w:rFonts w:ascii="Times New Roman" w:eastAsia="宋体" w:hAnsi="Times New Roman" w:cs="Times New Roman"/>
          <w:sz w:val="24"/>
          <w:szCs w:val="24"/>
        </w:rPr>
        <w:t>TEM</w:t>
      </w:r>
      <w:r w:rsidRPr="00220C44">
        <w:rPr>
          <w:rFonts w:ascii="Times New Roman" w:eastAsia="宋体" w:hAnsi="Times New Roman" w:cs="Times New Roman"/>
          <w:sz w:val="24"/>
          <w:szCs w:val="24"/>
        </w:rPr>
        <w:t>形貌。可以看到，显著细化的马氏体板条，板条间有细小的碳化物析出，使</w:t>
      </w:r>
      <w:proofErr w:type="gramStart"/>
      <w:r w:rsidRPr="00220C44">
        <w:rPr>
          <w:rFonts w:ascii="Times New Roman" w:eastAsia="宋体" w:hAnsi="Times New Roman" w:cs="Times New Roman"/>
          <w:sz w:val="24"/>
          <w:szCs w:val="24"/>
        </w:rPr>
        <w:t>炮钢得到</w:t>
      </w:r>
      <w:proofErr w:type="gramEnd"/>
      <w:r w:rsidRPr="00220C44">
        <w:rPr>
          <w:rFonts w:ascii="Times New Roman" w:eastAsia="宋体" w:hAnsi="Times New Roman" w:cs="Times New Roman"/>
          <w:sz w:val="24"/>
          <w:szCs w:val="24"/>
        </w:rPr>
        <w:t>强化。</w:t>
      </w:r>
    </w:p>
    <w:p w14:paraId="2BB89938" w14:textId="67F85A81" w:rsidR="00A55AC4" w:rsidRPr="00220C44" w:rsidRDefault="00A55AC4" w:rsidP="00BF2A9F">
      <w:pPr>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noProof/>
          <w:sz w:val="24"/>
          <w:szCs w:val="24"/>
        </w:rPr>
        <w:drawing>
          <wp:inline distT="0" distB="0" distL="114300" distR="114300" wp14:anchorId="3C620220" wp14:editId="3DB4F54F">
            <wp:extent cx="2492375" cy="2096135"/>
            <wp:effectExtent l="0" t="0" r="3175"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492375" cy="2096135"/>
                    </a:xfrm>
                    <a:prstGeom prst="rect">
                      <a:avLst/>
                    </a:prstGeom>
                    <a:noFill/>
                    <a:ln w="9525">
                      <a:noFill/>
                    </a:ln>
                  </pic:spPr>
                </pic:pic>
              </a:graphicData>
            </a:graphic>
          </wp:inline>
        </w:drawing>
      </w:r>
    </w:p>
    <w:p w14:paraId="6B421AC2" w14:textId="77777777" w:rsidR="00A55AC4" w:rsidRPr="00220C44" w:rsidRDefault="00A55AC4" w:rsidP="00BF2A9F">
      <w:pPr>
        <w:adjustRightInd w:val="0"/>
        <w:snapToGrid w:val="0"/>
        <w:spacing w:line="360" w:lineRule="auto"/>
        <w:jc w:val="center"/>
        <w:rPr>
          <w:rFonts w:ascii="Times New Roman" w:eastAsia="宋体" w:hAnsi="Times New Roman" w:cs="Times New Roman"/>
          <w:b/>
          <w:bCs/>
          <w:sz w:val="24"/>
          <w:szCs w:val="24"/>
        </w:rPr>
      </w:pPr>
      <w:r w:rsidRPr="00220C44">
        <w:rPr>
          <w:rFonts w:ascii="Times New Roman" w:eastAsia="宋体" w:hAnsi="Times New Roman" w:cs="Times New Roman"/>
          <w:b/>
          <w:bCs/>
          <w:sz w:val="24"/>
          <w:szCs w:val="24"/>
        </w:rPr>
        <w:t>图</w:t>
      </w:r>
      <w:r w:rsidR="00575692" w:rsidRPr="00220C44">
        <w:rPr>
          <w:rFonts w:ascii="Times New Roman" w:eastAsia="宋体" w:hAnsi="Times New Roman" w:cs="Times New Roman"/>
          <w:b/>
          <w:bCs/>
          <w:sz w:val="24"/>
          <w:szCs w:val="24"/>
        </w:rPr>
        <w:t>2</w:t>
      </w:r>
      <w:r w:rsidRPr="00220C44">
        <w:rPr>
          <w:rFonts w:ascii="Times New Roman" w:eastAsia="宋体" w:hAnsi="Times New Roman" w:cs="Times New Roman"/>
          <w:b/>
          <w:bCs/>
          <w:sz w:val="24"/>
          <w:szCs w:val="24"/>
        </w:rPr>
        <w:t xml:space="preserve">. </w:t>
      </w:r>
      <w:proofErr w:type="gramStart"/>
      <w:r w:rsidRPr="00220C44">
        <w:rPr>
          <w:rFonts w:ascii="Times New Roman" w:eastAsia="宋体" w:hAnsi="Times New Roman" w:cs="Times New Roman"/>
          <w:b/>
          <w:bCs/>
          <w:sz w:val="24"/>
          <w:szCs w:val="24"/>
        </w:rPr>
        <w:t>新型炮钢的</w:t>
      </w:r>
      <w:proofErr w:type="gramEnd"/>
      <w:r w:rsidRPr="00220C44">
        <w:rPr>
          <w:rFonts w:ascii="Times New Roman" w:eastAsia="宋体" w:hAnsi="Times New Roman" w:cs="Times New Roman"/>
          <w:b/>
          <w:bCs/>
          <w:sz w:val="24"/>
          <w:szCs w:val="24"/>
        </w:rPr>
        <w:t>TEM</w:t>
      </w:r>
      <w:r w:rsidRPr="00220C44">
        <w:rPr>
          <w:rFonts w:ascii="Times New Roman" w:eastAsia="宋体" w:hAnsi="Times New Roman" w:cs="Times New Roman"/>
          <w:b/>
          <w:bCs/>
          <w:sz w:val="24"/>
          <w:szCs w:val="24"/>
        </w:rPr>
        <w:t>图</w:t>
      </w:r>
    </w:p>
    <w:p w14:paraId="620987E6" w14:textId="77777777" w:rsidR="006C4E0F" w:rsidRDefault="006C4E0F" w:rsidP="00BF2A9F">
      <w:pPr>
        <w:adjustRightInd w:val="0"/>
        <w:snapToGrid w:val="0"/>
        <w:spacing w:line="360" w:lineRule="auto"/>
        <w:rPr>
          <w:rFonts w:ascii="Times New Roman" w:eastAsia="宋体" w:hAnsi="Times New Roman" w:cs="Times New Roman"/>
          <w:sz w:val="24"/>
          <w:szCs w:val="24"/>
        </w:rPr>
      </w:pPr>
    </w:p>
    <w:p w14:paraId="22AF7379" w14:textId="77777777" w:rsidR="00A55AC4" w:rsidRPr="00220C44" w:rsidRDefault="00A55AC4" w:rsidP="00BF2A9F">
      <w:pPr>
        <w:adjustRightInd w:val="0"/>
        <w:snapToGrid w:val="0"/>
        <w:spacing w:line="360" w:lineRule="auto"/>
        <w:rPr>
          <w:rFonts w:ascii="Times New Roman" w:eastAsia="宋体" w:hAnsi="Times New Roman" w:cs="Times New Roman"/>
          <w:sz w:val="24"/>
          <w:szCs w:val="24"/>
        </w:rPr>
      </w:pPr>
      <w:r w:rsidRPr="00220C44">
        <w:rPr>
          <w:rFonts w:ascii="Times New Roman" w:eastAsia="宋体" w:hAnsi="Times New Roman" w:cs="Times New Roman"/>
          <w:sz w:val="24"/>
          <w:szCs w:val="24"/>
        </w:rPr>
        <w:t xml:space="preserve">The typical alpha spectra obtained from the HEMP–AMPS membrane samples prepared by loading Pu from the </w:t>
      </w:r>
      <w:proofErr w:type="spellStart"/>
      <w:r w:rsidRPr="00220C44">
        <w:rPr>
          <w:rFonts w:ascii="Times New Roman" w:eastAsia="宋体" w:hAnsi="Times New Roman" w:cs="Times New Roman"/>
          <w:sz w:val="24"/>
          <w:szCs w:val="24"/>
        </w:rPr>
        <w:t>unspiked</w:t>
      </w:r>
      <w:proofErr w:type="spellEnd"/>
      <w:r w:rsidRPr="00220C44">
        <w:rPr>
          <w:rFonts w:ascii="Times New Roman" w:eastAsia="宋体" w:hAnsi="Times New Roman" w:cs="Times New Roman"/>
          <w:sz w:val="24"/>
          <w:szCs w:val="24"/>
        </w:rPr>
        <w:t xml:space="preserve"> and 238Pu spiked dissolver solutions are shown in</w:t>
      </w:r>
      <w:r w:rsidRPr="006B3792">
        <w:rPr>
          <w:rFonts w:ascii="Times New Roman" w:eastAsia="宋体" w:hAnsi="Times New Roman" w:cs="Times New Roman"/>
          <w:color w:val="4472C4" w:themeColor="accent5"/>
          <w:sz w:val="24"/>
          <w:szCs w:val="24"/>
        </w:rPr>
        <w:t> </w:t>
      </w:r>
      <w:bookmarkStart w:id="2" w:name="bfig0030"/>
      <w:r w:rsidRPr="006B3792">
        <w:rPr>
          <w:rFonts w:ascii="Times New Roman" w:eastAsia="宋体" w:hAnsi="Times New Roman" w:cs="Times New Roman"/>
          <w:color w:val="4472C4" w:themeColor="accent5"/>
          <w:sz w:val="24"/>
          <w:szCs w:val="24"/>
        </w:rPr>
        <w:fldChar w:fldCharType="begin"/>
      </w:r>
      <w:r w:rsidRPr="006B3792">
        <w:rPr>
          <w:rFonts w:ascii="Times New Roman" w:eastAsia="宋体" w:hAnsi="Times New Roman" w:cs="Times New Roman"/>
          <w:color w:val="4472C4" w:themeColor="accent5"/>
          <w:sz w:val="24"/>
          <w:szCs w:val="24"/>
        </w:rPr>
        <w:instrText xml:space="preserve"> HYPERLINK "https://www.sciencedirect.com/science/article/pii/S0003267015005565" \l "fig0030" </w:instrText>
      </w:r>
      <w:r w:rsidRPr="006B3792">
        <w:rPr>
          <w:rFonts w:ascii="Times New Roman" w:eastAsia="宋体" w:hAnsi="Times New Roman" w:cs="Times New Roman"/>
          <w:color w:val="4472C4" w:themeColor="accent5"/>
          <w:sz w:val="24"/>
          <w:szCs w:val="24"/>
        </w:rPr>
        <w:fldChar w:fldCharType="separate"/>
      </w:r>
      <w:r w:rsidRPr="006B3792">
        <w:rPr>
          <w:rStyle w:val="aa"/>
          <w:rFonts w:ascii="Times New Roman" w:eastAsia="宋体" w:hAnsi="Times New Roman" w:cs="Times New Roman"/>
          <w:color w:val="4472C4" w:themeColor="accent5"/>
          <w:sz w:val="24"/>
          <w:szCs w:val="24"/>
        </w:rPr>
        <w:t xml:space="preserve">Fig. </w:t>
      </w:r>
      <w:bookmarkEnd w:id="2"/>
      <w:r w:rsidR="00220C44" w:rsidRPr="006B3792">
        <w:rPr>
          <w:rStyle w:val="aa"/>
          <w:rFonts w:ascii="Times New Roman" w:eastAsia="宋体" w:hAnsi="Times New Roman" w:cs="Times New Roman"/>
          <w:color w:val="4472C4" w:themeColor="accent5"/>
          <w:sz w:val="24"/>
          <w:szCs w:val="24"/>
        </w:rPr>
        <w:t>2</w:t>
      </w:r>
      <w:r w:rsidRPr="006B3792">
        <w:rPr>
          <w:rFonts w:ascii="Times New Roman" w:eastAsia="宋体" w:hAnsi="Times New Roman" w:cs="Times New Roman"/>
          <w:color w:val="4472C4" w:themeColor="accent5"/>
          <w:sz w:val="24"/>
          <w:szCs w:val="24"/>
        </w:rPr>
        <w:fldChar w:fldCharType="end"/>
      </w:r>
      <w:r w:rsidRPr="00220C44">
        <w:rPr>
          <w:rFonts w:ascii="Times New Roman" w:eastAsia="宋体" w:hAnsi="Times New Roman" w:cs="Times New Roman"/>
          <w:sz w:val="24"/>
          <w:szCs w:val="24"/>
        </w:rPr>
        <w:t>.In isotope dilution-alpha spectrometry (IDAS), Pu concentration in a given sample is determined from the change in 238Pu/(239Pu + 240Pu) alpha activity ratio of the sample with respect to the same in a mixture of the sample and the spike solution. </w:t>
      </w:r>
    </w:p>
    <w:p w14:paraId="3FEDB888" w14:textId="77777777" w:rsidR="00A55AC4" w:rsidRPr="00220C44" w:rsidRDefault="00A55AC4" w:rsidP="00BF2A9F">
      <w:pPr>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noProof/>
          <w:sz w:val="24"/>
          <w:szCs w:val="24"/>
        </w:rPr>
        <w:drawing>
          <wp:inline distT="0" distB="0" distL="114300" distR="114300" wp14:anchorId="4ED847E8" wp14:editId="5A4B65AC">
            <wp:extent cx="3676650" cy="241935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3676650" cy="2419350"/>
                    </a:xfrm>
                    <a:prstGeom prst="rect">
                      <a:avLst/>
                    </a:prstGeom>
                    <a:noFill/>
                    <a:ln w="9525">
                      <a:noFill/>
                    </a:ln>
                  </pic:spPr>
                </pic:pic>
              </a:graphicData>
            </a:graphic>
          </wp:inline>
        </w:drawing>
      </w:r>
    </w:p>
    <w:p w14:paraId="1DCD0F80" w14:textId="77777777" w:rsidR="00A55AC4" w:rsidRPr="00220C44" w:rsidRDefault="00A55AC4" w:rsidP="00BF2A9F">
      <w:pPr>
        <w:adjustRightInd w:val="0"/>
        <w:snapToGrid w:val="0"/>
        <w:spacing w:line="360" w:lineRule="auto"/>
        <w:jc w:val="center"/>
        <w:rPr>
          <w:rFonts w:ascii="Times New Roman" w:eastAsia="宋体" w:hAnsi="Times New Roman" w:cs="Times New Roman"/>
          <w:b/>
          <w:bCs/>
          <w:sz w:val="24"/>
          <w:szCs w:val="24"/>
        </w:rPr>
      </w:pPr>
      <w:r w:rsidRPr="00220C44">
        <w:rPr>
          <w:rFonts w:ascii="Times New Roman" w:eastAsia="宋体" w:hAnsi="Times New Roman" w:cs="Times New Roman"/>
          <w:b/>
          <w:bCs/>
          <w:sz w:val="24"/>
          <w:szCs w:val="24"/>
        </w:rPr>
        <w:t xml:space="preserve">Fig. </w:t>
      </w:r>
      <w:r w:rsidR="00575692" w:rsidRPr="00220C44">
        <w:rPr>
          <w:rFonts w:ascii="Times New Roman" w:eastAsia="宋体" w:hAnsi="Times New Roman" w:cs="Times New Roman"/>
          <w:b/>
          <w:bCs/>
          <w:sz w:val="24"/>
          <w:szCs w:val="24"/>
        </w:rPr>
        <w:t>2</w:t>
      </w:r>
      <w:r w:rsidRPr="00220C44">
        <w:rPr>
          <w:rFonts w:ascii="Times New Roman" w:eastAsia="宋体" w:hAnsi="Times New Roman" w:cs="Times New Roman"/>
          <w:b/>
          <w:bCs/>
          <w:sz w:val="24"/>
          <w:szCs w:val="24"/>
        </w:rPr>
        <w:t xml:space="preserve">. Alpha spectra obtained from the HEMP–AMPS grafted on glossy surface of PES membrane loaded with </w:t>
      </w:r>
      <w:proofErr w:type="gramStart"/>
      <w:r w:rsidRPr="00220C44">
        <w:rPr>
          <w:rFonts w:ascii="Times New Roman" w:eastAsia="宋体" w:hAnsi="Times New Roman" w:cs="Times New Roman"/>
          <w:b/>
          <w:bCs/>
          <w:sz w:val="24"/>
          <w:szCs w:val="24"/>
        </w:rPr>
        <w:t>Pu(</w:t>
      </w:r>
      <w:proofErr w:type="gramEnd"/>
      <w:r w:rsidRPr="00220C44">
        <w:rPr>
          <w:rFonts w:ascii="Times New Roman" w:eastAsia="宋体" w:hAnsi="Times New Roman" w:cs="Times New Roman"/>
          <w:b/>
          <w:bCs/>
          <w:sz w:val="24"/>
          <w:szCs w:val="24"/>
        </w:rPr>
        <w:t>IV) ions form the un-spiked and spiked dissolver solutions.</w:t>
      </w:r>
    </w:p>
    <w:p w14:paraId="5ED87006" w14:textId="77777777" w:rsidR="00EC62DB" w:rsidRPr="00220C44" w:rsidRDefault="00EC62DB" w:rsidP="00BF2A9F">
      <w:pPr>
        <w:adjustRightInd w:val="0"/>
        <w:snapToGrid w:val="0"/>
        <w:spacing w:beforeLines="50" w:before="156" w:line="360" w:lineRule="auto"/>
        <w:ind w:firstLineChars="200" w:firstLine="480"/>
        <w:jc w:val="left"/>
        <w:rPr>
          <w:rFonts w:ascii="Times New Roman" w:eastAsia="宋体" w:hAnsi="Times New Roman" w:cs="Times New Roman"/>
          <w:sz w:val="24"/>
          <w:szCs w:val="24"/>
        </w:rPr>
      </w:pPr>
    </w:p>
    <w:p w14:paraId="304E7DCF" w14:textId="099866E1" w:rsidR="00EC62DB" w:rsidRPr="00220C44" w:rsidRDefault="00EC62DB" w:rsidP="00BF2A9F">
      <w:pPr>
        <w:adjustRightInd w:val="0"/>
        <w:snapToGrid w:val="0"/>
        <w:spacing w:beforeLines="50" w:before="156" w:line="360" w:lineRule="auto"/>
        <w:ind w:firstLineChars="200" w:firstLine="480"/>
        <w:jc w:val="left"/>
        <w:rPr>
          <w:rFonts w:ascii="Times New Roman" w:eastAsia="宋体" w:hAnsi="Times New Roman" w:cs="Times New Roman"/>
          <w:sz w:val="24"/>
          <w:szCs w:val="24"/>
        </w:rPr>
      </w:pPr>
    </w:p>
    <w:p w14:paraId="5E2A91AC" w14:textId="77777777" w:rsidR="00A07CB8" w:rsidRDefault="00A07CB8" w:rsidP="00BF2A9F">
      <w:pPr>
        <w:adjustRightInd w:val="0"/>
        <w:snapToGrid w:val="0"/>
        <w:spacing w:beforeLines="50" w:before="156" w:line="360" w:lineRule="auto"/>
        <w:ind w:firstLineChars="200" w:firstLine="480"/>
        <w:jc w:val="left"/>
        <w:rPr>
          <w:rFonts w:ascii="Times New Roman" w:eastAsia="宋体" w:hAnsi="Times New Roman" w:cs="Times New Roman"/>
          <w:sz w:val="24"/>
          <w:szCs w:val="24"/>
        </w:rPr>
      </w:pPr>
    </w:p>
    <w:p w14:paraId="22236C7F" w14:textId="7C240E30" w:rsidR="00A55AC4" w:rsidRPr="00220C44" w:rsidRDefault="00A55AC4" w:rsidP="00BF2A9F">
      <w:pPr>
        <w:adjustRightInd w:val="0"/>
        <w:snapToGrid w:val="0"/>
        <w:spacing w:beforeLines="50" w:before="156" w:line="360" w:lineRule="auto"/>
        <w:ind w:firstLineChars="200" w:firstLine="480"/>
        <w:jc w:val="left"/>
        <w:rPr>
          <w:rFonts w:ascii="Times New Roman" w:eastAsia="宋体" w:hAnsi="Times New Roman" w:cs="Times New Roman"/>
          <w:sz w:val="24"/>
          <w:szCs w:val="24"/>
        </w:rPr>
      </w:pPr>
      <w:proofErr w:type="gramStart"/>
      <w:r w:rsidRPr="00220C44">
        <w:rPr>
          <w:rFonts w:ascii="Times New Roman" w:eastAsia="宋体" w:hAnsi="Times New Roman" w:cs="Times New Roman"/>
          <w:sz w:val="24"/>
          <w:szCs w:val="24"/>
        </w:rPr>
        <w:t>炮钢的</w:t>
      </w:r>
      <w:proofErr w:type="gramEnd"/>
      <w:r w:rsidRPr="00220C44">
        <w:rPr>
          <w:rFonts w:ascii="Times New Roman" w:eastAsia="宋体" w:hAnsi="Times New Roman" w:cs="Times New Roman"/>
          <w:sz w:val="24"/>
          <w:szCs w:val="24"/>
        </w:rPr>
        <w:t>韧性随着强度的提高而下降，目前</w:t>
      </w:r>
      <w:proofErr w:type="gramStart"/>
      <w:r w:rsidRPr="00220C44">
        <w:rPr>
          <w:rFonts w:ascii="Times New Roman" w:eastAsia="宋体" w:hAnsi="Times New Roman" w:cs="Times New Roman"/>
          <w:sz w:val="24"/>
          <w:szCs w:val="24"/>
        </w:rPr>
        <w:t>厚壁炮钢</w:t>
      </w:r>
      <w:proofErr w:type="gramEnd"/>
      <w:r w:rsidRPr="00220C44">
        <w:rPr>
          <w:rFonts w:ascii="Times New Roman" w:eastAsia="宋体" w:hAnsi="Times New Roman" w:cs="Times New Roman"/>
          <w:sz w:val="24"/>
          <w:szCs w:val="24"/>
        </w:rPr>
        <w:t>的屈服强度从</w:t>
      </w:r>
      <w:r w:rsidRPr="00220C44">
        <w:rPr>
          <w:rFonts w:ascii="Times New Roman" w:eastAsia="宋体" w:hAnsi="Times New Roman" w:cs="Times New Roman"/>
          <w:sz w:val="24"/>
          <w:szCs w:val="24"/>
        </w:rPr>
        <w:t>897 MPa</w:t>
      </w:r>
      <w:r w:rsidRPr="00220C44">
        <w:rPr>
          <w:rFonts w:ascii="Times New Roman" w:eastAsia="宋体" w:hAnsi="Times New Roman" w:cs="Times New Roman"/>
          <w:sz w:val="24"/>
          <w:szCs w:val="24"/>
        </w:rPr>
        <w:t>提高到</w:t>
      </w:r>
      <w:r w:rsidRPr="00220C44">
        <w:rPr>
          <w:rFonts w:ascii="Times New Roman" w:eastAsia="宋体" w:hAnsi="Times New Roman" w:cs="Times New Roman"/>
          <w:sz w:val="24"/>
          <w:szCs w:val="24"/>
        </w:rPr>
        <w:t>1173 MPa</w:t>
      </w:r>
      <w:r w:rsidRPr="00220C44">
        <w:rPr>
          <w:rFonts w:ascii="Times New Roman" w:eastAsia="宋体" w:hAnsi="Times New Roman" w:cs="Times New Roman"/>
          <w:sz w:val="24"/>
          <w:szCs w:val="24"/>
        </w:rPr>
        <w:t>，冲击韧性下降一半，</w:t>
      </w:r>
      <w:r w:rsidRPr="00220C44">
        <w:rPr>
          <w:rFonts w:ascii="Times New Roman" w:eastAsia="宋体" w:hAnsi="Times New Roman" w:cs="Times New Roman"/>
          <w:sz w:val="24"/>
          <w:szCs w:val="24"/>
        </w:rPr>
        <w:t>-40 ℃</w:t>
      </w:r>
      <w:r w:rsidRPr="00220C44">
        <w:rPr>
          <w:rFonts w:ascii="Times New Roman" w:eastAsia="宋体" w:hAnsi="Times New Roman" w:cs="Times New Roman"/>
          <w:sz w:val="24"/>
          <w:szCs w:val="24"/>
        </w:rPr>
        <w:t>冲击</w:t>
      </w:r>
      <w:proofErr w:type="gramStart"/>
      <w:r w:rsidRPr="00220C44">
        <w:rPr>
          <w:rFonts w:ascii="Times New Roman" w:eastAsia="宋体" w:hAnsi="Times New Roman" w:cs="Times New Roman"/>
          <w:sz w:val="24"/>
          <w:szCs w:val="24"/>
        </w:rPr>
        <w:t>功只</w:t>
      </w:r>
      <w:proofErr w:type="gramEnd"/>
      <w:r w:rsidRPr="00220C44">
        <w:rPr>
          <w:rFonts w:ascii="Times New Roman" w:eastAsia="宋体" w:hAnsi="Times New Roman" w:cs="Times New Roman"/>
          <w:sz w:val="24"/>
          <w:szCs w:val="24"/>
        </w:rPr>
        <w:t>有</w:t>
      </w:r>
      <w:r w:rsidRPr="00220C44">
        <w:rPr>
          <w:rFonts w:ascii="Times New Roman" w:eastAsia="宋体" w:hAnsi="Times New Roman" w:cs="Times New Roman"/>
          <w:sz w:val="24"/>
          <w:szCs w:val="24"/>
        </w:rPr>
        <w:t>20 J</w:t>
      </w:r>
      <w:r w:rsidR="00EC62DB" w:rsidRPr="00220C44">
        <w:rPr>
          <w:rFonts w:ascii="Times New Roman" w:eastAsia="宋体" w:hAnsi="Times New Roman" w:cs="Times New Roman"/>
          <w:sz w:val="24"/>
          <w:szCs w:val="24"/>
        </w:rPr>
        <w:t xml:space="preserve"> </w:t>
      </w:r>
      <w:r w:rsidR="00EC62DB" w:rsidRPr="00220C44">
        <w:rPr>
          <w:rFonts w:ascii="Times New Roman" w:eastAsia="宋体" w:hAnsi="Times New Roman" w:cs="Times New Roman"/>
          <w:sz w:val="24"/>
          <w:szCs w:val="24"/>
          <w:vertAlign w:val="superscript"/>
        </w:rPr>
        <w:t>6</w:t>
      </w:r>
      <w:r w:rsidRPr="00220C44">
        <w:rPr>
          <w:rFonts w:ascii="Times New Roman" w:eastAsia="宋体" w:hAnsi="Times New Roman" w:cs="Times New Roman"/>
          <w:sz w:val="24"/>
          <w:szCs w:val="24"/>
          <w:vertAlign w:val="superscript"/>
        </w:rPr>
        <w:t>-</w:t>
      </w:r>
      <w:r w:rsidR="00EC62DB" w:rsidRPr="00220C44">
        <w:rPr>
          <w:rFonts w:ascii="Times New Roman" w:eastAsia="宋体" w:hAnsi="Times New Roman" w:cs="Times New Roman"/>
          <w:sz w:val="24"/>
          <w:szCs w:val="24"/>
          <w:vertAlign w:val="superscript"/>
        </w:rPr>
        <w:t>8</w:t>
      </w:r>
      <w:r w:rsidR="00E010D4" w:rsidRPr="00220C44">
        <w:rPr>
          <w:rFonts w:ascii="Times New Roman" w:eastAsia="宋体" w:hAnsi="Times New Roman" w:cs="Times New Roman"/>
          <w:sz w:val="24"/>
          <w:szCs w:val="24"/>
          <w:vertAlign w:val="superscript"/>
        </w:rPr>
        <w:t>,</w:t>
      </w:r>
      <w:r w:rsidR="00EC62DB" w:rsidRPr="00220C44">
        <w:rPr>
          <w:rFonts w:ascii="Times New Roman" w:eastAsia="宋体" w:hAnsi="Times New Roman" w:cs="Times New Roman"/>
          <w:sz w:val="24"/>
          <w:szCs w:val="24"/>
          <w:vertAlign w:val="superscript"/>
        </w:rPr>
        <w:t>12</w:t>
      </w:r>
      <w:r w:rsidRPr="00220C44">
        <w:rPr>
          <w:rFonts w:ascii="Times New Roman" w:eastAsia="宋体" w:hAnsi="Times New Roman" w:cs="Times New Roman"/>
          <w:sz w:val="24"/>
          <w:szCs w:val="24"/>
        </w:rPr>
        <w:t>，如何在继续提高炮钢强度的同时保证钢的韧性？高纯净度</w:t>
      </w:r>
      <w:proofErr w:type="gramStart"/>
      <w:r w:rsidRPr="00220C44">
        <w:rPr>
          <w:rFonts w:ascii="Times New Roman" w:eastAsia="宋体" w:hAnsi="Times New Roman" w:cs="Times New Roman"/>
          <w:sz w:val="24"/>
          <w:szCs w:val="24"/>
        </w:rPr>
        <w:t>是炮钢获得</w:t>
      </w:r>
      <w:proofErr w:type="gramEnd"/>
      <w:r w:rsidRPr="00220C44">
        <w:rPr>
          <w:rFonts w:ascii="Times New Roman" w:eastAsia="宋体" w:hAnsi="Times New Roman" w:cs="Times New Roman"/>
          <w:sz w:val="24"/>
          <w:szCs w:val="24"/>
        </w:rPr>
        <w:t>良好综合性能的前提，但是获得高纯净度，对冶金设备、工艺提出了更高的要求，同时生产成本也会大幅增加</w:t>
      </w:r>
      <w:r w:rsidRPr="00220C44">
        <w:rPr>
          <w:rFonts w:ascii="Times New Roman" w:eastAsia="宋体" w:hAnsi="Times New Roman" w:cs="Times New Roman"/>
          <w:sz w:val="24"/>
          <w:szCs w:val="24"/>
          <w:vertAlign w:val="superscript"/>
        </w:rPr>
        <w:t>3-5</w:t>
      </w:r>
      <w:r w:rsidRPr="00220C44">
        <w:rPr>
          <w:rFonts w:ascii="Times New Roman" w:eastAsia="宋体" w:hAnsi="Times New Roman" w:cs="Times New Roman"/>
          <w:sz w:val="24"/>
          <w:szCs w:val="24"/>
        </w:rPr>
        <w:t>。</w:t>
      </w:r>
    </w:p>
    <w:p w14:paraId="1480CDF7" w14:textId="77777777" w:rsidR="00A55AC4" w:rsidRPr="00220C44" w:rsidRDefault="00A55AC4" w:rsidP="00BF2A9F">
      <w:pPr>
        <w:adjustRightInd w:val="0"/>
        <w:snapToGrid w:val="0"/>
        <w:spacing w:beforeLines="50" w:before="156" w:line="360" w:lineRule="auto"/>
        <w:ind w:firstLineChars="200" w:firstLine="480"/>
        <w:jc w:val="right"/>
        <w:rPr>
          <w:rFonts w:ascii="Times New Roman" w:eastAsia="宋体" w:hAnsi="Times New Roman" w:cs="Times New Roman"/>
          <w:sz w:val="24"/>
          <w:szCs w:val="24"/>
        </w:rPr>
      </w:pPr>
      <w:r w:rsidRPr="00220C44">
        <w:rPr>
          <w:rFonts w:ascii="Times New Roman" w:eastAsia="宋体" w:hAnsi="Times New Roman" w:cs="Times New Roman"/>
          <w:position w:val="-10"/>
          <w:sz w:val="24"/>
          <w:szCs w:val="24"/>
        </w:rPr>
        <w:object w:dxaOrig="960" w:dyaOrig="320" w14:anchorId="54AEE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5.85pt" o:ole="">
            <v:imagedata r:id="rId9" o:title=""/>
          </v:shape>
          <o:OLEObject Type="Embed" ProgID="Equation.3" ShapeID="_x0000_i1025" DrawAspect="Content" ObjectID="_1640201281" r:id="rId10"/>
        </w:object>
      </w:r>
      <w:r w:rsidRPr="00220C44">
        <w:rPr>
          <w:rFonts w:ascii="Times New Roman" w:eastAsia="宋体" w:hAnsi="Times New Roman" w:cs="Times New Roman"/>
          <w:sz w:val="24"/>
          <w:szCs w:val="24"/>
        </w:rPr>
        <w:t xml:space="preserve">                             (1)</w:t>
      </w:r>
    </w:p>
    <w:p w14:paraId="02D93E16" w14:textId="4519D636" w:rsidR="00BF2A9F" w:rsidRPr="00220C44" w:rsidRDefault="00BF2A9F" w:rsidP="00BF2A9F">
      <w:pPr>
        <w:adjustRightInd w:val="0"/>
        <w:snapToGrid w:val="0"/>
        <w:spacing w:beforeLines="50" w:before="156" w:line="360" w:lineRule="auto"/>
        <w:rPr>
          <w:rFonts w:ascii="Times New Roman" w:eastAsia="宋体" w:hAnsi="Times New Roman" w:cs="Times New Roman"/>
          <w:sz w:val="24"/>
          <w:szCs w:val="24"/>
        </w:rPr>
      </w:pPr>
    </w:p>
    <w:p w14:paraId="30A2B961" w14:textId="77777777" w:rsidR="004D0B52" w:rsidRDefault="004D0B52" w:rsidP="00BF2A9F">
      <w:pPr>
        <w:adjustRightInd w:val="0"/>
        <w:snapToGrid w:val="0"/>
        <w:spacing w:line="360" w:lineRule="auto"/>
        <w:jc w:val="center"/>
        <w:rPr>
          <w:rFonts w:ascii="Times New Roman" w:eastAsia="宋体" w:hAnsi="Times New Roman" w:cs="Times New Roman"/>
          <w:b/>
          <w:sz w:val="32"/>
          <w:szCs w:val="24"/>
        </w:rPr>
      </w:pPr>
    </w:p>
    <w:p w14:paraId="6DAE9A8C" w14:textId="77777777" w:rsidR="00A55AC4" w:rsidRPr="004D0B52" w:rsidRDefault="00A55AC4" w:rsidP="00BF2A9F">
      <w:pPr>
        <w:adjustRightInd w:val="0"/>
        <w:snapToGrid w:val="0"/>
        <w:spacing w:line="360" w:lineRule="auto"/>
        <w:jc w:val="center"/>
        <w:rPr>
          <w:rFonts w:ascii="Times New Roman" w:eastAsia="宋体" w:hAnsi="Times New Roman" w:cs="Times New Roman"/>
          <w:b/>
          <w:sz w:val="32"/>
          <w:szCs w:val="24"/>
        </w:rPr>
      </w:pPr>
      <w:r w:rsidRPr="004D0B52">
        <w:rPr>
          <w:rFonts w:ascii="Times New Roman" w:eastAsia="宋体" w:hAnsi="Times New Roman" w:cs="Times New Roman"/>
          <w:b/>
          <w:sz w:val="32"/>
          <w:szCs w:val="24"/>
        </w:rPr>
        <w:t>参考文献</w:t>
      </w:r>
    </w:p>
    <w:p w14:paraId="5E6BE4AB" w14:textId="77777777" w:rsidR="00A55AC4" w:rsidRPr="00072408" w:rsidRDefault="00A55AC4" w:rsidP="00072408">
      <w:pPr>
        <w:widowControl/>
        <w:numPr>
          <w:ilvl w:val="0"/>
          <w:numId w:val="3"/>
        </w:numPr>
        <w:adjustRightInd w:val="0"/>
        <w:snapToGrid w:val="0"/>
        <w:spacing w:line="360" w:lineRule="auto"/>
        <w:rPr>
          <w:rFonts w:ascii="Times New Roman" w:eastAsia="宋体" w:hAnsi="Times New Roman" w:cs="Times New Roman"/>
          <w:sz w:val="24"/>
          <w:szCs w:val="24"/>
        </w:rPr>
      </w:pPr>
      <w:r w:rsidRPr="00220C44">
        <w:rPr>
          <w:rFonts w:ascii="Times New Roman" w:eastAsia="宋体" w:hAnsi="Times New Roman" w:cs="Times New Roman"/>
          <w:sz w:val="24"/>
          <w:szCs w:val="24"/>
        </w:rPr>
        <w:t>A. H. Mac</w:t>
      </w:r>
      <w:r w:rsidR="00BF2A9F" w:rsidRPr="00220C44">
        <w:rPr>
          <w:rFonts w:ascii="Times New Roman" w:eastAsia="宋体" w:hAnsi="Times New Roman" w:cs="Times New Roman"/>
          <w:sz w:val="24"/>
          <w:szCs w:val="24"/>
        </w:rPr>
        <w:t>Donald, P. Schiffer, N. Samarth</w:t>
      </w:r>
      <w:r w:rsidRPr="00220C44">
        <w:rPr>
          <w:rFonts w:ascii="Times New Roman" w:eastAsia="宋体" w:hAnsi="Times New Roman" w:cs="Times New Roman"/>
          <w:sz w:val="24"/>
          <w:szCs w:val="24"/>
        </w:rPr>
        <w:t xml:space="preserve">, </w:t>
      </w:r>
      <w:r w:rsidRPr="001C431D">
        <w:rPr>
          <w:rFonts w:ascii="Times New Roman" w:eastAsia="宋体" w:hAnsi="Times New Roman" w:cs="Times New Roman"/>
          <w:i/>
          <w:sz w:val="24"/>
          <w:szCs w:val="24"/>
        </w:rPr>
        <w:t>Nat. Mater.</w:t>
      </w:r>
      <w:r w:rsidRPr="00220C44">
        <w:rPr>
          <w:rFonts w:ascii="Times New Roman" w:eastAsia="宋体" w:hAnsi="Times New Roman" w:cs="Times New Roman"/>
          <w:sz w:val="24"/>
          <w:szCs w:val="24"/>
        </w:rPr>
        <w:t xml:space="preserve"> </w:t>
      </w:r>
      <w:r w:rsidRPr="001C431D">
        <w:rPr>
          <w:rFonts w:ascii="Times New Roman" w:eastAsia="宋体" w:hAnsi="Times New Roman" w:cs="Times New Roman"/>
          <w:b/>
          <w:sz w:val="24"/>
          <w:szCs w:val="24"/>
        </w:rPr>
        <w:t>2005</w:t>
      </w:r>
      <w:r w:rsidRPr="00220C44">
        <w:rPr>
          <w:rFonts w:ascii="Times New Roman" w:eastAsia="宋体" w:hAnsi="Times New Roman" w:cs="Times New Roman"/>
          <w:sz w:val="24"/>
          <w:szCs w:val="24"/>
        </w:rPr>
        <w:t>, 4, 195.</w:t>
      </w:r>
    </w:p>
    <w:p w14:paraId="6C305F0B" w14:textId="77777777" w:rsidR="00A55AC4" w:rsidRPr="00220C44" w:rsidRDefault="00A55AC4" w:rsidP="00BF2A9F">
      <w:pPr>
        <w:adjustRightInd w:val="0"/>
        <w:snapToGrid w:val="0"/>
        <w:spacing w:line="360" w:lineRule="auto"/>
        <w:rPr>
          <w:rFonts w:ascii="Times New Roman" w:eastAsia="宋体" w:hAnsi="Times New Roman" w:cs="Times New Roman"/>
          <w:b/>
          <w:bCs/>
          <w:sz w:val="24"/>
          <w:szCs w:val="24"/>
        </w:rPr>
      </w:pPr>
    </w:p>
    <w:p w14:paraId="16BB0A8E" w14:textId="77777777" w:rsidR="00A55AC4" w:rsidRPr="00096C71" w:rsidRDefault="00A55AC4" w:rsidP="00BF2A9F">
      <w:pPr>
        <w:adjustRightInd w:val="0"/>
        <w:snapToGrid w:val="0"/>
        <w:spacing w:line="360" w:lineRule="auto"/>
        <w:jc w:val="center"/>
        <w:rPr>
          <w:rFonts w:ascii="Times New Roman" w:eastAsia="宋体" w:hAnsi="Times New Roman" w:cs="Times New Roman"/>
          <w:b/>
          <w:bCs/>
          <w:sz w:val="32"/>
          <w:szCs w:val="32"/>
        </w:rPr>
      </w:pPr>
    </w:p>
    <w:sectPr w:rsidR="00A55AC4" w:rsidRPr="00096C71">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E9272" w14:textId="77777777" w:rsidR="001D32FA" w:rsidRDefault="001D32FA" w:rsidP="00E02268">
      <w:r>
        <w:separator/>
      </w:r>
    </w:p>
  </w:endnote>
  <w:endnote w:type="continuationSeparator" w:id="0">
    <w:p w14:paraId="743500D1" w14:textId="77777777" w:rsidR="001D32FA" w:rsidRDefault="001D32FA" w:rsidP="00E02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83105" w14:textId="77777777" w:rsidR="001D32FA" w:rsidRPr="009F5921" w:rsidRDefault="001D32FA" w:rsidP="006C6DB7">
    <w:pPr>
      <w:pStyle w:val="a6"/>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0B03F" w14:textId="77777777" w:rsidR="001D32FA" w:rsidRDefault="001D32FA" w:rsidP="00E02268">
      <w:r>
        <w:separator/>
      </w:r>
    </w:p>
  </w:footnote>
  <w:footnote w:type="continuationSeparator" w:id="0">
    <w:p w14:paraId="69C61F60" w14:textId="77777777" w:rsidR="001D32FA" w:rsidRDefault="001D32FA" w:rsidP="00E02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4B7039"/>
    <w:multiLevelType w:val="singleLevel"/>
    <w:tmpl w:val="854B7039"/>
    <w:lvl w:ilvl="0">
      <w:start w:val="6"/>
      <w:numFmt w:val="decimal"/>
      <w:suff w:val="space"/>
      <w:lvlText w:val="%1."/>
      <w:lvlJc w:val="left"/>
    </w:lvl>
  </w:abstractNum>
  <w:abstractNum w:abstractNumId="1" w15:restartNumberingAfterBreak="0">
    <w:nsid w:val="08764231"/>
    <w:multiLevelType w:val="hybridMultilevel"/>
    <w:tmpl w:val="1B2E3B80"/>
    <w:lvl w:ilvl="0" w:tplc="2192641C">
      <w:numFmt w:val="bullet"/>
      <w:lvlText w:val="□"/>
      <w:lvlJc w:val="left"/>
      <w:pPr>
        <w:ind w:left="1778" w:hanging="360"/>
      </w:pPr>
      <w:rPr>
        <w:rFonts w:ascii="宋体" w:eastAsia="宋体" w:hAnsi="宋体" w:cstheme="minorBidi" w:hint="eastAsia"/>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2" w15:restartNumberingAfterBreak="0">
    <w:nsid w:val="0F57380D"/>
    <w:multiLevelType w:val="hybridMultilevel"/>
    <w:tmpl w:val="07301F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E6B4505"/>
    <w:multiLevelType w:val="hybridMultilevel"/>
    <w:tmpl w:val="8B248088"/>
    <w:lvl w:ilvl="0" w:tplc="C6C27B16">
      <w:numFmt w:val="bullet"/>
      <w:lvlText w:val="□"/>
      <w:lvlJc w:val="left"/>
      <w:pPr>
        <w:ind w:left="1778" w:hanging="360"/>
      </w:pPr>
      <w:rPr>
        <w:rFonts w:ascii="宋体" w:eastAsia="宋体" w:hAnsi="宋体" w:cstheme="minorBidi" w:hint="eastAsia"/>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4" w15:restartNumberingAfterBreak="0">
    <w:nsid w:val="467962E2"/>
    <w:multiLevelType w:val="hybridMultilevel"/>
    <w:tmpl w:val="2682BFA4"/>
    <w:lvl w:ilvl="0" w:tplc="81C8791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177"/>
    <w:rsid w:val="00003E2B"/>
    <w:rsid w:val="00034035"/>
    <w:rsid w:val="00035FFE"/>
    <w:rsid w:val="00055B1F"/>
    <w:rsid w:val="00072408"/>
    <w:rsid w:val="00084781"/>
    <w:rsid w:val="00085E8B"/>
    <w:rsid w:val="00093141"/>
    <w:rsid w:val="00096C71"/>
    <w:rsid w:val="000A049E"/>
    <w:rsid w:val="000F1816"/>
    <w:rsid w:val="0012574A"/>
    <w:rsid w:val="001553AC"/>
    <w:rsid w:val="001A572C"/>
    <w:rsid w:val="001C0A6A"/>
    <w:rsid w:val="001C431D"/>
    <w:rsid w:val="001D32FA"/>
    <w:rsid w:val="00205CBB"/>
    <w:rsid w:val="00220C44"/>
    <w:rsid w:val="00224A01"/>
    <w:rsid w:val="002A1249"/>
    <w:rsid w:val="002B119A"/>
    <w:rsid w:val="002F2267"/>
    <w:rsid w:val="00320663"/>
    <w:rsid w:val="003A4E52"/>
    <w:rsid w:val="003B2842"/>
    <w:rsid w:val="003D2AE2"/>
    <w:rsid w:val="003E7177"/>
    <w:rsid w:val="003F51F7"/>
    <w:rsid w:val="0041583A"/>
    <w:rsid w:val="004348C8"/>
    <w:rsid w:val="00443272"/>
    <w:rsid w:val="00476430"/>
    <w:rsid w:val="004D0B52"/>
    <w:rsid w:val="00504133"/>
    <w:rsid w:val="0054369A"/>
    <w:rsid w:val="00554595"/>
    <w:rsid w:val="00565424"/>
    <w:rsid w:val="00575692"/>
    <w:rsid w:val="005821DD"/>
    <w:rsid w:val="00587FA3"/>
    <w:rsid w:val="005948D9"/>
    <w:rsid w:val="005D30BB"/>
    <w:rsid w:val="00616407"/>
    <w:rsid w:val="00686CB6"/>
    <w:rsid w:val="006A3E02"/>
    <w:rsid w:val="006B3792"/>
    <w:rsid w:val="006C18AC"/>
    <w:rsid w:val="006C4E0F"/>
    <w:rsid w:val="006C6DB7"/>
    <w:rsid w:val="007018B9"/>
    <w:rsid w:val="007056E2"/>
    <w:rsid w:val="007312D7"/>
    <w:rsid w:val="00747A3C"/>
    <w:rsid w:val="007524A9"/>
    <w:rsid w:val="007B57D2"/>
    <w:rsid w:val="007E5434"/>
    <w:rsid w:val="008613F2"/>
    <w:rsid w:val="00880F7D"/>
    <w:rsid w:val="008848F4"/>
    <w:rsid w:val="0089755D"/>
    <w:rsid w:val="008C53F6"/>
    <w:rsid w:val="0093559D"/>
    <w:rsid w:val="00974D5F"/>
    <w:rsid w:val="009A322E"/>
    <w:rsid w:val="009B7F97"/>
    <w:rsid w:val="00A02061"/>
    <w:rsid w:val="00A07CB8"/>
    <w:rsid w:val="00A07FB0"/>
    <w:rsid w:val="00A44BE1"/>
    <w:rsid w:val="00A544A3"/>
    <w:rsid w:val="00A55AC4"/>
    <w:rsid w:val="00AA0BD0"/>
    <w:rsid w:val="00AA3570"/>
    <w:rsid w:val="00AC1338"/>
    <w:rsid w:val="00B07FA6"/>
    <w:rsid w:val="00B234E2"/>
    <w:rsid w:val="00B81CE7"/>
    <w:rsid w:val="00BC0778"/>
    <w:rsid w:val="00BC723A"/>
    <w:rsid w:val="00BC7547"/>
    <w:rsid w:val="00BE70F1"/>
    <w:rsid w:val="00BF2A9F"/>
    <w:rsid w:val="00C05500"/>
    <w:rsid w:val="00C129A0"/>
    <w:rsid w:val="00C62665"/>
    <w:rsid w:val="00C82910"/>
    <w:rsid w:val="00C8587E"/>
    <w:rsid w:val="00CF5E11"/>
    <w:rsid w:val="00CF71CD"/>
    <w:rsid w:val="00D62EAF"/>
    <w:rsid w:val="00DA5822"/>
    <w:rsid w:val="00DB6129"/>
    <w:rsid w:val="00DC4470"/>
    <w:rsid w:val="00DD0042"/>
    <w:rsid w:val="00E010D4"/>
    <w:rsid w:val="00E02268"/>
    <w:rsid w:val="00E1417E"/>
    <w:rsid w:val="00E55416"/>
    <w:rsid w:val="00EC62DB"/>
    <w:rsid w:val="00F218C7"/>
    <w:rsid w:val="00F3345C"/>
    <w:rsid w:val="00F75A22"/>
    <w:rsid w:val="00F90F76"/>
    <w:rsid w:val="00FB5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1C0F3E1"/>
  <w15:chartTrackingRefBased/>
  <w15:docId w15:val="{81BCC6B6-5196-4379-B272-76CC391D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5A22"/>
    <w:pPr>
      <w:ind w:firstLineChars="200" w:firstLine="420"/>
    </w:pPr>
  </w:style>
  <w:style w:type="paragraph" w:styleId="a4">
    <w:name w:val="header"/>
    <w:basedOn w:val="a"/>
    <w:link w:val="a5"/>
    <w:uiPriority w:val="99"/>
    <w:unhideWhenUsed/>
    <w:rsid w:val="00E022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2268"/>
    <w:rPr>
      <w:sz w:val="18"/>
      <w:szCs w:val="18"/>
    </w:rPr>
  </w:style>
  <w:style w:type="paragraph" w:styleId="a6">
    <w:name w:val="footer"/>
    <w:basedOn w:val="a"/>
    <w:link w:val="a7"/>
    <w:uiPriority w:val="99"/>
    <w:unhideWhenUsed/>
    <w:rsid w:val="00E02268"/>
    <w:pPr>
      <w:tabs>
        <w:tab w:val="center" w:pos="4153"/>
        <w:tab w:val="right" w:pos="8306"/>
      </w:tabs>
      <w:snapToGrid w:val="0"/>
      <w:jc w:val="left"/>
    </w:pPr>
    <w:rPr>
      <w:sz w:val="18"/>
      <w:szCs w:val="18"/>
    </w:rPr>
  </w:style>
  <w:style w:type="character" w:customStyle="1" w:styleId="a7">
    <w:name w:val="页脚 字符"/>
    <w:basedOn w:val="a0"/>
    <w:link w:val="a6"/>
    <w:uiPriority w:val="99"/>
    <w:rsid w:val="00E02268"/>
    <w:rPr>
      <w:sz w:val="18"/>
      <w:szCs w:val="18"/>
    </w:rPr>
  </w:style>
  <w:style w:type="paragraph" w:styleId="a8">
    <w:name w:val="Balloon Text"/>
    <w:basedOn w:val="a"/>
    <w:link w:val="a9"/>
    <w:uiPriority w:val="99"/>
    <w:semiHidden/>
    <w:unhideWhenUsed/>
    <w:rsid w:val="00E02268"/>
    <w:rPr>
      <w:sz w:val="18"/>
      <w:szCs w:val="18"/>
    </w:rPr>
  </w:style>
  <w:style w:type="character" w:customStyle="1" w:styleId="a9">
    <w:name w:val="批注框文本 字符"/>
    <w:basedOn w:val="a0"/>
    <w:link w:val="a8"/>
    <w:uiPriority w:val="99"/>
    <w:semiHidden/>
    <w:rsid w:val="00E02268"/>
    <w:rPr>
      <w:sz w:val="18"/>
      <w:szCs w:val="18"/>
    </w:rPr>
  </w:style>
  <w:style w:type="character" w:styleId="aa">
    <w:name w:val="Hyperlink"/>
    <w:basedOn w:val="a0"/>
    <w:rsid w:val="00A55AC4"/>
    <w:rPr>
      <w:color w:val="0000FF"/>
      <w:u w:val="single"/>
    </w:rPr>
  </w:style>
  <w:style w:type="table" w:styleId="ab">
    <w:name w:val="Table Grid"/>
    <w:basedOn w:val="a1"/>
    <w:rsid w:val="00A55AC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054735">
      <w:bodyDiv w:val="1"/>
      <w:marLeft w:val="0"/>
      <w:marRight w:val="0"/>
      <w:marTop w:val="0"/>
      <w:marBottom w:val="0"/>
      <w:divBdr>
        <w:top w:val="none" w:sz="0" w:space="0" w:color="auto"/>
        <w:left w:val="none" w:sz="0" w:space="0" w:color="auto"/>
        <w:bottom w:val="none" w:sz="0" w:space="0" w:color="auto"/>
        <w:right w:val="none" w:sz="0" w:space="0" w:color="auto"/>
      </w:divBdr>
    </w:div>
    <w:div w:id="1294946338">
      <w:bodyDiv w:val="1"/>
      <w:marLeft w:val="0"/>
      <w:marRight w:val="0"/>
      <w:marTop w:val="0"/>
      <w:marBottom w:val="0"/>
      <w:divBdr>
        <w:top w:val="none" w:sz="0" w:space="0" w:color="auto"/>
        <w:left w:val="none" w:sz="0" w:space="0" w:color="auto"/>
        <w:bottom w:val="none" w:sz="0" w:space="0" w:color="auto"/>
        <w:right w:val="none" w:sz="0" w:space="0" w:color="auto"/>
      </w:divBdr>
    </w:div>
    <w:div w:id="165035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陈 稼霖</cp:lastModifiedBy>
  <cp:revision>26</cp:revision>
  <cp:lastPrinted>2018-12-11T08:24:00Z</cp:lastPrinted>
  <dcterms:created xsi:type="dcterms:W3CDTF">2018-12-11T07:31:00Z</dcterms:created>
  <dcterms:modified xsi:type="dcterms:W3CDTF">2020-01-10T14:42:00Z</dcterms:modified>
</cp:coreProperties>
</file>