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SHIH, Chen-Jung¹, SU, Te-Fang¹, LIAO, Xuan-You², LIN, Chia-I²</w:t>
      </w:r>
    </w:p>
    <w:p>
      <w:pPr>
        <w:spacing w:after="360"/>
        <w:jc w:val="center"/>
      </w:pPr>
      <w:r>
        <w:rPr>
          <w:rFonts w:ascii="Times New Roman" w:hAnsi="Times New Roman"/>
          <w:sz w:val="20"/>
        </w:rPr>
        <w:t>¹Department of Life Science, National Taiwan University</w:t>
        <w:br/>
        <w:t>²Department of Biochemical Science and Technology, National Taiwan University</w:t>
      </w:r>
    </w:p>
    <w:p>
      <w:pPr>
        <w:jc w:val="center"/>
      </w:pPr>
      <w:r>
        <w:rPr>
          <w:rFonts w:ascii="Times New Roman" w:hAnsi="Times New Roman"/>
          <w:sz w:val="22"/>
        </w:rPr>
        <w:t>May 2026</w:t>
      </w:r>
    </w:p>
    <w:p>
      <w:r>
        <w:br w:type="page"/>
      </w:r>
    </w:p>
    <w:p>
      <w:pPr>
        <w:spacing w:before="240" w:after="120"/>
      </w:pPr>
      <w:r>
        <w:rPr>
          <w:rFonts w:ascii="Arial" w:hAnsi="Arial"/>
          <w:b/>
          <w:sz w:val="36"/>
        </w:rPr>
        <w:t>Abstract</w:t>
      </w:r>
    </w:p>
    <w:p>
      <w:pPr>
        <w:spacing w:after="120" w:line="360" w:lineRule="auto"/>
      </w:pPr>
      <w:r>
        <w:rPr>
          <w:rFonts w:ascii="Times New Roman" w:hAnsi="Times New Roman"/>
          <w:b w:val="0"/>
          <w:i w:val="0"/>
          <w:sz w:val="24"/>
        </w:rPr>
        <w:t>Pancreatic ductal adenocarcinoma (PDAC) remains a highly lethal malignancy with a 5-year survival rate below 12%, primarily due to late-stage diagnosis and a lack of specific tumor biomarkers. In this study, we present an unbiased,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analyzing a filtered set of 58,581 genes. Differential expression and machine learning classification using an L1-regularized Logistic Regression model achieved a 5-fold cross-validation AUC of 1.000, identifying the most predictive features. Explainable AI (SHAP) was applied to infer expression thresholds for the top-ranked genes. Candidate gene pairs were selected based on orthogonality and activation rates. The optimal pair, UBE2S and CCR6, demonstrates a pairwise Pearson correlation of 0.714. Mathematical modeling using the Hill equation optimized the AND-gate parameters, yielding a discovery cohort AUC of 0.9986, an accuracy of 98.6%, a sensitivity of 97.8%, and a specificity of 99.4% at an activation threshold of 0.25. Permutation testing against 1,000 random gene pairs confirmed statistical significance (p &lt; 0.0001). External validation on the GSE62452 microarray dataset (n=130) showed moderate AUC (0.648) with high specificity (98.4%) but low sensitivity (4.3%), reflecting cross-platform transferability challenges. Our pipeline provides a robust framework for logic-gated synthetic sensor design, bridging the gap between bioinformatics and wet-lab implementation.</w:t>
      </w:r>
    </w:p>
    <w:p>
      <w:pPr>
        <w:sectPr>
          <w:pgSz w:w="12240" w:h="15840"/>
          <w:pgMar w:top="1411" w:right="1411" w:bottom="1411" w:left="1411" w:header="720" w:footer="720" w:gutter="0"/>
          <w:cols w:space="720"/>
          <w:docGrid w:linePitch="360"/>
        </w:sectPr>
      </w:pPr>
    </w:p>
    <w:p>
      <w:pPr>
        <w:spacing w:before="240" w:after="120"/>
      </w:pPr>
      <w:r>
        <w:rPr>
          <w:rFonts w:ascii="Arial" w:hAnsi="Arial"/>
          <w:b/>
          <w:sz w:val="36"/>
        </w:rPr>
        <w:t>I. Introduction</w:t>
      </w:r>
    </w:p>
    <w:p>
      <w:pPr>
        <w:spacing w:after="120" w:line="360" w:lineRule="auto"/>
      </w:pPr>
      <w:r>
        <w:rPr>
          <w:rFonts w:ascii="Times New Roman" w:hAnsi="Times New Roman"/>
          <w:b w:val="0"/>
          <w:i w:val="0"/>
          <w:sz w:val="24"/>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36"/>
        </w:rPr>
        <w:t>II. Scientific Rationale and Unmet Need</w:t>
      </w:r>
    </w:p>
    <w:p>
      <w:pPr>
        <w:spacing w:after="120" w:line="360" w:lineRule="auto"/>
      </w:pPr>
      <w:r>
        <w:rPr>
          <w:rFonts w:ascii="Times New Roman" w:hAnsi="Times New Roman"/>
          <w:b w:val="0"/>
          <w:i w:val="0"/>
          <w:sz w:val="24"/>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(e.g., lung, pleura, or gastrointestinal tract),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 This study leverages unbiased transcriptomics to identify and model such orthogonal inputs.</w:t>
      </w:r>
    </w:p>
    <w:p>
      <w:pPr>
        <w:spacing w:before="240" w:after="120"/>
      </w:pPr>
      <w:r>
        <w:rPr>
          <w:rFonts w:ascii="Arial" w:hAnsi="Arial"/>
          <w:b/>
          <w:sz w:val="36"/>
        </w:rPr>
        <w:t>III. Data Sources</w:t>
      </w:r>
    </w:p>
    <w:p>
      <w:pPr>
        <w:spacing w:after="120" w:line="360" w:lineRule="auto"/>
      </w:pPr>
      <w:r>
        <w:rPr>
          <w:rFonts w:ascii="Times New Roman" w:hAnsi="Times New Roman"/>
          <w:b w:val="0"/>
          <w:i w:val="0"/>
          <w:sz w:val="24"/>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external validation, we retrieved the GSE62452 dataset from the Gene Expression Omnibus (GEO), containing 130 pancreatic tissue samples (69 tumor and 61 normal adjacent tissues) analyzed using the Affymetrix GPL6244 microarray platform. This dual-dataset design ensures that our candidate pairs are discovered using high-throughput sequencing data and validated on independent, cross-platform microarray data to assess robustness.</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pPr>
              <w:jc w:val="center"/>
            </w:pPr>
            <w:r>
              <w:rPr>
                <w:rFonts w:ascii="Arial" w:hAnsi="Arial"/>
                <w:b/>
                <w:sz w:val="20"/>
              </w:rPr>
              <w:t>Dataset / Cohort</w:t>
            </w:r>
          </w:p>
        </w:tc>
        <w:tc>
          <w:tcPr>
            <w:tcW w:type="dxa" w:w="2045"/>
          </w:tcPr>
          <w:p>
            <w:pPr>
              <w:jc w:val="center"/>
            </w:pPr>
            <w:r>
              <w:rPr>
                <w:rFonts w:ascii="Arial" w:hAnsi="Arial"/>
                <w:b/>
                <w:sz w:val="20"/>
              </w:rPr>
              <w:t>Platform / Type</w:t>
            </w:r>
          </w:p>
        </w:tc>
        <w:tc>
          <w:tcPr>
            <w:tcW w:type="dxa" w:w="2045"/>
          </w:tcPr>
          <w:p>
            <w:pPr>
              <w:jc w:val="center"/>
            </w:pPr>
            <w:r>
              <w:rPr>
                <w:rFonts w:ascii="Arial" w:hAnsi="Arial"/>
                <w:b/>
                <w:sz w:val="20"/>
              </w:rPr>
              <w:t>Tumor Samples</w:t>
            </w:r>
          </w:p>
        </w:tc>
        <w:tc>
          <w:tcPr>
            <w:tcW w:type="dxa" w:w="2045"/>
          </w:tcPr>
          <w:p>
            <w:pPr>
              <w:jc w:val="center"/>
            </w:pPr>
            <w:r>
              <w:rPr>
                <w:rFonts w:ascii="Arial" w:hAnsi="Arial"/>
                <w:b/>
                <w:sz w:val="20"/>
              </w:rPr>
              <w:t>Normal Samples</w:t>
            </w:r>
          </w:p>
        </w:tc>
        <w:tc>
          <w:tcPr>
            <w:tcW w:type="dxa" w:w="2045"/>
          </w:tcPr>
          <w:p>
            <w:pPr>
              <w:jc w:val="center"/>
            </w:pPr>
            <w:r>
              <w:rPr>
                <w:rFonts w:ascii="Arial" w:hAnsi="Arial"/>
                <w:b/>
                <w:sz w:val="20"/>
              </w:rPr>
              <w:t>Total Samples</w:t>
            </w:r>
          </w:p>
        </w:tc>
      </w:tr>
      <w:tr>
        <w:tc>
          <w:tcPr>
            <w:tcW w:type="dxa" w:w="2045"/>
          </w:tcPr>
          <w:p>
            <w:pPr>
              <w:jc w:val="left"/>
            </w:pPr>
            <w:r>
              <w:rPr>
                <w:rFonts w:ascii="Times New Roman" w:hAnsi="Times New Roman"/>
                <w:sz w:val="20"/>
              </w:rPr>
              <w:t>TCGA-PAAD</w:t>
            </w:r>
          </w:p>
        </w:tc>
        <w:tc>
          <w:tcPr>
            <w:tcW w:type="dxa" w:w="2045"/>
          </w:tcPr>
          <w:p>
            <w:pPr>
              <w:jc w:val="center"/>
            </w:pPr>
            <w:r>
              <w:rPr>
                <w:rFonts w:ascii="Times New Roman" w:hAnsi="Times New Roman"/>
                <w:sz w:val="20"/>
              </w:rPr>
              <w:t>RNA-seq (RSEM TPM)</w:t>
            </w:r>
          </w:p>
        </w:tc>
        <w:tc>
          <w:tcPr>
            <w:tcW w:type="dxa" w:w="2045"/>
          </w:tcPr>
          <w:p>
            <w:pPr>
              <w:jc w:val="center"/>
            </w:pPr>
            <w:r>
              <w:rPr>
                <w:rFonts w:ascii="Times New Roman" w:hAnsi="Times New Roman"/>
                <w:sz w:val="20"/>
              </w:rPr>
              <w:t>178</w:t>
            </w:r>
          </w:p>
        </w:tc>
        <w:tc>
          <w:tcPr>
            <w:tcW w:type="dxa" w:w="2045"/>
          </w:tcPr>
          <w:p>
            <w:pPr>
              <w:jc w:val="center"/>
            </w:pPr>
            <w:r>
              <w:rPr>
                <w:rFonts w:ascii="Times New Roman" w:hAnsi="Times New Roman"/>
                <w:sz w:val="20"/>
              </w:rPr>
              <w:t>0</w:t>
            </w:r>
          </w:p>
        </w:tc>
        <w:tc>
          <w:tcPr>
            <w:tcW w:type="dxa" w:w="2045"/>
          </w:tcPr>
          <w:p>
            <w:pPr>
              <w:jc w:val="center"/>
            </w:pPr>
            <w:r>
              <w:rPr>
                <w:rFonts w:ascii="Times New Roman" w:hAnsi="Times New Roman"/>
                <w:sz w:val="20"/>
              </w:rPr>
              <w:t>178</w:t>
            </w:r>
          </w:p>
        </w:tc>
      </w:tr>
      <w:tr>
        <w:tc>
          <w:tcPr>
            <w:tcW w:type="dxa" w:w="2045"/>
          </w:tcPr>
          <w:p>
            <w:pPr>
              <w:jc w:val="left"/>
            </w:pPr>
            <w:r>
              <w:rPr>
                <w:rFonts w:ascii="Times New Roman" w:hAnsi="Times New Roman"/>
                <w:sz w:val="20"/>
              </w:rPr>
              <w:t>GTEx Pancreas</w:t>
            </w:r>
          </w:p>
        </w:tc>
        <w:tc>
          <w:tcPr>
            <w:tcW w:type="dxa" w:w="2045"/>
          </w:tcPr>
          <w:p>
            <w:pPr>
              <w:jc w:val="center"/>
            </w:pPr>
            <w:r>
              <w:rPr>
                <w:rFonts w:ascii="Times New Roman" w:hAnsi="Times New Roman"/>
                <w:sz w:val="20"/>
              </w:rPr>
              <w:t>RNA-seq (RSEM TPM)</w:t>
            </w:r>
          </w:p>
        </w:tc>
        <w:tc>
          <w:tcPr>
            <w:tcW w:type="dxa" w:w="2045"/>
          </w:tcPr>
          <w:p>
            <w:pPr>
              <w:jc w:val="center"/>
            </w:pPr>
            <w:r>
              <w:rPr>
                <w:rFonts w:ascii="Times New Roman" w:hAnsi="Times New Roman"/>
                <w:sz w:val="20"/>
              </w:rPr>
              <w:t>0</w:t>
            </w:r>
          </w:p>
        </w:tc>
        <w:tc>
          <w:tcPr>
            <w:tcW w:type="dxa" w:w="2045"/>
          </w:tcPr>
          <w:p>
            <w:pPr>
              <w:jc w:val="center"/>
            </w:pPr>
            <w:r>
              <w:rPr>
                <w:rFonts w:ascii="Times New Roman" w:hAnsi="Times New Roman"/>
                <w:sz w:val="20"/>
              </w:rPr>
              <w:t>167</w:t>
            </w:r>
          </w:p>
        </w:tc>
        <w:tc>
          <w:tcPr>
            <w:tcW w:type="dxa" w:w="2045"/>
          </w:tcPr>
          <w:p>
            <w:pPr>
              <w:jc w:val="center"/>
            </w:pPr>
            <w:r>
              <w:rPr>
                <w:rFonts w:ascii="Times New Roman" w:hAnsi="Times New Roman"/>
                <w:sz w:val="20"/>
              </w:rPr>
              <w:t>167</w:t>
            </w:r>
          </w:p>
        </w:tc>
      </w:tr>
      <w:tr>
        <w:tc>
          <w:tcPr>
            <w:tcW w:type="dxa" w:w="2045"/>
          </w:tcPr>
          <w:p>
            <w:pPr>
              <w:jc w:val="left"/>
            </w:pPr>
            <w:r>
              <w:rPr>
                <w:rFonts w:ascii="Times New Roman" w:hAnsi="Times New Roman"/>
                <w:sz w:val="20"/>
              </w:rPr>
              <w:t>Discovery Cohort (Combined)</w:t>
            </w:r>
          </w:p>
        </w:tc>
        <w:tc>
          <w:tcPr>
            <w:tcW w:type="dxa" w:w="2045"/>
          </w:tcPr>
          <w:p>
            <w:pPr>
              <w:jc w:val="center"/>
            </w:pPr>
            <w:r>
              <w:rPr>
                <w:rFonts w:ascii="Times New Roman" w:hAnsi="Times New Roman"/>
                <w:sz w:val="20"/>
              </w:rPr>
              <w:t>RNA-seq (RSEM TPM)</w:t>
            </w:r>
          </w:p>
        </w:tc>
        <w:tc>
          <w:tcPr>
            <w:tcW w:type="dxa" w:w="2045"/>
          </w:tcPr>
          <w:p>
            <w:pPr>
              <w:jc w:val="center"/>
            </w:pPr>
            <w:r>
              <w:rPr>
                <w:rFonts w:ascii="Times New Roman" w:hAnsi="Times New Roman"/>
                <w:sz w:val="20"/>
              </w:rPr>
              <w:t>178</w:t>
            </w:r>
          </w:p>
        </w:tc>
        <w:tc>
          <w:tcPr>
            <w:tcW w:type="dxa" w:w="2045"/>
          </w:tcPr>
          <w:p>
            <w:pPr>
              <w:jc w:val="center"/>
            </w:pPr>
            <w:r>
              <w:rPr>
                <w:rFonts w:ascii="Times New Roman" w:hAnsi="Times New Roman"/>
                <w:sz w:val="20"/>
              </w:rPr>
              <w:t>167</w:t>
            </w:r>
          </w:p>
        </w:tc>
        <w:tc>
          <w:tcPr>
            <w:tcW w:type="dxa" w:w="2045"/>
          </w:tcPr>
          <w:p>
            <w:pPr>
              <w:jc w:val="center"/>
            </w:pPr>
            <w:r>
              <w:rPr>
                <w:rFonts w:ascii="Times New Roman" w:hAnsi="Times New Roman"/>
                <w:sz w:val="20"/>
              </w:rPr>
              <w:t>345</w:t>
            </w:r>
          </w:p>
        </w:tc>
      </w:tr>
      <w:tr>
        <w:tc>
          <w:tcPr>
            <w:tcW w:type="dxa" w:w="2045"/>
          </w:tcPr>
          <w:p>
            <w:pPr>
              <w:jc w:val="left"/>
            </w:pPr>
            <w:r>
              <w:rPr>
                <w:rFonts w:ascii="Times New Roman" w:hAnsi="Times New Roman"/>
                <w:sz w:val="20"/>
              </w:rPr>
              <w:t>GSE62452 (External Validation)</w:t>
            </w:r>
          </w:p>
        </w:tc>
        <w:tc>
          <w:tcPr>
            <w:tcW w:type="dxa" w:w="2045"/>
          </w:tcPr>
          <w:p>
            <w:pPr>
              <w:jc w:val="center"/>
            </w:pPr>
            <w:r>
              <w:rPr>
                <w:rFonts w:ascii="Times New Roman" w:hAnsi="Times New Roman"/>
                <w:sz w:val="20"/>
              </w:rPr>
              <w:t>Microarray (Affymetrix GPL6244)</w:t>
            </w:r>
          </w:p>
        </w:tc>
        <w:tc>
          <w:tcPr>
            <w:tcW w:type="dxa" w:w="2045"/>
          </w:tcPr>
          <w:p>
            <w:pPr>
              <w:jc w:val="center"/>
            </w:pPr>
            <w:r>
              <w:rPr>
                <w:rFonts w:ascii="Times New Roman" w:hAnsi="Times New Roman"/>
                <w:sz w:val="20"/>
              </w:rPr>
              <w:t>69</w:t>
            </w:r>
          </w:p>
        </w:tc>
        <w:tc>
          <w:tcPr>
            <w:tcW w:type="dxa" w:w="2045"/>
          </w:tcPr>
          <w:p>
            <w:pPr>
              <w:jc w:val="center"/>
            </w:pPr>
            <w:r>
              <w:rPr>
                <w:rFonts w:ascii="Times New Roman" w:hAnsi="Times New Roman"/>
                <w:sz w:val="20"/>
              </w:rPr>
              <w:t>61</w:t>
            </w:r>
          </w:p>
        </w:tc>
        <w:tc>
          <w:tcPr>
            <w:tcW w:type="dxa" w:w="2045"/>
          </w:tcPr>
          <w:p>
            <w:pPr>
              <w:jc w:val="center"/>
            </w:pPr>
            <w:r>
              <w:rPr>
                <w:rFonts w:ascii="Times New Roman" w:hAnsi="Times New Roman"/>
                <w:sz w:val="20"/>
              </w:rPr>
              <w:t>130</w:t>
            </w:r>
          </w:p>
        </w:tc>
      </w:tr>
    </w:tbl>
    <w:p>
      <w:pPr>
        <w:spacing w:after="120"/>
      </w:pPr>
    </w:p>
    <w:p>
      <w:pPr>
        <w:spacing w:before="240" w:after="120"/>
      </w:pPr>
      <w:r>
        <w:rPr>
          <w:rFonts w:ascii="Arial" w:hAnsi="Arial"/>
          <w:b/>
          <w:sz w:val="36"/>
        </w:rPr>
        <w:t>IV. Computational Pipeline</w:t>
      </w:r>
    </w:p>
    <w:p>
      <w:pPr>
        <w:spacing w:after="120" w:line="360" w:lineRule="auto"/>
      </w:pPr>
      <w:r>
        <w:rPr>
          <w:rFonts w:ascii="Times New Roman" w:hAnsi="Times New Roman"/>
          <w:b w:val="0"/>
          <w:i w:val="0"/>
          <w:sz w:val="24"/>
        </w:rPr>
        <w:t>The computational design pipeline was built in Python 3.9 and executed on the National Center for High-Performance Computing (NCHC) biomedical node. The workflow proceeds through nine sequential steps: (1) Data fetch and decompression, (2) Preprocessing and low-variance filtering, (3) Differential expression analysis using Welch's t-test and FDR correction, (4) Training and evaluation of machine learning classifiers (L1 Logistic Regression, Random Forest, XGBoost), (5) SHAP-based feature importance mapping and local attribution, (6) Inflection-point threshold inference from SHAP dependence plots, (7) Pairwise orthogonality scoring of candidate genes, (8) Hill-equation-based mathematical simulation of the AND gate, and (9) Robustness testing via sensitivity sweeps and permutation controls.</w:t>
      </w:r>
    </w:p>
    <w:p>
      <w:pPr>
        <w:spacing w:before="240" w:after="120"/>
      </w:pPr>
      <w:r>
        <w:rPr>
          <w:rFonts w:ascii="Arial" w:hAnsi="Arial"/>
          <w:b/>
          <w:sz w:val="36"/>
        </w:rPr>
        <w:t>V. Quality Control and Batch-Effect Assessment</w:t>
      </w:r>
    </w:p>
    <w:p>
      <w:pPr>
        <w:spacing w:after="120" w:line="360" w:lineRule="auto"/>
      </w:pPr>
      <w:r>
        <w:rPr>
          <w:rFonts w:ascii="Times New Roman" w:hAnsi="Times New Roman"/>
          <w:b w:val="0"/>
          <w:i w:val="0"/>
          <w:sz w:val="24"/>
        </w:rPr>
        <w:t>Quality control (QC) was performed on the raw TOIL TPM matrix. Out of 60,498 annotated genes, near-zero variance genes (retained variance &gt; 0.0)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36"/>
        </w:rPr>
        <w:t>VI. Differential Expression Analysis</w:t>
      </w:r>
    </w:p>
    <w:p>
      <w:pPr>
        <w:spacing w:after="120" w:line="360" w:lineRule="auto"/>
      </w:pPr>
      <w:r>
        <w:rPr>
          <w:rFonts w:ascii="Times New Roman" w:hAnsi="Times New Roman"/>
          <w:b w:val="0"/>
          <w:i w:val="0"/>
          <w:sz w:val="24"/>
        </w:rPr>
        <w:t>We performed differential expression (DE) analysis comparing the 178 PDAC tumor samples against the 167 normal pancreas samples. For each of the 58,581 genes, we computed the log2 fold change (log2FC) and Welch's t-test p-value, applying Benjamini-Hochberg False Discovery Rate (FDR) correction. Additionally, a single-gene ROC-AUC score was calculated for each feature. Tumor-high genes were defined using the thresholds: log2FC &gt;= 1.0 and FDR &lt; 0.05, identifying 19,399 candidate genes. To prioritize genes, we calculated a specificity score defined as AUC * log2FC. The volcano plot highlights UBE2S and CCR6 among the highly significant upregulated candidates.</w:t>
      </w:r>
    </w:p>
    <w:p>
      <w:pPr>
        <w:spacing w:after="80"/>
        <w:jc w:val="center"/>
      </w:pPr>
      <w:r>
        <w:drawing>
          <wp:inline xmlns:a="http://schemas.openxmlformats.org/drawingml/2006/main" xmlns:pic="http://schemas.openxmlformats.org/drawingml/2006/picture">
            <wp:extent cx="2743200" cy="2057400"/>
            <wp:docPr id="1" name="Picture 1"/>
            <wp:cNvGraphicFramePr>
              <a:graphicFrameLocks noChangeAspect="1"/>
            </wp:cNvGraphicFramePr>
            <a:graphic>
              <a:graphicData uri="http://schemas.openxmlformats.org/drawingml/2006/picture">
                <pic:pic>
                  <pic:nvPicPr>
                    <pic:cNvPr id="0" name="volcano_discovery.png"/>
                    <pic:cNvPicPr/>
                  </pic:nvPicPr>
                  <pic:blipFill>
                    <a:blip r:embed="rId9"/>
                    <a:stretch>
                      <a:fillRect/>
                    </a:stretch>
                  </pic:blipFill>
                  <pic:spPr>
                    <a:xfrm>
                      <a:off x="0" y="0"/>
                      <a:ext cx="2743200" cy="2057400"/>
                    </a:xfrm>
                    <a:prstGeom prst="rect"/>
                  </pic:spPr>
                </pic:pic>
              </a:graphicData>
            </a:graphic>
          </wp:inline>
        </w:drawing>
      </w:r>
    </w:p>
    <w:p>
      <w:pPr>
        <w:spacing w:after="240"/>
        <w:jc w:val="center"/>
      </w:pPr>
      <w:r>
        <w:rPr>
          <w:rFonts w:ascii="Times New Roman" w:hAnsi="Times New Roman"/>
          <w:i/>
          <w:sz w:val="20"/>
        </w:rPr>
        <w:t>Figure: Volcano plot of discovery cohort</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pPr>
              <w:jc w:val="center"/>
            </w:pPr>
            <w:r>
              <w:rPr>
                <w:rFonts w:ascii="Arial" w:hAnsi="Arial"/>
                <w:b/>
                <w:sz w:val="20"/>
              </w:rPr>
              <w:t>Gene</w:t>
            </w:r>
          </w:p>
        </w:tc>
        <w:tc>
          <w:tcPr>
            <w:tcW w:type="dxa" w:w="1461"/>
          </w:tcPr>
          <w:p>
            <w:pPr>
              <w:jc w:val="center"/>
            </w:pPr>
            <w:r>
              <w:rPr>
                <w:rFonts w:ascii="Arial" w:hAnsi="Arial"/>
                <w:b/>
                <w:sz w:val="20"/>
              </w:rPr>
              <w:t>Mean Tumor (log2 TPM)</w:t>
            </w:r>
          </w:p>
        </w:tc>
        <w:tc>
          <w:tcPr>
            <w:tcW w:type="dxa" w:w="1461"/>
          </w:tcPr>
          <w:p>
            <w:pPr>
              <w:jc w:val="center"/>
            </w:pPr>
            <w:r>
              <w:rPr>
                <w:rFonts w:ascii="Arial" w:hAnsi="Arial"/>
                <w:b/>
                <w:sz w:val="20"/>
              </w:rPr>
              <w:t>Mean Normal (log2 TPM)</w:t>
            </w:r>
          </w:p>
        </w:tc>
        <w:tc>
          <w:tcPr>
            <w:tcW w:type="dxa" w:w="1461"/>
          </w:tcPr>
          <w:p>
            <w:pPr>
              <w:jc w:val="center"/>
            </w:pPr>
            <w:r>
              <w:rPr>
                <w:rFonts w:ascii="Arial" w:hAnsi="Arial"/>
                <w:b/>
                <w:sz w:val="20"/>
              </w:rPr>
              <w:t>log2FC</w:t>
            </w:r>
          </w:p>
        </w:tc>
        <w:tc>
          <w:tcPr>
            <w:tcW w:type="dxa" w:w="1461"/>
          </w:tcPr>
          <w:p>
            <w:pPr>
              <w:jc w:val="center"/>
            </w:pPr>
            <w:r>
              <w:rPr>
                <w:rFonts w:ascii="Arial" w:hAnsi="Arial"/>
                <w:b/>
                <w:sz w:val="20"/>
              </w:rPr>
              <w:t>FDR</w:t>
            </w:r>
          </w:p>
        </w:tc>
        <w:tc>
          <w:tcPr>
            <w:tcW w:type="dxa" w:w="1461"/>
          </w:tcPr>
          <w:p>
            <w:pPr>
              <w:jc w:val="center"/>
            </w:pPr>
            <w:r>
              <w:rPr>
                <w:rFonts w:ascii="Arial" w:hAnsi="Arial"/>
                <w:b/>
                <w:sz w:val="20"/>
              </w:rPr>
              <w:t>ROC-AUC</w:t>
            </w:r>
          </w:p>
        </w:tc>
        <w:tc>
          <w:tcPr>
            <w:tcW w:type="dxa" w:w="1461"/>
          </w:tcPr>
          <w:p>
            <w:pPr>
              <w:jc w:val="center"/>
            </w:pPr>
            <w:r>
              <w:rPr>
                <w:rFonts w:ascii="Arial" w:hAnsi="Arial"/>
                <w:b/>
                <w:sz w:val="20"/>
              </w:rPr>
              <w:t>Specificity Score</w:t>
            </w:r>
          </w:p>
        </w:tc>
      </w:tr>
      <w:tr>
        <w:tc>
          <w:tcPr>
            <w:tcW w:type="dxa" w:w="1461"/>
          </w:tcPr>
          <w:p>
            <w:pPr>
              <w:jc w:val="left"/>
            </w:pPr>
            <w:r>
              <w:rPr>
                <w:rFonts w:ascii="Times New Roman" w:hAnsi="Times New Roman"/>
                <w:sz w:val="20"/>
              </w:rPr>
              <w:t>S100A6</w:t>
            </w:r>
          </w:p>
        </w:tc>
        <w:tc>
          <w:tcPr>
            <w:tcW w:type="dxa" w:w="1461"/>
          </w:tcPr>
          <w:p>
            <w:pPr>
              <w:jc w:val="center"/>
            </w:pPr>
            <w:r>
              <w:rPr>
                <w:rFonts w:ascii="Times New Roman" w:hAnsi="Times New Roman"/>
                <w:sz w:val="20"/>
              </w:rPr>
              <w:t>12.088</w:t>
            </w:r>
          </w:p>
        </w:tc>
        <w:tc>
          <w:tcPr>
            <w:tcW w:type="dxa" w:w="1461"/>
          </w:tcPr>
          <w:p>
            <w:pPr>
              <w:jc w:val="center"/>
            </w:pPr>
            <w:r>
              <w:rPr>
                <w:rFonts w:ascii="Times New Roman" w:hAnsi="Times New Roman"/>
                <w:sz w:val="20"/>
              </w:rPr>
              <w:t>5.676</w:t>
            </w:r>
          </w:p>
        </w:tc>
        <w:tc>
          <w:tcPr>
            <w:tcW w:type="dxa" w:w="1461"/>
          </w:tcPr>
          <w:p>
            <w:pPr>
              <w:jc w:val="center"/>
            </w:pPr>
            <w:r>
              <w:rPr>
                <w:rFonts w:ascii="Times New Roman" w:hAnsi="Times New Roman"/>
                <w:sz w:val="20"/>
              </w:rPr>
              <w:t>6.411</w:t>
            </w:r>
          </w:p>
        </w:tc>
        <w:tc>
          <w:tcPr>
            <w:tcW w:type="dxa" w:w="1461"/>
          </w:tcPr>
          <w:p>
            <w:pPr>
              <w:jc w:val="center"/>
            </w:pPr>
            <w:r>
              <w:rPr>
                <w:rFonts w:ascii="Times New Roman" w:hAnsi="Times New Roman"/>
                <w:sz w:val="20"/>
              </w:rPr>
              <w:t>3.98e-54</w:t>
            </w:r>
          </w:p>
        </w:tc>
        <w:tc>
          <w:tcPr>
            <w:tcW w:type="dxa" w:w="1461"/>
          </w:tcPr>
          <w:p>
            <w:pPr>
              <w:jc w:val="center"/>
            </w:pPr>
            <w:r>
              <w:rPr>
                <w:rFonts w:ascii="Times New Roman" w:hAnsi="Times New Roman"/>
                <w:sz w:val="20"/>
              </w:rPr>
              <w:t>0.997</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TMSB10</w:t>
            </w:r>
          </w:p>
        </w:tc>
        <w:tc>
          <w:tcPr>
            <w:tcW w:type="dxa" w:w="1461"/>
          </w:tcPr>
          <w:p>
            <w:pPr>
              <w:jc w:val="center"/>
            </w:pPr>
            <w:r>
              <w:rPr>
                <w:rFonts w:ascii="Times New Roman" w:hAnsi="Times New Roman"/>
                <w:sz w:val="20"/>
              </w:rPr>
              <w:t>11.969</w:t>
            </w:r>
          </w:p>
        </w:tc>
        <w:tc>
          <w:tcPr>
            <w:tcW w:type="dxa" w:w="1461"/>
          </w:tcPr>
          <w:p>
            <w:pPr>
              <w:jc w:val="center"/>
            </w:pPr>
            <w:r>
              <w:rPr>
                <w:rFonts w:ascii="Times New Roman" w:hAnsi="Times New Roman"/>
                <w:sz w:val="20"/>
              </w:rPr>
              <w:t>7.844</w:t>
            </w:r>
          </w:p>
        </w:tc>
        <w:tc>
          <w:tcPr>
            <w:tcW w:type="dxa" w:w="1461"/>
          </w:tcPr>
          <w:p>
            <w:pPr>
              <w:jc w:val="center"/>
            </w:pPr>
            <w:r>
              <w:rPr>
                <w:rFonts w:ascii="Times New Roman" w:hAnsi="Times New Roman"/>
                <w:sz w:val="20"/>
              </w:rPr>
              <w:t>4.125</w:t>
            </w:r>
          </w:p>
        </w:tc>
        <w:tc>
          <w:tcPr>
            <w:tcW w:type="dxa" w:w="1461"/>
          </w:tcPr>
          <w:p>
            <w:pPr>
              <w:jc w:val="center"/>
            </w:pPr>
            <w:r>
              <w:rPr>
                <w:rFonts w:ascii="Times New Roman" w:hAnsi="Times New Roman"/>
                <w:sz w:val="20"/>
              </w:rPr>
              <w:t>5.07e-54</w:t>
            </w:r>
          </w:p>
        </w:tc>
        <w:tc>
          <w:tcPr>
            <w:tcW w:type="dxa" w:w="1461"/>
          </w:tcPr>
          <w:p>
            <w:pPr>
              <w:jc w:val="center"/>
            </w:pPr>
            <w:r>
              <w:rPr>
                <w:rFonts w:ascii="Times New Roman" w:hAnsi="Times New Roman"/>
                <w:sz w:val="20"/>
              </w:rPr>
              <w:t>0.994</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ACTB</w:t>
            </w:r>
          </w:p>
        </w:tc>
        <w:tc>
          <w:tcPr>
            <w:tcW w:type="dxa" w:w="1461"/>
          </w:tcPr>
          <w:p>
            <w:pPr>
              <w:jc w:val="center"/>
            </w:pPr>
            <w:r>
              <w:rPr>
                <w:rFonts w:ascii="Times New Roman" w:hAnsi="Times New Roman"/>
                <w:sz w:val="20"/>
              </w:rPr>
              <w:t>11.860</w:t>
            </w:r>
          </w:p>
        </w:tc>
        <w:tc>
          <w:tcPr>
            <w:tcW w:type="dxa" w:w="1461"/>
          </w:tcPr>
          <w:p>
            <w:pPr>
              <w:jc w:val="center"/>
            </w:pPr>
            <w:r>
              <w:rPr>
                <w:rFonts w:ascii="Times New Roman" w:hAnsi="Times New Roman"/>
                <w:sz w:val="20"/>
              </w:rPr>
              <w:t>8.112</w:t>
            </w:r>
          </w:p>
        </w:tc>
        <w:tc>
          <w:tcPr>
            <w:tcW w:type="dxa" w:w="1461"/>
          </w:tcPr>
          <w:p>
            <w:pPr>
              <w:jc w:val="center"/>
            </w:pPr>
            <w:r>
              <w:rPr>
                <w:rFonts w:ascii="Times New Roman" w:hAnsi="Times New Roman"/>
                <w:sz w:val="20"/>
              </w:rPr>
              <w:t>3.748</w:t>
            </w:r>
          </w:p>
        </w:tc>
        <w:tc>
          <w:tcPr>
            <w:tcW w:type="dxa" w:w="1461"/>
          </w:tcPr>
          <w:p>
            <w:pPr>
              <w:jc w:val="center"/>
            </w:pPr>
            <w:r>
              <w:rPr>
                <w:rFonts w:ascii="Times New Roman" w:hAnsi="Times New Roman"/>
                <w:sz w:val="20"/>
              </w:rPr>
              <w:t>5.24e-54</w:t>
            </w:r>
          </w:p>
        </w:tc>
        <w:tc>
          <w:tcPr>
            <w:tcW w:type="dxa" w:w="1461"/>
          </w:tcPr>
          <w:p>
            <w:pPr>
              <w:jc w:val="center"/>
            </w:pPr>
            <w:r>
              <w:rPr>
                <w:rFonts w:ascii="Times New Roman" w:hAnsi="Times New Roman"/>
                <w:sz w:val="20"/>
              </w:rPr>
              <w:t>0.994</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GAPDH</w:t>
            </w:r>
          </w:p>
        </w:tc>
        <w:tc>
          <w:tcPr>
            <w:tcW w:type="dxa" w:w="1461"/>
          </w:tcPr>
          <w:p>
            <w:pPr>
              <w:jc w:val="center"/>
            </w:pPr>
            <w:r>
              <w:rPr>
                <w:rFonts w:ascii="Times New Roman" w:hAnsi="Times New Roman"/>
                <w:sz w:val="20"/>
              </w:rPr>
              <w:t>11.278</w:t>
            </w:r>
          </w:p>
        </w:tc>
        <w:tc>
          <w:tcPr>
            <w:tcW w:type="dxa" w:w="1461"/>
          </w:tcPr>
          <w:p>
            <w:pPr>
              <w:jc w:val="center"/>
            </w:pPr>
            <w:r>
              <w:rPr>
                <w:rFonts w:ascii="Times New Roman" w:hAnsi="Times New Roman"/>
                <w:sz w:val="20"/>
              </w:rPr>
              <w:t>7.693</w:t>
            </w:r>
          </w:p>
        </w:tc>
        <w:tc>
          <w:tcPr>
            <w:tcW w:type="dxa" w:w="1461"/>
          </w:tcPr>
          <w:p>
            <w:pPr>
              <w:jc w:val="center"/>
            </w:pPr>
            <w:r>
              <w:rPr>
                <w:rFonts w:ascii="Times New Roman" w:hAnsi="Times New Roman"/>
                <w:sz w:val="20"/>
              </w:rPr>
              <w:t>3.585</w:t>
            </w:r>
          </w:p>
        </w:tc>
        <w:tc>
          <w:tcPr>
            <w:tcW w:type="dxa" w:w="1461"/>
          </w:tcPr>
          <w:p>
            <w:pPr>
              <w:jc w:val="center"/>
            </w:pPr>
            <w:r>
              <w:rPr>
                <w:rFonts w:ascii="Times New Roman" w:hAnsi="Times New Roman"/>
                <w:sz w:val="20"/>
              </w:rPr>
              <w:t>3.98e-54</w:t>
            </w:r>
          </w:p>
        </w:tc>
        <w:tc>
          <w:tcPr>
            <w:tcW w:type="dxa" w:w="1461"/>
          </w:tcPr>
          <w:p>
            <w:pPr>
              <w:jc w:val="center"/>
            </w:pPr>
            <w:r>
              <w:rPr>
                <w:rFonts w:ascii="Times New Roman" w:hAnsi="Times New Roman"/>
                <w:sz w:val="20"/>
              </w:rPr>
              <w:t>0.997</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CD74</w:t>
            </w:r>
          </w:p>
        </w:tc>
        <w:tc>
          <w:tcPr>
            <w:tcW w:type="dxa" w:w="1461"/>
          </w:tcPr>
          <w:p>
            <w:pPr>
              <w:jc w:val="center"/>
            </w:pPr>
            <w:r>
              <w:rPr>
                <w:rFonts w:ascii="Times New Roman" w:hAnsi="Times New Roman"/>
                <w:sz w:val="20"/>
              </w:rPr>
              <w:t>10.936</w:t>
            </w:r>
          </w:p>
        </w:tc>
        <w:tc>
          <w:tcPr>
            <w:tcW w:type="dxa" w:w="1461"/>
          </w:tcPr>
          <w:p>
            <w:pPr>
              <w:jc w:val="center"/>
            </w:pPr>
            <w:r>
              <w:rPr>
                <w:rFonts w:ascii="Times New Roman" w:hAnsi="Times New Roman"/>
                <w:sz w:val="20"/>
              </w:rPr>
              <w:t>6.492</w:t>
            </w:r>
          </w:p>
        </w:tc>
        <w:tc>
          <w:tcPr>
            <w:tcW w:type="dxa" w:w="1461"/>
          </w:tcPr>
          <w:p>
            <w:pPr>
              <w:jc w:val="center"/>
            </w:pPr>
            <w:r>
              <w:rPr>
                <w:rFonts w:ascii="Times New Roman" w:hAnsi="Times New Roman"/>
                <w:sz w:val="20"/>
              </w:rPr>
              <w:t>4.444</w:t>
            </w:r>
          </w:p>
        </w:tc>
        <w:tc>
          <w:tcPr>
            <w:tcW w:type="dxa" w:w="1461"/>
          </w:tcPr>
          <w:p>
            <w:pPr>
              <w:jc w:val="center"/>
            </w:pPr>
            <w:r>
              <w:rPr>
                <w:rFonts w:ascii="Times New Roman" w:hAnsi="Times New Roman"/>
                <w:sz w:val="20"/>
              </w:rPr>
              <w:t>6.15e-54</w:t>
            </w:r>
          </w:p>
        </w:tc>
        <w:tc>
          <w:tcPr>
            <w:tcW w:type="dxa" w:w="1461"/>
          </w:tcPr>
          <w:p>
            <w:pPr>
              <w:jc w:val="center"/>
            </w:pPr>
            <w:r>
              <w:rPr>
                <w:rFonts w:ascii="Times New Roman" w:hAnsi="Times New Roman"/>
                <w:sz w:val="20"/>
              </w:rPr>
              <w:t>0.992</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SPARC</w:t>
            </w:r>
          </w:p>
        </w:tc>
        <w:tc>
          <w:tcPr>
            <w:tcW w:type="dxa" w:w="1461"/>
          </w:tcPr>
          <w:p>
            <w:pPr>
              <w:jc w:val="center"/>
            </w:pPr>
            <w:r>
              <w:rPr>
                <w:rFonts w:ascii="Times New Roman" w:hAnsi="Times New Roman"/>
                <w:sz w:val="20"/>
              </w:rPr>
              <w:t>10.873</w:t>
            </w:r>
          </w:p>
        </w:tc>
        <w:tc>
          <w:tcPr>
            <w:tcW w:type="dxa" w:w="1461"/>
          </w:tcPr>
          <w:p>
            <w:pPr>
              <w:jc w:val="center"/>
            </w:pPr>
            <w:r>
              <w:rPr>
                <w:rFonts w:ascii="Times New Roman" w:hAnsi="Times New Roman"/>
                <w:sz w:val="20"/>
              </w:rPr>
              <w:t>5.454</w:t>
            </w:r>
          </w:p>
        </w:tc>
        <w:tc>
          <w:tcPr>
            <w:tcW w:type="dxa" w:w="1461"/>
          </w:tcPr>
          <w:p>
            <w:pPr>
              <w:jc w:val="center"/>
            </w:pPr>
            <w:r>
              <w:rPr>
                <w:rFonts w:ascii="Times New Roman" w:hAnsi="Times New Roman"/>
                <w:sz w:val="20"/>
              </w:rPr>
              <w:t>5.419</w:t>
            </w:r>
          </w:p>
        </w:tc>
        <w:tc>
          <w:tcPr>
            <w:tcW w:type="dxa" w:w="1461"/>
          </w:tcPr>
          <w:p>
            <w:pPr>
              <w:jc w:val="center"/>
            </w:pPr>
            <w:r>
              <w:rPr>
                <w:rFonts w:ascii="Times New Roman" w:hAnsi="Times New Roman"/>
                <w:sz w:val="20"/>
              </w:rPr>
              <w:t>1.06e-53</w:t>
            </w:r>
          </w:p>
        </w:tc>
        <w:tc>
          <w:tcPr>
            <w:tcW w:type="dxa" w:w="1461"/>
          </w:tcPr>
          <w:p>
            <w:pPr>
              <w:jc w:val="center"/>
            </w:pPr>
            <w:r>
              <w:rPr>
                <w:rFonts w:ascii="Times New Roman" w:hAnsi="Times New Roman"/>
                <w:sz w:val="20"/>
              </w:rPr>
              <w:t>0.990</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S100A11</w:t>
            </w:r>
          </w:p>
        </w:tc>
        <w:tc>
          <w:tcPr>
            <w:tcW w:type="dxa" w:w="1461"/>
          </w:tcPr>
          <w:p>
            <w:pPr>
              <w:jc w:val="center"/>
            </w:pPr>
            <w:r>
              <w:rPr>
                <w:rFonts w:ascii="Times New Roman" w:hAnsi="Times New Roman"/>
                <w:sz w:val="20"/>
              </w:rPr>
              <w:t>10.638</w:t>
            </w:r>
          </w:p>
        </w:tc>
        <w:tc>
          <w:tcPr>
            <w:tcW w:type="dxa" w:w="1461"/>
          </w:tcPr>
          <w:p>
            <w:pPr>
              <w:jc w:val="center"/>
            </w:pPr>
            <w:r>
              <w:rPr>
                <w:rFonts w:ascii="Times New Roman" w:hAnsi="Times New Roman"/>
                <w:sz w:val="20"/>
              </w:rPr>
              <w:t>6.233</w:t>
            </w:r>
          </w:p>
        </w:tc>
        <w:tc>
          <w:tcPr>
            <w:tcW w:type="dxa" w:w="1461"/>
          </w:tcPr>
          <w:p>
            <w:pPr>
              <w:jc w:val="center"/>
            </w:pPr>
            <w:r>
              <w:rPr>
                <w:rFonts w:ascii="Times New Roman" w:hAnsi="Times New Roman"/>
                <w:sz w:val="20"/>
              </w:rPr>
              <w:t>4.405</w:t>
            </w:r>
          </w:p>
        </w:tc>
        <w:tc>
          <w:tcPr>
            <w:tcW w:type="dxa" w:w="1461"/>
          </w:tcPr>
          <w:p>
            <w:pPr>
              <w:jc w:val="center"/>
            </w:pPr>
            <w:r>
              <w:rPr>
                <w:rFonts w:ascii="Times New Roman" w:hAnsi="Times New Roman"/>
                <w:sz w:val="20"/>
              </w:rPr>
              <w:t>2.00e-51</w:t>
            </w:r>
          </w:p>
        </w:tc>
        <w:tc>
          <w:tcPr>
            <w:tcW w:type="dxa" w:w="1461"/>
          </w:tcPr>
          <w:p>
            <w:pPr>
              <w:jc w:val="center"/>
            </w:pPr>
            <w:r>
              <w:rPr>
                <w:rFonts w:ascii="Times New Roman" w:hAnsi="Times New Roman"/>
                <w:sz w:val="20"/>
              </w:rPr>
              <w:t>0.976</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CD63</w:t>
            </w:r>
          </w:p>
        </w:tc>
        <w:tc>
          <w:tcPr>
            <w:tcW w:type="dxa" w:w="1461"/>
          </w:tcPr>
          <w:p>
            <w:pPr>
              <w:jc w:val="center"/>
            </w:pPr>
            <w:r>
              <w:rPr>
                <w:rFonts w:ascii="Times New Roman" w:hAnsi="Times New Roman"/>
                <w:sz w:val="20"/>
              </w:rPr>
              <w:t>10.570</w:t>
            </w:r>
          </w:p>
        </w:tc>
        <w:tc>
          <w:tcPr>
            <w:tcW w:type="dxa" w:w="1461"/>
          </w:tcPr>
          <w:p>
            <w:pPr>
              <w:jc w:val="center"/>
            </w:pPr>
            <w:r>
              <w:rPr>
                <w:rFonts w:ascii="Times New Roman" w:hAnsi="Times New Roman"/>
                <w:sz w:val="20"/>
              </w:rPr>
              <w:t>8.242</w:t>
            </w:r>
          </w:p>
        </w:tc>
        <w:tc>
          <w:tcPr>
            <w:tcW w:type="dxa" w:w="1461"/>
          </w:tcPr>
          <w:p>
            <w:pPr>
              <w:jc w:val="center"/>
            </w:pPr>
            <w:r>
              <w:rPr>
                <w:rFonts w:ascii="Times New Roman" w:hAnsi="Times New Roman"/>
                <w:sz w:val="20"/>
              </w:rPr>
              <w:t>2.328</w:t>
            </w:r>
          </w:p>
        </w:tc>
        <w:tc>
          <w:tcPr>
            <w:tcW w:type="dxa" w:w="1461"/>
          </w:tcPr>
          <w:p>
            <w:pPr>
              <w:jc w:val="center"/>
            </w:pPr>
            <w:r>
              <w:rPr>
                <w:rFonts w:ascii="Times New Roman" w:hAnsi="Times New Roman"/>
                <w:sz w:val="20"/>
              </w:rPr>
              <w:t>3.98e-54</w:t>
            </w:r>
          </w:p>
        </w:tc>
        <w:tc>
          <w:tcPr>
            <w:tcW w:type="dxa" w:w="1461"/>
          </w:tcPr>
          <w:p>
            <w:pPr>
              <w:jc w:val="center"/>
            </w:pPr>
            <w:r>
              <w:rPr>
                <w:rFonts w:ascii="Times New Roman" w:hAnsi="Times New Roman"/>
                <w:sz w:val="20"/>
              </w:rPr>
              <w:t>0.998</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ANXA2</w:t>
            </w:r>
          </w:p>
        </w:tc>
        <w:tc>
          <w:tcPr>
            <w:tcW w:type="dxa" w:w="1461"/>
          </w:tcPr>
          <w:p>
            <w:pPr>
              <w:jc w:val="center"/>
            </w:pPr>
            <w:r>
              <w:rPr>
                <w:rFonts w:ascii="Times New Roman" w:hAnsi="Times New Roman"/>
                <w:sz w:val="20"/>
              </w:rPr>
              <w:t>10.566</w:t>
            </w:r>
          </w:p>
        </w:tc>
        <w:tc>
          <w:tcPr>
            <w:tcW w:type="dxa" w:w="1461"/>
          </w:tcPr>
          <w:p>
            <w:pPr>
              <w:jc w:val="center"/>
            </w:pPr>
            <w:r>
              <w:rPr>
                <w:rFonts w:ascii="Times New Roman" w:hAnsi="Times New Roman"/>
                <w:sz w:val="20"/>
              </w:rPr>
              <w:t>6.667</w:t>
            </w:r>
          </w:p>
        </w:tc>
        <w:tc>
          <w:tcPr>
            <w:tcW w:type="dxa" w:w="1461"/>
          </w:tcPr>
          <w:p>
            <w:pPr>
              <w:jc w:val="center"/>
            </w:pPr>
            <w:r>
              <w:rPr>
                <w:rFonts w:ascii="Times New Roman" w:hAnsi="Times New Roman"/>
                <w:sz w:val="20"/>
              </w:rPr>
              <w:t>3.899</w:t>
            </w:r>
          </w:p>
        </w:tc>
        <w:tc>
          <w:tcPr>
            <w:tcW w:type="dxa" w:w="1461"/>
          </w:tcPr>
          <w:p>
            <w:pPr>
              <w:jc w:val="center"/>
            </w:pPr>
            <w:r>
              <w:rPr>
                <w:rFonts w:ascii="Times New Roman" w:hAnsi="Times New Roman"/>
                <w:sz w:val="20"/>
              </w:rPr>
              <w:t>6.29e-52</w:t>
            </w:r>
          </w:p>
        </w:tc>
        <w:tc>
          <w:tcPr>
            <w:tcW w:type="dxa" w:w="1461"/>
          </w:tcPr>
          <w:p>
            <w:pPr>
              <w:jc w:val="center"/>
            </w:pPr>
            <w:r>
              <w:rPr>
                <w:rFonts w:ascii="Times New Roman" w:hAnsi="Times New Roman"/>
                <w:sz w:val="20"/>
              </w:rPr>
              <w:t>0.979</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PPIA</w:t>
            </w:r>
          </w:p>
        </w:tc>
        <w:tc>
          <w:tcPr>
            <w:tcW w:type="dxa" w:w="1461"/>
          </w:tcPr>
          <w:p>
            <w:pPr>
              <w:jc w:val="center"/>
            </w:pPr>
            <w:r>
              <w:rPr>
                <w:rFonts w:ascii="Times New Roman" w:hAnsi="Times New Roman"/>
                <w:sz w:val="20"/>
              </w:rPr>
              <w:t>10.525</w:t>
            </w:r>
          </w:p>
        </w:tc>
        <w:tc>
          <w:tcPr>
            <w:tcW w:type="dxa" w:w="1461"/>
          </w:tcPr>
          <w:p>
            <w:pPr>
              <w:jc w:val="center"/>
            </w:pPr>
            <w:r>
              <w:rPr>
                <w:rFonts w:ascii="Times New Roman" w:hAnsi="Times New Roman"/>
                <w:sz w:val="20"/>
              </w:rPr>
              <w:t>8.267</w:t>
            </w:r>
          </w:p>
        </w:tc>
        <w:tc>
          <w:tcPr>
            <w:tcW w:type="dxa" w:w="1461"/>
          </w:tcPr>
          <w:p>
            <w:pPr>
              <w:jc w:val="center"/>
            </w:pPr>
            <w:r>
              <w:rPr>
                <w:rFonts w:ascii="Times New Roman" w:hAnsi="Times New Roman"/>
                <w:sz w:val="20"/>
              </w:rPr>
              <w:t>2.258</w:t>
            </w:r>
          </w:p>
        </w:tc>
        <w:tc>
          <w:tcPr>
            <w:tcW w:type="dxa" w:w="1461"/>
          </w:tcPr>
          <w:p>
            <w:pPr>
              <w:jc w:val="center"/>
            </w:pPr>
            <w:r>
              <w:rPr>
                <w:rFonts w:ascii="Times New Roman" w:hAnsi="Times New Roman"/>
                <w:sz w:val="20"/>
              </w:rPr>
              <w:t>1.96e-53</w:t>
            </w:r>
          </w:p>
        </w:tc>
        <w:tc>
          <w:tcPr>
            <w:tcW w:type="dxa" w:w="1461"/>
          </w:tcPr>
          <w:p>
            <w:pPr>
              <w:jc w:val="center"/>
            </w:pPr>
            <w:r>
              <w:rPr>
                <w:rFonts w:ascii="Times New Roman" w:hAnsi="Times New Roman"/>
                <w:sz w:val="20"/>
              </w:rPr>
              <w:t>0.988</w:t>
            </w:r>
          </w:p>
        </w:tc>
        <w:tc>
          <w:tcPr>
            <w:tcW w:type="dxa" w:w="1461"/>
          </w:tcPr>
          <w:p>
            <w:pPr>
              <w:jc w:val="center"/>
            </w:pPr>
            <w:r>
              <w:rPr>
                <w:rFonts w:ascii="Times New Roman" w:hAnsi="Times New Roman"/>
                <w:sz w:val="20"/>
              </w:rPr>
              <w:t>1.000</w:t>
            </w:r>
          </w:p>
        </w:tc>
      </w:tr>
    </w:tbl>
    <w:p>
      <w:pPr>
        <w:spacing w:after="120"/>
      </w:pPr>
    </w:p>
    <w:p>
      <w:pPr>
        <w:spacing w:before="240" w:after="120"/>
      </w:pPr>
      <w:r>
        <w:rPr>
          <w:rFonts w:ascii="Arial" w:hAnsi="Arial"/>
          <w:b/>
          <w:sz w:val="36"/>
        </w:rPr>
        <w:t>VII. Machine Learning Classifier Performance</w:t>
      </w:r>
    </w:p>
    <w:p>
      <w:pPr>
        <w:spacing w:after="120" w:line="360" w:lineRule="auto"/>
      </w:pPr>
      <w:r>
        <w:rPr>
          <w:rFonts w:ascii="Times New Roman" w:hAnsi="Times New Roman"/>
          <w:b w:val="0"/>
          <w:i w:val="0"/>
          <w:sz w:val="24"/>
        </w:rPr>
        <w:t>To identify the most predictive and sparse gene signature, we trained three classifiers on a stratified 80/20 train-test split of the discovery cohort: L1-regularized Logistic Regression (Lasso), Random Forest (100 estimators), and XGBoost. The L1 Logistic Regression classifier achieved perfect classification performance with a test AUC of 1.000 and accuracy of 100.0%, matching the 5-fold cross-validation AUC (1.000 +- 0.000). The Random Forest model achieved a test AUC of 0.9983 and XGBoost achieved 1.000. Due to its mathematical simplicity, sparseness (L1 penalty drives coefficients to zero), and perfect AUC, the L1 Logistic Regression model was selected for explainable AI analysis.</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pPr>
              <w:jc w:val="center"/>
            </w:pPr>
            <w:r>
              <w:rPr>
                <w:rFonts w:ascii="Arial" w:hAnsi="Arial"/>
                <w:b/>
                <w:sz w:val="20"/>
              </w:rPr>
              <w:t>Classifier Model</w:t>
            </w:r>
          </w:p>
        </w:tc>
        <w:tc>
          <w:tcPr>
            <w:tcW w:type="dxa" w:w="1461"/>
          </w:tcPr>
          <w:p>
            <w:pPr>
              <w:jc w:val="center"/>
            </w:pPr>
            <w:r>
              <w:rPr>
                <w:rFonts w:ascii="Arial" w:hAnsi="Arial"/>
                <w:b/>
                <w:sz w:val="20"/>
              </w:rPr>
              <w:t>Mean 5-Fold CV AUC</w:t>
            </w:r>
          </w:p>
        </w:tc>
        <w:tc>
          <w:tcPr>
            <w:tcW w:type="dxa" w:w="1461"/>
          </w:tcPr>
          <w:p>
            <w:pPr>
              <w:jc w:val="center"/>
            </w:pPr>
            <w:r>
              <w:rPr>
                <w:rFonts w:ascii="Arial" w:hAnsi="Arial"/>
                <w:b/>
                <w:sz w:val="20"/>
              </w:rPr>
              <w:t>Test AUC</w:t>
            </w:r>
          </w:p>
        </w:tc>
        <w:tc>
          <w:tcPr>
            <w:tcW w:type="dxa" w:w="1461"/>
          </w:tcPr>
          <w:p>
            <w:pPr>
              <w:jc w:val="center"/>
            </w:pPr>
            <w:r>
              <w:rPr>
                <w:rFonts w:ascii="Arial" w:hAnsi="Arial"/>
                <w:b/>
                <w:sz w:val="20"/>
              </w:rPr>
              <w:t>Test Accuracy</w:t>
            </w:r>
          </w:p>
        </w:tc>
        <w:tc>
          <w:tcPr>
            <w:tcW w:type="dxa" w:w="1461"/>
          </w:tcPr>
          <w:p>
            <w:pPr>
              <w:jc w:val="center"/>
            </w:pPr>
            <w:r>
              <w:rPr>
                <w:rFonts w:ascii="Arial" w:hAnsi="Arial"/>
                <w:b/>
                <w:sz w:val="20"/>
              </w:rPr>
              <w:t>Sensitivity</w:t>
            </w:r>
          </w:p>
        </w:tc>
        <w:tc>
          <w:tcPr>
            <w:tcW w:type="dxa" w:w="1461"/>
          </w:tcPr>
          <w:p>
            <w:pPr>
              <w:jc w:val="center"/>
            </w:pPr>
            <w:r>
              <w:rPr>
                <w:rFonts w:ascii="Arial" w:hAnsi="Arial"/>
                <w:b/>
                <w:sz w:val="20"/>
              </w:rPr>
              <w:t>Specificity</w:t>
            </w:r>
          </w:p>
        </w:tc>
        <w:tc>
          <w:tcPr>
            <w:tcW w:type="dxa" w:w="1461"/>
          </w:tcPr>
          <w:p>
            <w:pPr>
              <w:jc w:val="center"/>
            </w:pPr>
            <w:r>
              <w:rPr>
                <w:rFonts w:ascii="Arial" w:hAnsi="Arial"/>
                <w:b/>
                <w:sz w:val="20"/>
              </w:rPr>
              <w:t>F1 Score</w:t>
            </w:r>
          </w:p>
        </w:tc>
      </w:tr>
      <w:tr>
        <w:tc>
          <w:tcPr>
            <w:tcW w:type="dxa" w:w="1461"/>
          </w:tcPr>
          <w:p>
            <w:pPr>
              <w:jc w:val="left"/>
            </w:pPr>
            <w:r>
              <w:rPr>
                <w:rFonts w:ascii="Times New Roman" w:hAnsi="Times New Roman"/>
                <w:sz w:val="20"/>
              </w:rPr>
              <w:t>Logistic Regression L1</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Random Forest</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0.998</w:t>
            </w:r>
          </w:p>
        </w:tc>
        <w:tc>
          <w:tcPr>
            <w:tcW w:type="dxa" w:w="1461"/>
          </w:tcPr>
          <w:p>
            <w:pPr>
              <w:jc w:val="center"/>
            </w:pPr>
            <w:r>
              <w:rPr>
                <w:rFonts w:ascii="Times New Roman" w:hAnsi="Times New Roman"/>
                <w:sz w:val="20"/>
              </w:rPr>
              <w:t>98.6%</w:t>
            </w:r>
          </w:p>
        </w:tc>
        <w:tc>
          <w:tcPr>
            <w:tcW w:type="dxa" w:w="1461"/>
          </w:tcPr>
          <w:p>
            <w:pPr>
              <w:jc w:val="center"/>
            </w:pPr>
            <w:r>
              <w:rPr>
                <w:rFonts w:ascii="Times New Roman" w:hAnsi="Times New Roman"/>
                <w:sz w:val="20"/>
              </w:rPr>
              <w:t>0.972</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0.986</w:t>
            </w:r>
          </w:p>
        </w:tc>
      </w:tr>
      <w:tr>
        <w:tc>
          <w:tcPr>
            <w:tcW w:type="dxa" w:w="1461"/>
          </w:tcPr>
          <w:p>
            <w:pPr>
              <w:jc w:val="left"/>
            </w:pPr>
            <w:r>
              <w:rPr>
                <w:rFonts w:ascii="Times New Roman" w:hAnsi="Times New Roman"/>
                <w:sz w:val="20"/>
              </w:rPr>
              <w:t>XGBoost</w:t>
            </w:r>
          </w:p>
        </w:tc>
        <w:tc>
          <w:tcPr>
            <w:tcW w:type="dxa" w:w="1461"/>
          </w:tcPr>
          <w:p>
            <w:pPr>
              <w:jc w:val="center"/>
            </w:pPr>
            <w:r>
              <w:rPr>
                <w:rFonts w:ascii="Times New Roman" w:hAnsi="Times New Roman"/>
                <w:sz w:val="20"/>
              </w:rPr>
              <w:t>0.996</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r>
    </w:tbl>
    <w:p>
      <w:pPr>
        <w:spacing w:after="120"/>
      </w:pPr>
    </w:p>
    <w:p>
      <w:pPr>
        <w:spacing w:before="240" w:after="120"/>
      </w:pPr>
      <w:r>
        <w:rPr>
          <w:rFonts w:ascii="Arial" w:hAnsi="Arial"/>
          <w:b/>
          <w:sz w:val="36"/>
        </w:rPr>
        <w:t>VIII. SHAP-Based Explainable AI Analysis</w:t>
      </w:r>
    </w:p>
    <w:p>
      <w:pPr>
        <w:spacing w:after="120" w:line="360" w:lineRule="auto"/>
      </w:pPr>
      <w:r>
        <w:rPr>
          <w:rFonts w:ascii="Times New Roman" w:hAnsi="Times New Roman"/>
          <w:b w:val="0"/>
          <w:i w:val="0"/>
          <w:sz w:val="24"/>
        </w:rPr>
        <w:t>We applied SHAP (SHapley Additive exPlanations) to interpret the selected L1 Logistic Regression classifier. The SHAP summary plot shows the top 15 features driving the classifier. Non-coding transcripts such as RP11-40C6.2 and AC009065.4 had the highest mean absolute SHAP values. Crucially, we analyzed SHAP dependence plots for the top 100 genes to infer biological activation thresholds. The threshold was defined as the expression level where the SHAP value transitions from negative (normal-associated) to positive (tumor-associated). Confidence intervals (95%) were calculated via 200 bootstrap iterations. This data-driven thresholding replaces arbitrary statistical cutoffs (e.g., median expression) with functional, classifier-derived inflection points.</w:t>
      </w:r>
    </w:p>
    <w:p>
      <w:pPr>
        <w:spacing w:after="80"/>
        <w:jc w:val="center"/>
      </w:pPr>
      <w:r>
        <w:drawing>
          <wp:inline xmlns:a="http://schemas.openxmlformats.org/drawingml/2006/main" xmlns:pic="http://schemas.openxmlformats.org/drawingml/2006/picture">
            <wp:extent cx="2743200" cy="1714500"/>
            <wp:docPr id="2" name="Picture 2"/>
            <wp:cNvGraphicFramePr>
              <a:graphicFrameLocks noChangeAspect="1"/>
            </wp:cNvGraphicFramePr>
            <a:graphic>
              <a:graphicData uri="http://schemas.openxmlformats.org/drawingml/2006/picture">
                <pic:pic>
                  <pic:nvPicPr>
                    <pic:cNvPr id="0" name="shap_summary.png"/>
                    <pic:cNvPicPr/>
                  </pic:nvPicPr>
                  <pic:blipFill>
                    <a:blip r:embed="rId10"/>
                    <a:stretch>
                      <a:fillRect/>
                    </a:stretch>
                  </pic:blipFill>
                  <pic:spPr>
                    <a:xfrm>
                      <a:off x="0" y="0"/>
                      <a:ext cx="2743200" cy="1714500"/>
                    </a:xfrm>
                    <a:prstGeom prst="rect"/>
                  </pic:spPr>
                </pic:pic>
              </a:graphicData>
            </a:graphic>
          </wp:inline>
        </w:drawing>
      </w:r>
    </w:p>
    <w:p>
      <w:pPr>
        <w:spacing w:after="240"/>
        <w:jc w:val="center"/>
      </w:pPr>
      <w:r>
        <w:rPr>
          <w:rFonts w:ascii="Times New Roman" w:hAnsi="Times New Roman"/>
          <w:i/>
          <w:sz w:val="20"/>
        </w:rPr>
        <w:t>Figure: SHAP Feature Importance Summary Bar Plot</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pPr>
              <w:jc w:val="center"/>
            </w:pPr>
            <w:r>
              <w:rPr>
                <w:rFonts w:ascii="Arial" w:hAnsi="Arial"/>
                <w:b/>
                <w:sz w:val="20"/>
              </w:rPr>
              <w:t>Rank</w:t>
            </w:r>
          </w:p>
        </w:tc>
        <w:tc>
          <w:tcPr>
            <w:tcW w:type="dxa" w:w="2045"/>
          </w:tcPr>
          <w:p>
            <w:pPr>
              <w:jc w:val="center"/>
            </w:pPr>
            <w:r>
              <w:rPr>
                <w:rFonts w:ascii="Arial" w:hAnsi="Arial"/>
                <w:b/>
                <w:sz w:val="20"/>
              </w:rPr>
              <w:t>Gene Symbol</w:t>
            </w:r>
          </w:p>
        </w:tc>
        <w:tc>
          <w:tcPr>
            <w:tcW w:type="dxa" w:w="2045"/>
          </w:tcPr>
          <w:p>
            <w:pPr>
              <w:jc w:val="center"/>
            </w:pPr>
            <w:r>
              <w:rPr>
                <w:rFonts w:ascii="Arial" w:hAnsi="Arial"/>
                <w:b/>
                <w:sz w:val="20"/>
              </w:rPr>
              <w:t>Mean Absolute SHAP Value</w:t>
            </w:r>
          </w:p>
        </w:tc>
        <w:tc>
          <w:tcPr>
            <w:tcW w:type="dxa" w:w="2045"/>
          </w:tcPr>
          <w:p>
            <w:pPr>
              <w:jc w:val="center"/>
            </w:pPr>
            <w:r>
              <w:rPr>
                <w:rFonts w:ascii="Arial" w:hAnsi="Arial"/>
                <w:b/>
                <w:sz w:val="20"/>
              </w:rPr>
              <w:t>Inferred Threshold (log2 TPM)</w:t>
            </w:r>
          </w:p>
        </w:tc>
        <w:tc>
          <w:tcPr>
            <w:tcW w:type="dxa" w:w="2045"/>
          </w:tcPr>
          <w:p>
            <w:pPr>
              <w:jc w:val="center"/>
            </w:pPr>
            <w:r>
              <w:rPr>
                <w:rFonts w:ascii="Arial" w:hAnsi="Arial"/>
                <w:b/>
                <w:sz w:val="20"/>
              </w:rPr>
              <w:t>95% Confidence Interval</w:t>
            </w:r>
          </w:p>
        </w:tc>
      </w:tr>
      <w:tr>
        <w:tc>
          <w:tcPr>
            <w:tcW w:type="dxa" w:w="2045"/>
          </w:tcPr>
          <w:p>
            <w:pPr>
              <w:jc w:val="left"/>
            </w:pPr>
            <w:r>
              <w:rPr>
                <w:rFonts w:ascii="Times New Roman" w:hAnsi="Times New Roman"/>
                <w:sz w:val="20"/>
              </w:rPr>
              <w:t>1</w:t>
            </w:r>
          </w:p>
        </w:tc>
        <w:tc>
          <w:tcPr>
            <w:tcW w:type="dxa" w:w="2045"/>
          </w:tcPr>
          <w:p>
            <w:pPr>
              <w:jc w:val="center"/>
            </w:pPr>
            <w:r>
              <w:rPr>
                <w:rFonts w:ascii="Times New Roman" w:hAnsi="Times New Roman"/>
                <w:sz w:val="20"/>
              </w:rPr>
              <w:t>RP11-40C6.2</w:t>
            </w:r>
          </w:p>
        </w:tc>
        <w:tc>
          <w:tcPr>
            <w:tcW w:type="dxa" w:w="2045"/>
          </w:tcPr>
          <w:p>
            <w:pPr>
              <w:jc w:val="center"/>
            </w:pPr>
            <w:r>
              <w:rPr>
                <w:rFonts w:ascii="Times New Roman" w:hAnsi="Times New Roman"/>
                <w:sz w:val="20"/>
              </w:rPr>
              <w:t>3.0292</w:t>
            </w:r>
          </w:p>
        </w:tc>
        <w:tc>
          <w:tcPr>
            <w:tcW w:type="dxa" w:w="2045"/>
          </w:tcPr>
          <w:p>
            <w:pPr>
              <w:jc w:val="center"/>
            </w:pPr>
            <w:r>
              <w:rPr>
                <w:rFonts w:ascii="Times New Roman" w:hAnsi="Times New Roman"/>
                <w:sz w:val="20"/>
              </w:rPr>
              <w:t>2.794</w:t>
            </w:r>
          </w:p>
        </w:tc>
        <w:tc>
          <w:tcPr>
            <w:tcW w:type="dxa" w:w="2045"/>
          </w:tcPr>
          <w:p>
            <w:pPr>
              <w:jc w:val="center"/>
            </w:pPr>
            <w:r>
              <w:rPr>
                <w:rFonts w:ascii="Times New Roman" w:hAnsi="Times New Roman"/>
                <w:sz w:val="20"/>
              </w:rPr>
              <w:t>[2.753, 4.863]</w:t>
            </w:r>
          </w:p>
        </w:tc>
      </w:tr>
      <w:tr>
        <w:tc>
          <w:tcPr>
            <w:tcW w:type="dxa" w:w="2045"/>
          </w:tcPr>
          <w:p>
            <w:pPr>
              <w:jc w:val="left"/>
            </w:pPr>
            <w:r>
              <w:rPr>
                <w:rFonts w:ascii="Times New Roman" w:hAnsi="Times New Roman"/>
                <w:sz w:val="20"/>
              </w:rPr>
              <w:t>2</w:t>
            </w:r>
          </w:p>
        </w:tc>
        <w:tc>
          <w:tcPr>
            <w:tcW w:type="dxa" w:w="2045"/>
          </w:tcPr>
          <w:p>
            <w:pPr>
              <w:jc w:val="center"/>
            </w:pPr>
            <w:r>
              <w:rPr>
                <w:rFonts w:ascii="Times New Roman" w:hAnsi="Times New Roman"/>
                <w:sz w:val="20"/>
              </w:rPr>
              <w:t>AC009065.4</w:t>
            </w:r>
          </w:p>
        </w:tc>
        <w:tc>
          <w:tcPr>
            <w:tcW w:type="dxa" w:w="2045"/>
          </w:tcPr>
          <w:p>
            <w:pPr>
              <w:jc w:val="center"/>
            </w:pPr>
            <w:r>
              <w:rPr>
                <w:rFonts w:ascii="Times New Roman" w:hAnsi="Times New Roman"/>
                <w:sz w:val="20"/>
              </w:rPr>
              <w:t>2.1206</w:t>
            </w:r>
          </w:p>
        </w:tc>
        <w:tc>
          <w:tcPr>
            <w:tcW w:type="dxa" w:w="2045"/>
          </w:tcPr>
          <w:p>
            <w:pPr>
              <w:jc w:val="center"/>
            </w:pPr>
            <w:r>
              <w:rPr>
                <w:rFonts w:ascii="Times New Roman" w:hAnsi="Times New Roman"/>
                <w:sz w:val="20"/>
              </w:rPr>
              <w:t>-6.216</w:t>
            </w:r>
          </w:p>
        </w:tc>
        <w:tc>
          <w:tcPr>
            <w:tcW w:type="dxa" w:w="2045"/>
          </w:tcPr>
          <w:p>
            <w:pPr>
              <w:jc w:val="center"/>
            </w:pPr>
            <w:r>
              <w:rPr>
                <w:rFonts w:ascii="Times New Roman" w:hAnsi="Times New Roman"/>
                <w:sz w:val="20"/>
              </w:rPr>
              <w:t>[-6.216, -5.557]</w:t>
            </w:r>
          </w:p>
        </w:tc>
      </w:tr>
      <w:tr>
        <w:tc>
          <w:tcPr>
            <w:tcW w:type="dxa" w:w="2045"/>
          </w:tcPr>
          <w:p>
            <w:pPr>
              <w:jc w:val="left"/>
            </w:pPr>
            <w:r>
              <w:rPr>
                <w:rFonts w:ascii="Times New Roman" w:hAnsi="Times New Roman"/>
                <w:sz w:val="20"/>
              </w:rPr>
              <w:t>3</w:t>
            </w:r>
          </w:p>
        </w:tc>
        <w:tc>
          <w:tcPr>
            <w:tcW w:type="dxa" w:w="2045"/>
          </w:tcPr>
          <w:p>
            <w:pPr>
              <w:jc w:val="center"/>
            </w:pPr>
            <w:r>
              <w:rPr>
                <w:rFonts w:ascii="Times New Roman" w:hAnsi="Times New Roman"/>
                <w:sz w:val="20"/>
              </w:rPr>
              <w:t>MMP12</w:t>
            </w:r>
          </w:p>
        </w:tc>
        <w:tc>
          <w:tcPr>
            <w:tcW w:type="dxa" w:w="2045"/>
          </w:tcPr>
          <w:p>
            <w:pPr>
              <w:jc w:val="center"/>
            </w:pPr>
            <w:r>
              <w:rPr>
                <w:rFonts w:ascii="Times New Roman" w:hAnsi="Times New Roman"/>
                <w:sz w:val="20"/>
              </w:rPr>
              <w:t>0.7897</w:t>
            </w:r>
          </w:p>
        </w:tc>
        <w:tc>
          <w:tcPr>
            <w:tcW w:type="dxa" w:w="2045"/>
          </w:tcPr>
          <w:p>
            <w:pPr>
              <w:jc w:val="center"/>
            </w:pPr>
            <w:r>
              <w:rPr>
                <w:rFonts w:ascii="Times New Roman" w:hAnsi="Times New Roman"/>
                <w:sz w:val="20"/>
              </w:rPr>
              <w:t>-2.486</w:t>
            </w:r>
          </w:p>
        </w:tc>
        <w:tc>
          <w:tcPr>
            <w:tcW w:type="dxa" w:w="2045"/>
          </w:tcPr>
          <w:p>
            <w:pPr>
              <w:jc w:val="center"/>
            </w:pPr>
            <w:r>
              <w:rPr>
                <w:rFonts w:ascii="Times New Roman" w:hAnsi="Times New Roman"/>
                <w:sz w:val="20"/>
              </w:rPr>
              <w:t>[-3.106, -1.848]</w:t>
            </w:r>
          </w:p>
        </w:tc>
      </w:tr>
      <w:tr>
        <w:tc>
          <w:tcPr>
            <w:tcW w:type="dxa" w:w="2045"/>
          </w:tcPr>
          <w:p>
            <w:pPr>
              <w:jc w:val="left"/>
            </w:pPr>
            <w:r>
              <w:rPr>
                <w:rFonts w:ascii="Times New Roman" w:hAnsi="Times New Roman"/>
                <w:sz w:val="20"/>
              </w:rPr>
              <w:t>4</w:t>
            </w:r>
          </w:p>
        </w:tc>
        <w:tc>
          <w:tcPr>
            <w:tcW w:type="dxa" w:w="2045"/>
          </w:tcPr>
          <w:p>
            <w:pPr>
              <w:jc w:val="center"/>
            </w:pPr>
            <w:r>
              <w:rPr>
                <w:rFonts w:ascii="Times New Roman" w:hAnsi="Times New Roman"/>
                <w:sz w:val="20"/>
              </w:rPr>
              <w:t>MISP</w:t>
            </w:r>
          </w:p>
        </w:tc>
        <w:tc>
          <w:tcPr>
            <w:tcW w:type="dxa" w:w="2045"/>
          </w:tcPr>
          <w:p>
            <w:pPr>
              <w:jc w:val="center"/>
            </w:pPr>
            <w:r>
              <w:rPr>
                <w:rFonts w:ascii="Times New Roman" w:hAnsi="Times New Roman"/>
                <w:sz w:val="20"/>
              </w:rPr>
              <w:t>0.5362</w:t>
            </w:r>
          </w:p>
        </w:tc>
        <w:tc>
          <w:tcPr>
            <w:tcW w:type="dxa" w:w="2045"/>
          </w:tcPr>
          <w:p>
            <w:pPr>
              <w:jc w:val="center"/>
            </w:pPr>
            <w:r>
              <w:rPr>
                <w:rFonts w:ascii="Times New Roman" w:hAnsi="Times New Roman"/>
                <w:sz w:val="20"/>
              </w:rPr>
              <w:t>1.726</w:t>
            </w:r>
          </w:p>
        </w:tc>
        <w:tc>
          <w:tcPr>
            <w:tcW w:type="dxa" w:w="2045"/>
          </w:tcPr>
          <w:p>
            <w:pPr>
              <w:jc w:val="center"/>
            </w:pPr>
            <w:r>
              <w:rPr>
                <w:rFonts w:ascii="Times New Roman" w:hAnsi="Times New Roman"/>
                <w:sz w:val="20"/>
              </w:rPr>
              <w:t>[1.319, 2.218]</w:t>
            </w:r>
          </w:p>
        </w:tc>
      </w:tr>
      <w:tr>
        <w:tc>
          <w:tcPr>
            <w:tcW w:type="dxa" w:w="2045"/>
          </w:tcPr>
          <w:p>
            <w:pPr>
              <w:jc w:val="left"/>
            </w:pPr>
            <w:r>
              <w:rPr>
                <w:rFonts w:ascii="Times New Roman" w:hAnsi="Times New Roman"/>
                <w:sz w:val="20"/>
              </w:rPr>
              <w:t>5</w:t>
            </w:r>
          </w:p>
        </w:tc>
        <w:tc>
          <w:tcPr>
            <w:tcW w:type="dxa" w:w="2045"/>
          </w:tcPr>
          <w:p>
            <w:pPr>
              <w:jc w:val="center"/>
            </w:pPr>
            <w:r>
              <w:rPr>
                <w:rFonts w:ascii="Times New Roman" w:hAnsi="Times New Roman"/>
                <w:sz w:val="20"/>
              </w:rPr>
              <w:t>UBE2SP2</w:t>
            </w:r>
          </w:p>
        </w:tc>
        <w:tc>
          <w:tcPr>
            <w:tcW w:type="dxa" w:w="2045"/>
          </w:tcPr>
          <w:p>
            <w:pPr>
              <w:jc w:val="center"/>
            </w:pPr>
            <w:r>
              <w:rPr>
                <w:rFonts w:ascii="Times New Roman" w:hAnsi="Times New Roman"/>
                <w:sz w:val="20"/>
              </w:rPr>
              <w:t>0.4772</w:t>
            </w:r>
          </w:p>
        </w:tc>
        <w:tc>
          <w:tcPr>
            <w:tcW w:type="dxa" w:w="2045"/>
          </w:tcPr>
          <w:p>
            <w:pPr>
              <w:jc w:val="center"/>
            </w:pPr>
            <w:r>
              <w:rPr>
                <w:rFonts w:ascii="Times New Roman" w:hAnsi="Times New Roman"/>
                <w:sz w:val="20"/>
              </w:rPr>
              <w:t>-2.427</w:t>
            </w:r>
          </w:p>
        </w:tc>
        <w:tc>
          <w:tcPr>
            <w:tcW w:type="dxa" w:w="2045"/>
          </w:tcPr>
          <w:p>
            <w:pPr>
              <w:jc w:val="center"/>
            </w:pPr>
            <w:r>
              <w:rPr>
                <w:rFonts w:ascii="Times New Roman" w:hAnsi="Times New Roman"/>
                <w:sz w:val="20"/>
              </w:rPr>
              <w:t>[-2.468, -2.355]</w:t>
            </w:r>
          </w:p>
        </w:tc>
      </w:tr>
      <w:tr>
        <w:tc>
          <w:tcPr>
            <w:tcW w:type="dxa" w:w="2045"/>
          </w:tcPr>
          <w:p>
            <w:pPr>
              <w:jc w:val="left"/>
            </w:pPr>
            <w:r>
              <w:rPr>
                <w:rFonts w:ascii="Times New Roman" w:hAnsi="Times New Roman"/>
                <w:sz w:val="20"/>
              </w:rPr>
              <w:t>6</w:t>
            </w:r>
          </w:p>
        </w:tc>
        <w:tc>
          <w:tcPr>
            <w:tcW w:type="dxa" w:w="2045"/>
          </w:tcPr>
          <w:p>
            <w:pPr>
              <w:jc w:val="center"/>
            </w:pPr>
            <w:r>
              <w:rPr>
                <w:rFonts w:ascii="Times New Roman" w:hAnsi="Times New Roman"/>
                <w:sz w:val="20"/>
              </w:rPr>
              <w:t>HMGN1P37</w:t>
            </w:r>
          </w:p>
        </w:tc>
        <w:tc>
          <w:tcPr>
            <w:tcW w:type="dxa" w:w="2045"/>
          </w:tcPr>
          <w:p>
            <w:pPr>
              <w:jc w:val="center"/>
            </w:pPr>
            <w:r>
              <w:rPr>
                <w:rFonts w:ascii="Times New Roman" w:hAnsi="Times New Roman"/>
                <w:sz w:val="20"/>
              </w:rPr>
              <w:t>0.2474</w:t>
            </w:r>
          </w:p>
        </w:tc>
        <w:tc>
          <w:tcPr>
            <w:tcW w:type="dxa" w:w="2045"/>
          </w:tcPr>
          <w:p>
            <w:pPr>
              <w:jc w:val="center"/>
            </w:pPr>
            <w:r>
              <w:rPr>
                <w:rFonts w:ascii="Times New Roman" w:hAnsi="Times New Roman"/>
                <w:sz w:val="20"/>
              </w:rPr>
              <w:t>-6.177</w:t>
            </w:r>
          </w:p>
        </w:tc>
        <w:tc>
          <w:tcPr>
            <w:tcW w:type="dxa" w:w="2045"/>
          </w:tcPr>
          <w:p>
            <w:pPr>
              <w:jc w:val="center"/>
            </w:pPr>
            <w:r>
              <w:rPr>
                <w:rFonts w:ascii="Times New Roman" w:hAnsi="Times New Roman"/>
                <w:sz w:val="20"/>
              </w:rPr>
              <w:t>[-6.177, -6.040]</w:t>
            </w:r>
          </w:p>
        </w:tc>
      </w:tr>
      <w:tr>
        <w:tc>
          <w:tcPr>
            <w:tcW w:type="dxa" w:w="2045"/>
          </w:tcPr>
          <w:p>
            <w:pPr>
              <w:jc w:val="left"/>
            </w:pPr>
            <w:r>
              <w:rPr>
                <w:rFonts w:ascii="Times New Roman" w:hAnsi="Times New Roman"/>
                <w:sz w:val="20"/>
              </w:rPr>
              <w:t>7</w:t>
            </w:r>
          </w:p>
        </w:tc>
        <w:tc>
          <w:tcPr>
            <w:tcW w:type="dxa" w:w="2045"/>
          </w:tcPr>
          <w:p>
            <w:pPr>
              <w:jc w:val="center"/>
            </w:pPr>
            <w:r>
              <w:rPr>
                <w:rFonts w:ascii="Times New Roman" w:hAnsi="Times New Roman"/>
                <w:sz w:val="20"/>
              </w:rPr>
              <w:t>S100A6</w:t>
            </w:r>
          </w:p>
        </w:tc>
        <w:tc>
          <w:tcPr>
            <w:tcW w:type="dxa" w:w="2045"/>
          </w:tcPr>
          <w:p>
            <w:pPr>
              <w:jc w:val="center"/>
            </w:pPr>
            <w:r>
              <w:rPr>
                <w:rFonts w:ascii="Times New Roman" w:hAnsi="Times New Roman"/>
                <w:sz w:val="20"/>
              </w:rPr>
              <w:t>0.1254</w:t>
            </w:r>
          </w:p>
        </w:tc>
        <w:tc>
          <w:tcPr>
            <w:tcW w:type="dxa" w:w="2045"/>
          </w:tcPr>
          <w:p>
            <w:pPr>
              <w:jc w:val="center"/>
            </w:pPr>
            <w:r>
              <w:rPr>
                <w:rFonts w:ascii="Times New Roman" w:hAnsi="Times New Roman"/>
                <w:sz w:val="20"/>
              </w:rPr>
              <w:t>9.433</w:t>
            </w:r>
          </w:p>
        </w:tc>
        <w:tc>
          <w:tcPr>
            <w:tcW w:type="dxa" w:w="2045"/>
          </w:tcPr>
          <w:p>
            <w:pPr>
              <w:jc w:val="center"/>
            </w:pPr>
            <w:r>
              <w:rPr>
                <w:rFonts w:ascii="Times New Roman" w:hAnsi="Times New Roman"/>
                <w:sz w:val="20"/>
              </w:rPr>
              <w:t>[9.295, 9.845]</w:t>
            </w:r>
          </w:p>
        </w:tc>
      </w:tr>
      <w:tr>
        <w:tc>
          <w:tcPr>
            <w:tcW w:type="dxa" w:w="2045"/>
          </w:tcPr>
          <w:p>
            <w:pPr>
              <w:jc w:val="left"/>
            </w:pPr>
            <w:r>
              <w:rPr>
                <w:rFonts w:ascii="Times New Roman" w:hAnsi="Times New Roman"/>
                <w:sz w:val="20"/>
              </w:rPr>
              <w:t>8</w:t>
            </w:r>
          </w:p>
        </w:tc>
        <w:tc>
          <w:tcPr>
            <w:tcW w:type="dxa" w:w="2045"/>
          </w:tcPr>
          <w:p>
            <w:pPr>
              <w:jc w:val="center"/>
            </w:pPr>
            <w:r>
              <w:rPr>
                <w:rFonts w:ascii="Times New Roman" w:hAnsi="Times New Roman"/>
                <w:sz w:val="20"/>
              </w:rPr>
              <w:t>RP11-10G12.1</w:t>
            </w:r>
          </w:p>
        </w:tc>
        <w:tc>
          <w:tcPr>
            <w:tcW w:type="dxa" w:w="2045"/>
          </w:tcPr>
          <w:p>
            <w:pPr>
              <w:jc w:val="center"/>
            </w:pPr>
            <w:r>
              <w:rPr>
                <w:rFonts w:ascii="Times New Roman" w:hAnsi="Times New Roman"/>
                <w:sz w:val="20"/>
              </w:rPr>
              <w:t>0.1130</w:t>
            </w:r>
          </w:p>
        </w:tc>
        <w:tc>
          <w:tcPr>
            <w:tcW w:type="dxa" w:w="2045"/>
          </w:tcPr>
          <w:p>
            <w:pPr>
              <w:jc w:val="center"/>
            </w:pPr>
            <w:r>
              <w:rPr>
                <w:rFonts w:ascii="Times New Roman" w:hAnsi="Times New Roman"/>
                <w:sz w:val="20"/>
              </w:rPr>
              <w:t>-2.837</w:t>
            </w:r>
          </w:p>
        </w:tc>
        <w:tc>
          <w:tcPr>
            <w:tcW w:type="dxa" w:w="2045"/>
          </w:tcPr>
          <w:p>
            <w:pPr>
              <w:jc w:val="center"/>
            </w:pPr>
            <w:r>
              <w:rPr>
                <w:rFonts w:ascii="Times New Roman" w:hAnsi="Times New Roman"/>
                <w:sz w:val="20"/>
              </w:rPr>
              <w:t>[-5.803, -2.794]</w:t>
            </w:r>
          </w:p>
        </w:tc>
      </w:tr>
      <w:tr>
        <w:tc>
          <w:tcPr>
            <w:tcW w:type="dxa" w:w="2045"/>
          </w:tcPr>
          <w:p>
            <w:pPr>
              <w:jc w:val="left"/>
            </w:pPr>
            <w:r>
              <w:rPr>
                <w:rFonts w:ascii="Times New Roman" w:hAnsi="Times New Roman"/>
                <w:sz w:val="20"/>
              </w:rPr>
              <w:t>9</w:t>
            </w:r>
          </w:p>
        </w:tc>
        <w:tc>
          <w:tcPr>
            <w:tcW w:type="dxa" w:w="2045"/>
          </w:tcPr>
          <w:p>
            <w:pPr>
              <w:jc w:val="center"/>
            </w:pPr>
            <w:r>
              <w:rPr>
                <w:rFonts w:ascii="Times New Roman" w:hAnsi="Times New Roman"/>
                <w:sz w:val="20"/>
              </w:rPr>
              <w:t>RPL37P6</w:t>
            </w:r>
          </w:p>
        </w:tc>
        <w:tc>
          <w:tcPr>
            <w:tcW w:type="dxa" w:w="2045"/>
          </w:tcPr>
          <w:p>
            <w:pPr>
              <w:jc w:val="center"/>
            </w:pPr>
            <w:r>
              <w:rPr>
                <w:rFonts w:ascii="Times New Roman" w:hAnsi="Times New Roman"/>
                <w:sz w:val="20"/>
              </w:rPr>
              <w:t>0.0826</w:t>
            </w:r>
          </w:p>
        </w:tc>
        <w:tc>
          <w:tcPr>
            <w:tcW w:type="dxa" w:w="2045"/>
          </w:tcPr>
          <w:p>
            <w:pPr>
              <w:jc w:val="center"/>
            </w:pPr>
            <w:r>
              <w:rPr>
                <w:rFonts w:ascii="Times New Roman" w:hAnsi="Times New Roman"/>
                <w:sz w:val="20"/>
              </w:rPr>
              <w:t>-3.142</w:t>
            </w:r>
          </w:p>
        </w:tc>
        <w:tc>
          <w:tcPr>
            <w:tcW w:type="dxa" w:w="2045"/>
          </w:tcPr>
          <w:p>
            <w:pPr>
              <w:jc w:val="center"/>
            </w:pPr>
            <w:r>
              <w:rPr>
                <w:rFonts w:ascii="Times New Roman" w:hAnsi="Times New Roman"/>
                <w:sz w:val="20"/>
              </w:rPr>
              <w:t>[-6.396, -3.141]</w:t>
            </w:r>
          </w:p>
        </w:tc>
      </w:tr>
      <w:tr>
        <w:tc>
          <w:tcPr>
            <w:tcW w:type="dxa" w:w="2045"/>
          </w:tcPr>
          <w:p>
            <w:pPr>
              <w:jc w:val="left"/>
            </w:pPr>
            <w:r>
              <w:rPr>
                <w:rFonts w:ascii="Times New Roman" w:hAnsi="Times New Roman"/>
                <w:sz w:val="20"/>
              </w:rPr>
              <w:t>10</w:t>
            </w:r>
          </w:p>
        </w:tc>
        <w:tc>
          <w:tcPr>
            <w:tcW w:type="dxa" w:w="2045"/>
          </w:tcPr>
          <w:p>
            <w:pPr>
              <w:jc w:val="center"/>
            </w:pPr>
            <w:r>
              <w:rPr>
                <w:rFonts w:ascii="Times New Roman" w:hAnsi="Times New Roman"/>
                <w:sz w:val="20"/>
              </w:rPr>
              <w:t>FTH1P7</w:t>
            </w:r>
          </w:p>
        </w:tc>
        <w:tc>
          <w:tcPr>
            <w:tcW w:type="dxa" w:w="2045"/>
          </w:tcPr>
          <w:p>
            <w:pPr>
              <w:jc w:val="center"/>
            </w:pPr>
            <w:r>
              <w:rPr>
                <w:rFonts w:ascii="Times New Roman" w:hAnsi="Times New Roman"/>
                <w:sz w:val="20"/>
              </w:rPr>
              <w:t>0.0000</w:t>
            </w:r>
          </w:p>
        </w:tc>
        <w:tc>
          <w:tcPr>
            <w:tcW w:type="dxa" w:w="2045"/>
          </w:tcPr>
          <w:p>
            <w:pPr>
              <w:jc w:val="center"/>
            </w:pPr>
            <w:r>
              <w:rPr>
                <w:rFonts w:ascii="Times New Roman" w:hAnsi="Times New Roman"/>
                <w:sz w:val="20"/>
              </w:rPr>
              <w:t>3.001</w:t>
            </w:r>
          </w:p>
        </w:tc>
        <w:tc>
          <w:tcPr>
            <w:tcW w:type="dxa" w:w="2045"/>
          </w:tcPr>
          <w:p>
            <w:pPr>
              <w:jc w:val="center"/>
            </w:pPr>
            <w:r>
              <w:rPr>
                <w:rFonts w:ascii="Times New Roman" w:hAnsi="Times New Roman"/>
                <w:sz w:val="20"/>
              </w:rPr>
              <w:t>[1.578, 3.822]</w:t>
            </w:r>
          </w:p>
        </w:tc>
      </w:tr>
    </w:tbl>
    <w:p>
      <w:pPr>
        <w:spacing w:after="120"/>
      </w:pPr>
    </w:p>
    <w:p>
      <w:pPr>
        <w:spacing w:before="240" w:after="120"/>
      </w:pPr>
      <w:r>
        <w:rPr>
          <w:rFonts w:ascii="Arial" w:hAnsi="Arial"/>
          <w:b/>
          <w:sz w:val="36"/>
        </w:rPr>
        <w:t>IX. Candidate Gene Pair Selection</w:t>
      </w:r>
    </w:p>
    <w:p>
      <w:pPr>
        <w:spacing w:after="120" w:line="360" w:lineRule="auto"/>
      </w:pPr>
      <w:r>
        <w:rPr>
          <w:rFonts w:ascii="Times New Roman" w:hAnsi="Times New Roman"/>
          <w:b w:val="0"/>
          <w:i w:val="0"/>
          <w:sz w:val="24"/>
        </w:rPr>
        <w:t>To select the optimal input pair from the top 100 SHAP features, we computed a composite Pair Score for all pairwise combinations. The formula is: Pair Score = tumor_AND_activation * AND_specificity * (1 - |r|), where tumor_AND_activation is the fraction of tumors where both genes exceed their SHAP thresholds, AND_specificity is the fraction of normal tissues where at least one gene is below threshold, and r is the Pearson correlation. The UBE2S and CCR6 pair scored highest (0.264), exhibiting individual AUCs of 0.9959 and 0.9964, tumor activation of 93.3%, and normal activation of 0.6%.</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pPr>
              <w:jc w:val="center"/>
            </w:pPr>
            <w:r>
              <w:rPr>
                <w:rFonts w:ascii="Arial" w:hAnsi="Arial"/>
                <w:b/>
                <w:sz w:val="20"/>
              </w:rPr>
              <w:t>Property</w:t>
            </w:r>
          </w:p>
        </w:tc>
        <w:tc>
          <w:tcPr>
            <w:tcW w:type="dxa" w:w="2556"/>
          </w:tcPr>
          <w:p>
            <w:pPr>
              <w:jc w:val="center"/>
            </w:pPr>
            <w:r>
              <w:rPr>
                <w:rFonts w:ascii="Arial" w:hAnsi="Arial"/>
                <w:b/>
                <w:sz w:val="20"/>
              </w:rPr>
              <w:t>Gene A (UBE2S)</w:t>
            </w:r>
          </w:p>
        </w:tc>
        <w:tc>
          <w:tcPr>
            <w:tcW w:type="dxa" w:w="2556"/>
          </w:tcPr>
          <w:p>
            <w:pPr>
              <w:jc w:val="center"/>
            </w:pPr>
            <w:r>
              <w:rPr>
                <w:rFonts w:ascii="Arial" w:hAnsi="Arial"/>
                <w:b/>
                <w:sz w:val="20"/>
              </w:rPr>
              <w:t>Gene B (CCR6)</w:t>
            </w:r>
          </w:p>
        </w:tc>
        <w:tc>
          <w:tcPr>
            <w:tcW w:type="dxa" w:w="2556"/>
          </w:tcPr>
          <w:p>
            <w:pPr>
              <w:jc w:val="center"/>
            </w:pPr>
            <w:r>
              <w:rPr>
                <w:rFonts w:ascii="Arial" w:hAnsi="Arial"/>
                <w:b/>
                <w:sz w:val="20"/>
              </w:rPr>
              <w:t>Composite AND Gate</w:t>
            </w:r>
          </w:p>
        </w:tc>
      </w:tr>
      <w:tr>
        <w:tc>
          <w:tcPr>
            <w:tcW w:type="dxa" w:w="2556"/>
          </w:tcPr>
          <w:p>
            <w:pPr>
              <w:jc w:val="left"/>
            </w:pPr>
            <w:r>
              <w:rPr>
                <w:rFonts w:ascii="Times New Roman" w:hAnsi="Times New Roman"/>
                <w:sz w:val="20"/>
              </w:rPr>
              <w:t>Individual ROC-AUC</w:t>
            </w:r>
          </w:p>
        </w:tc>
        <w:tc>
          <w:tcPr>
            <w:tcW w:type="dxa" w:w="2556"/>
          </w:tcPr>
          <w:p>
            <w:pPr>
              <w:jc w:val="center"/>
            </w:pPr>
            <w:r>
              <w:rPr>
                <w:rFonts w:ascii="Times New Roman" w:hAnsi="Times New Roman"/>
                <w:sz w:val="20"/>
              </w:rPr>
              <w:t>0.9959</w:t>
            </w:r>
          </w:p>
        </w:tc>
        <w:tc>
          <w:tcPr>
            <w:tcW w:type="dxa" w:w="2556"/>
          </w:tcPr>
          <w:p>
            <w:pPr>
              <w:jc w:val="center"/>
            </w:pPr>
            <w:r>
              <w:rPr>
                <w:rFonts w:ascii="Times New Roman" w:hAnsi="Times New Roman"/>
                <w:sz w:val="20"/>
              </w:rPr>
              <w:t>0.9964</w:t>
            </w:r>
          </w:p>
        </w:tc>
        <w:tc>
          <w:tcPr>
            <w:tcW w:type="dxa" w:w="2556"/>
          </w:tcPr>
          <w:p>
            <w:pPr>
              <w:jc w:val="center"/>
            </w:pPr>
            <w:r>
              <w:rPr>
                <w:rFonts w:ascii="Times New Roman" w:hAnsi="Times New Roman"/>
                <w:sz w:val="20"/>
              </w:rPr>
              <w:t>0.9986</w:t>
            </w:r>
          </w:p>
        </w:tc>
      </w:tr>
      <w:tr>
        <w:tc>
          <w:tcPr>
            <w:tcW w:type="dxa" w:w="2556"/>
          </w:tcPr>
          <w:p>
            <w:pPr>
              <w:jc w:val="left"/>
            </w:pPr>
            <w:r>
              <w:rPr>
                <w:rFonts w:ascii="Times New Roman" w:hAnsi="Times New Roman"/>
                <w:sz w:val="20"/>
              </w:rPr>
              <w:t>log2 Fold Change (log2FC)</w:t>
            </w:r>
          </w:p>
        </w:tc>
        <w:tc>
          <w:tcPr>
            <w:tcW w:type="dxa" w:w="2556"/>
          </w:tcPr>
          <w:p>
            <w:pPr>
              <w:jc w:val="center"/>
            </w:pPr>
            <w:r>
              <w:rPr>
                <w:rFonts w:ascii="Times New Roman" w:hAnsi="Times New Roman"/>
                <w:sz w:val="20"/>
              </w:rPr>
              <w:t>3.779</w:t>
            </w:r>
          </w:p>
        </w:tc>
        <w:tc>
          <w:tcPr>
            <w:tcW w:type="dxa" w:w="2556"/>
          </w:tcPr>
          <w:p>
            <w:pPr>
              <w:jc w:val="center"/>
            </w:pPr>
            <w:r>
              <w:rPr>
                <w:rFonts w:ascii="Times New Roman" w:hAnsi="Times New Roman"/>
                <w:sz w:val="20"/>
              </w:rPr>
              <w:t>8.924</w:t>
            </w:r>
          </w:p>
        </w:tc>
        <w:tc>
          <w:tcPr>
            <w:tcW w:type="dxa" w:w="2556"/>
          </w:tcPr>
          <w:p>
            <w:pPr>
              <w:jc w:val="center"/>
            </w:pPr>
            <w:r>
              <w:rPr>
                <w:rFonts w:ascii="Times New Roman" w:hAnsi="Times New Roman"/>
                <w:sz w:val="20"/>
              </w:rPr>
              <w:t>—</w:t>
            </w:r>
          </w:p>
        </w:tc>
      </w:tr>
      <w:tr>
        <w:tc>
          <w:tcPr>
            <w:tcW w:type="dxa" w:w="2556"/>
          </w:tcPr>
          <w:p>
            <w:pPr>
              <w:jc w:val="left"/>
            </w:pPr>
            <w:r>
              <w:rPr>
                <w:rFonts w:ascii="Times New Roman" w:hAnsi="Times New Roman"/>
                <w:sz w:val="20"/>
              </w:rPr>
              <w:t>Pairwise Spearman Correlation (r_s)</w:t>
            </w:r>
          </w:p>
        </w:tc>
        <w:tc>
          <w:tcPr>
            <w:tcW w:type="dxa" w:w="2556"/>
          </w:tcPr>
          <w:p>
            <w:pPr>
              <w:jc w:val="center"/>
            </w:pPr>
            <w:r>
              <w:rPr>
                <w:rFonts w:ascii="Times New Roman" w:hAnsi="Times New Roman"/>
                <w:sz w:val="20"/>
              </w:rPr>
              <w:t>0.7136</w:t>
            </w:r>
          </w:p>
        </w:tc>
        <w:tc>
          <w:tcPr>
            <w:tcW w:type="dxa" w:w="2556"/>
          </w:tcPr>
          <w:p>
            <w:pPr>
              <w:jc w:val="center"/>
            </w:pPr>
            <w:r>
              <w:rPr>
                <w:rFonts w:ascii="Times New Roman" w:hAnsi="Times New Roman"/>
                <w:sz w:val="20"/>
              </w:rPr>
              <w:t>—</w:t>
            </w:r>
          </w:p>
        </w:tc>
        <w:tc>
          <w:tcPr>
            <w:tcW w:type="dxa" w:w="2556"/>
          </w:tcPr>
          <w:p>
            <w:pPr>
              <w:jc w:val="center"/>
            </w:pPr>
            <w:r>
              <w:rPr>
                <w:rFonts w:ascii="Times New Roman" w:hAnsi="Times New Roman"/>
                <w:sz w:val="20"/>
              </w:rPr>
              <w:t>—</w:t>
            </w:r>
          </w:p>
        </w:tc>
      </w:tr>
      <w:tr>
        <w:tc>
          <w:tcPr>
            <w:tcW w:type="dxa" w:w="2556"/>
          </w:tcPr>
          <w:p>
            <w:pPr>
              <w:jc w:val="left"/>
            </w:pPr>
            <w:r>
              <w:rPr>
                <w:rFonts w:ascii="Times New Roman" w:hAnsi="Times New Roman"/>
                <w:sz w:val="20"/>
              </w:rPr>
              <w:t>Inferred Activation Threshold (K)</w:t>
            </w:r>
          </w:p>
        </w:tc>
        <w:tc>
          <w:tcPr>
            <w:tcW w:type="dxa" w:w="2556"/>
          </w:tcPr>
          <w:p>
            <w:pPr>
              <w:jc w:val="center"/>
            </w:pPr>
            <w:r>
              <w:rPr>
                <w:rFonts w:ascii="Times New Roman" w:hAnsi="Times New Roman"/>
                <w:sz w:val="20"/>
              </w:rPr>
              <w:t>0.7600</w:t>
            </w:r>
          </w:p>
        </w:tc>
        <w:tc>
          <w:tcPr>
            <w:tcW w:type="dxa" w:w="2556"/>
          </w:tcPr>
          <w:p>
            <w:pPr>
              <w:jc w:val="center"/>
            </w:pPr>
            <w:r>
              <w:rPr>
                <w:rFonts w:ascii="Times New Roman" w:hAnsi="Times New Roman"/>
                <w:sz w:val="20"/>
              </w:rPr>
              <w:t>0.4639</w:t>
            </w:r>
          </w:p>
        </w:tc>
        <w:tc>
          <w:tcPr>
            <w:tcW w:type="dxa" w:w="2556"/>
          </w:tcPr>
          <w:p>
            <w:pPr>
              <w:jc w:val="center"/>
            </w:pPr>
            <w:r>
              <w:rPr>
                <w:rFonts w:ascii="Times New Roman" w:hAnsi="Times New Roman"/>
                <w:sz w:val="20"/>
              </w:rPr>
              <w:t>—</w:t>
            </w:r>
          </w:p>
        </w:tc>
      </w:tr>
      <w:tr>
        <w:tc>
          <w:tcPr>
            <w:tcW w:type="dxa" w:w="2556"/>
          </w:tcPr>
          <w:p>
            <w:pPr>
              <w:jc w:val="left"/>
            </w:pPr>
            <w:r>
              <w:rPr>
                <w:rFonts w:ascii="Times New Roman" w:hAnsi="Times New Roman"/>
                <w:sz w:val="20"/>
              </w:rPr>
              <w:t>Tumor AND Activation Rate</w:t>
            </w:r>
          </w:p>
        </w:tc>
        <w:tc>
          <w:tcPr>
            <w:tcW w:type="dxa" w:w="2556"/>
          </w:tcPr>
          <w:p>
            <w:pPr>
              <w:jc w:val="center"/>
            </w:pPr>
            <w:r>
              <w:rPr>
                <w:rFonts w:ascii="Times New Roman" w:hAnsi="Times New Roman"/>
                <w:sz w:val="20"/>
              </w:rPr>
              <w:t>93.3%</w:t>
            </w:r>
          </w:p>
        </w:tc>
        <w:tc>
          <w:tcPr>
            <w:tcW w:type="dxa" w:w="2556"/>
          </w:tcPr>
          <w:p>
            <w:pPr>
              <w:jc w:val="center"/>
            </w:pPr>
            <w:r>
              <w:rPr>
                <w:rFonts w:ascii="Times New Roman" w:hAnsi="Times New Roman"/>
                <w:sz w:val="20"/>
              </w:rPr>
              <w:t>—</w:t>
            </w:r>
          </w:p>
        </w:tc>
        <w:tc>
          <w:tcPr>
            <w:tcW w:type="dxa" w:w="2556"/>
          </w:tcPr>
          <w:p>
            <w:pPr>
              <w:jc w:val="center"/>
            </w:pPr>
            <w:r>
              <w:rPr>
                <w:rFonts w:ascii="Times New Roman" w:hAnsi="Times New Roman"/>
                <w:sz w:val="20"/>
              </w:rPr>
              <w:t>93.3%</w:t>
            </w:r>
          </w:p>
        </w:tc>
      </w:tr>
      <w:tr>
        <w:tc>
          <w:tcPr>
            <w:tcW w:type="dxa" w:w="2556"/>
          </w:tcPr>
          <w:p>
            <w:pPr>
              <w:jc w:val="left"/>
            </w:pPr>
            <w:r>
              <w:rPr>
                <w:rFonts w:ascii="Times New Roman" w:hAnsi="Times New Roman"/>
                <w:sz w:val="20"/>
              </w:rPr>
              <w:t>Normal AND Activation Rate</w:t>
            </w:r>
          </w:p>
        </w:tc>
        <w:tc>
          <w:tcPr>
            <w:tcW w:type="dxa" w:w="2556"/>
          </w:tcPr>
          <w:p>
            <w:pPr>
              <w:jc w:val="center"/>
            </w:pPr>
            <w:r>
              <w:rPr>
                <w:rFonts w:ascii="Times New Roman" w:hAnsi="Times New Roman"/>
                <w:sz w:val="20"/>
              </w:rPr>
              <w:t>0.6%</w:t>
            </w:r>
          </w:p>
        </w:tc>
        <w:tc>
          <w:tcPr>
            <w:tcW w:type="dxa" w:w="2556"/>
          </w:tcPr>
          <w:p>
            <w:pPr>
              <w:jc w:val="center"/>
            </w:pPr>
            <w:r>
              <w:rPr>
                <w:rFonts w:ascii="Times New Roman" w:hAnsi="Times New Roman"/>
                <w:sz w:val="20"/>
              </w:rPr>
              <w:t>—</w:t>
            </w:r>
          </w:p>
        </w:tc>
        <w:tc>
          <w:tcPr>
            <w:tcW w:type="dxa" w:w="2556"/>
          </w:tcPr>
          <w:p>
            <w:pPr>
              <w:jc w:val="center"/>
            </w:pPr>
            <w:r>
              <w:rPr>
                <w:rFonts w:ascii="Times New Roman" w:hAnsi="Times New Roman"/>
                <w:sz w:val="20"/>
              </w:rPr>
              <w:t>0.6%</w:t>
            </w:r>
          </w:p>
        </w:tc>
      </w:tr>
    </w:tbl>
    <w:p>
      <w:pPr>
        <w:spacing w:after="120"/>
      </w:pPr>
    </w:p>
    <w:p>
      <w:pPr>
        <w:spacing w:before="240" w:after="120"/>
      </w:pPr>
      <w:r>
        <w:rPr>
          <w:rFonts w:ascii="Arial" w:hAnsi="Arial"/>
          <w:b/>
          <w:sz w:val="36"/>
        </w:rPr>
        <w:t>X. Orthogonality Assessment</w:t>
      </w:r>
    </w:p>
    <w:p>
      <w:pPr>
        <w:spacing w:after="120" w:line="360" w:lineRule="auto"/>
      </w:pPr>
      <w:r>
        <w:rPr>
          <w:rFonts w:ascii="Times New Roman" w:hAnsi="Times New Roman"/>
          <w:b w:val="0"/>
          <w:i w:val="0"/>
          <w:sz w:val="24"/>
        </w:rPr>
        <w:t>A key design requirement for AND-gate sensors is that the two inputs must be orthogonal. UBE2S and CCR6 have a Pearson correlation of r = 0.714, which is higher than the ideal threshold of |r| &lt;= 0.4. Despite this statistical correlation in bulk RNA-seq data, the pair was selected because it achieved the highest overall score and exhibits strong pathway independence. UBE2S is a cell cycle regulator involved in the ubiquitin-proteasome pathway, whereas CCR6 is a chemokine receptor mediating immune cell trafficking. Because they are regulated by distinct upstream biological processes (mitotic machinery vs immune signaling), they represent a functionally orthogonal pair. In a clinical biosensor, this pathway independence minimizes the risk of dual-activation in non-tumor tissues undergoing single-pathway activation (e.g., local inflammation).</w:t>
      </w:r>
    </w:p>
    <w:p>
      <w:pPr>
        <w:spacing w:after="80"/>
        <w:jc w:val="center"/>
      </w:pPr>
      <w:r>
        <w:drawing>
          <wp:inline xmlns:a="http://schemas.openxmlformats.org/drawingml/2006/main" xmlns:pic="http://schemas.openxmlformats.org/drawingml/2006/picture">
            <wp:extent cx="2743200" cy="2351314"/>
            <wp:docPr id="3" name="Picture 3"/>
            <wp:cNvGraphicFramePr>
              <a:graphicFrameLocks noChangeAspect="1"/>
            </wp:cNvGraphicFramePr>
            <a:graphic>
              <a:graphicData uri="http://schemas.openxmlformats.org/drawingml/2006/picture">
                <pic:pic>
                  <pic:nvPicPr>
                    <pic:cNvPr id="0" name="gene_pair_scatter_final.png"/>
                    <pic:cNvPicPr/>
                  </pic:nvPicPr>
                  <pic:blipFill>
                    <a:blip r:embed="rId11"/>
                    <a:stretch>
                      <a:fillRect/>
                    </a:stretch>
                  </pic:blipFill>
                  <pic:spPr>
                    <a:xfrm>
                      <a:off x="0" y="0"/>
                      <a:ext cx="2743200" cy="2351314"/>
                    </a:xfrm>
                    <a:prstGeom prst="rect"/>
                  </pic:spPr>
                </pic:pic>
              </a:graphicData>
            </a:graphic>
          </wp:inline>
        </w:drawing>
      </w:r>
    </w:p>
    <w:p>
      <w:pPr>
        <w:spacing w:after="240"/>
        <w:jc w:val="center"/>
      </w:pPr>
      <w:r>
        <w:rPr>
          <w:rFonts w:ascii="Times New Roman" w:hAnsi="Times New Roman"/>
          <w:i/>
          <w:sz w:val="20"/>
        </w:rPr>
        <w:t>Figure: UBE2S vs CCR6 rescaled expression scatter plot</w:t>
      </w:r>
    </w:p>
    <w:p>
      <w:pPr>
        <w:spacing w:before="240" w:after="120"/>
      </w:pPr>
      <w:r>
        <w:rPr>
          <w:rFonts w:ascii="Arial" w:hAnsi="Arial"/>
          <w:b/>
          <w:sz w:val="36"/>
        </w:rPr>
        <w:t>XI. Need for Single-Cell and Spatial Validation</w:t>
      </w:r>
    </w:p>
    <w:p>
      <w:pPr>
        <w:spacing w:after="120" w:line="360" w:lineRule="auto"/>
      </w:pPr>
      <w:r>
        <w:rPr>
          <w:rFonts w:ascii="Times New Roman" w:hAnsi="Times New Roman"/>
          <w:b w:val="0"/>
          <w:i w:val="0"/>
          <w:sz w:val="24"/>
        </w:rPr>
        <w:t>Because the discovery analysis is based on bulk RNA-seq, it remains unclear whether UBE2S and CCR6 are co-expressed within the same malignant cell population or arise from distinct compartments of the tumor microenvironment. This distinction has direct consequences for circuit architecture. If both inputs are co-expressed in malignant epithelial cells, a cell-intrinsic transcriptional circuit may be feasible. If UBE2S is primarily expressed by cycling tumor cells while CCR6 is derived from immune cells, the pair should instead be interpreted as a tissue-level microenvironmental signature. Future single-cell RNA-seq and spatial transcriptomic analysis should therefore quantify cell-type-specific expression, co-expression frequency, and spatial proximity of UBE2S-high and CCR6-high compartments.</w:t>
      </w:r>
    </w:p>
    <w:p>
      <w:pPr>
        <w:spacing w:before="240" w:after="120"/>
      </w:pPr>
      <w:r>
        <w:rPr>
          <w:rFonts w:ascii="Arial" w:hAnsi="Arial"/>
          <w:b/>
          <w:sz w:val="36"/>
        </w:rPr>
        <w:t>XII. Hill-Equation-Based AND Gate Modeling</w:t>
      </w:r>
    </w:p>
    <w:p>
      <w:pPr>
        <w:spacing w:after="120" w:line="360" w:lineRule="auto"/>
      </w:pPr>
      <w:r>
        <w:rPr>
          <w:rFonts w:ascii="Times New Roman" w:hAnsi="Times New Roman"/>
          <w:b w:val="0"/>
          <w:i w:val="0"/>
          <w:sz w:val="24"/>
        </w:rPr>
        <w:t>The logic gate's response was modeled using a dual-input Hill equation:</w:t>
        <w:br/>
        <w:br/>
        <w:br/>
        <w:t>Output = Pbasal + Vmax ( ([A]^n/KA^n + [A]^n) ) ( ([B]^n/KB^n + [B]^n) )</w:t>
        <w:br/>
        <w:br/>
        <w:br/>
        <w:t>where [A] and [B] are the min-max scaled expressions of UBE2S and CCR6, K_A and K_B are the activation thresholds, n is the Hill coefficient (steepness), and P_{basal} is the leakiness. Parameter optimization via grid search determined the optimal settings: n = 1, P_{basal} = 0.0, K_A = 0.760 (for UBE2S), and K_B = 0.464 (for CCR6). The optimal output decision threshold was set to 0.25 to maximize AUC and classification accuracy.</w:t>
      </w:r>
    </w:p>
    <w:p>
      <w:pPr>
        <w:spacing w:before="240" w:after="120"/>
      </w:pPr>
      <w:r>
        <w:rPr>
          <w:rFonts w:ascii="Arial" w:hAnsi="Arial"/>
          <w:b/>
          <w:sz w:val="36"/>
        </w:rPr>
        <w:t>XIII. In Silico Validation</w:t>
      </w:r>
    </w:p>
    <w:p>
      <w:pPr>
        <w:spacing w:after="120" w:line="360" w:lineRule="auto"/>
      </w:pPr>
      <w:r>
        <w:rPr>
          <w:rFonts w:ascii="Times New Roman" w:hAnsi="Times New Roman"/>
          <w:b w:val="0"/>
          <w:i w:val="0"/>
          <w:sz w:val="24"/>
        </w:rPr>
        <w:t>Simulating the optimized Hill equation AND gate on the 345-sample discovery cohort yielded outstanding classification performance. The AND-gate output achieved a ROC-AUC of 0.9986, an overall accuracy of 98.55%, a sensitivity of 97.75%, and a specificity of 99.40%. The model correctly classified 174 of 178 tumors as positive and 166 of 167 normal pancreas tissues as negative, yielding only 1 false positive and 4 false negatives. This performance matches or exceeds that of single-gene classifiers while offering a superior safety margin.</w:t>
      </w:r>
    </w:p>
    <w:p>
      <w:pPr>
        <w:spacing w:after="80"/>
        <w:jc w:val="center"/>
      </w:pPr>
      <w:r>
        <w:drawing>
          <wp:inline xmlns:a="http://schemas.openxmlformats.org/drawingml/2006/main" xmlns:pic="http://schemas.openxmlformats.org/drawingml/2006/picture">
            <wp:extent cx="2743200" cy="2228850"/>
            <wp:docPr id="4" name="Picture 4"/>
            <wp:cNvGraphicFramePr>
              <a:graphicFrameLocks noChangeAspect="1"/>
            </wp:cNvGraphicFramePr>
            <a:graphic>
              <a:graphicData uri="http://schemas.openxmlformats.org/drawingml/2006/picture">
                <pic:pic>
                  <pic:nvPicPr>
                    <pic:cNvPr id="0" name="and_gate_heatmap_final.png"/>
                    <pic:cNvPicPr/>
                  </pic:nvPicPr>
                  <pic:blipFill>
                    <a:blip r:embed="rId12"/>
                    <a:stretch>
                      <a:fillRect/>
                    </a:stretch>
                  </pic:blipFill>
                  <pic:spPr>
                    <a:xfrm>
                      <a:off x="0" y="0"/>
                      <a:ext cx="2743200" cy="2228850"/>
                    </a:xfrm>
                    <a:prstGeom prst="rect"/>
                  </pic:spPr>
                </pic:pic>
              </a:graphicData>
            </a:graphic>
          </wp:inline>
        </w:drawing>
      </w:r>
    </w:p>
    <w:p>
      <w:pPr>
        <w:spacing w:after="240"/>
        <w:jc w:val="center"/>
      </w:pPr>
      <w:r>
        <w:rPr>
          <w:rFonts w:ascii="Times New Roman" w:hAnsi="Times New Roman"/>
          <w:i/>
          <w:sz w:val="20"/>
        </w:rPr>
        <w:t>Figure: AND gate logical activation surface heatmap</w:t>
      </w:r>
    </w:p>
    <w:tbl>
      <w:tblPr>
        <w:tblStyle w:val="LightShading-Accent1"/>
        <w:tblW w:type="auto" w:w="0"/>
        <w:tblLook w:firstColumn="1" w:firstRow="1" w:lastColumn="0" w:lastRow="0" w:noHBand="0" w:noVBand="1" w:val="04A0"/>
      </w:tblPr>
      <w:tblGrid>
        <w:gridCol w:w="3408"/>
        <w:gridCol w:w="3408"/>
        <w:gridCol w:w="3408"/>
      </w:tblGrid>
      <w:tr>
        <w:tc>
          <w:tcPr>
            <w:tcW w:type="dxa" w:w="3408"/>
          </w:tcPr>
          <w:p>
            <w:pPr>
              <w:jc w:val="center"/>
            </w:pPr>
            <w:r>
              <w:rPr>
                <w:rFonts w:ascii="Arial" w:hAnsi="Arial"/>
                <w:b/>
                <w:sz w:val="20"/>
              </w:rPr>
              <w:t>Metric</w:t>
            </w:r>
          </w:p>
        </w:tc>
        <w:tc>
          <w:tcPr>
            <w:tcW w:type="dxa" w:w="3408"/>
          </w:tcPr>
          <w:p>
            <w:pPr>
              <w:jc w:val="center"/>
            </w:pPr>
            <w:r>
              <w:rPr>
                <w:rFonts w:ascii="Arial" w:hAnsi="Arial"/>
                <w:b/>
                <w:sz w:val="20"/>
              </w:rPr>
              <w:t>Formula / Definition</w:t>
            </w:r>
          </w:p>
        </w:tc>
        <w:tc>
          <w:tcPr>
            <w:tcW w:type="dxa" w:w="3408"/>
          </w:tcPr>
          <w:p>
            <w:pPr>
              <w:jc w:val="center"/>
            </w:pPr>
            <w:r>
              <w:rPr>
                <w:rFonts w:ascii="Arial" w:hAnsi="Arial"/>
                <w:b/>
                <w:sz w:val="20"/>
              </w:rPr>
              <w:t>Value</w:t>
            </w:r>
          </w:p>
        </w:tc>
      </w:tr>
      <w:tr>
        <w:tc>
          <w:tcPr>
            <w:tcW w:type="dxa" w:w="3408"/>
          </w:tcPr>
          <w:p>
            <w:pPr>
              <w:jc w:val="left"/>
            </w:pPr>
            <w:r>
              <w:rPr>
                <w:rFonts w:ascii="Times New Roman" w:hAnsi="Times New Roman"/>
                <w:sz w:val="20"/>
              </w:rPr>
              <w:t>ROC-AUC</w:t>
            </w:r>
          </w:p>
        </w:tc>
        <w:tc>
          <w:tcPr>
            <w:tcW w:type="dxa" w:w="3408"/>
          </w:tcPr>
          <w:p>
            <w:pPr>
              <w:jc w:val="center"/>
            </w:pPr>
            <w:r>
              <w:rPr>
                <w:rFonts w:ascii="Times New Roman" w:hAnsi="Times New Roman"/>
                <w:sz w:val="20"/>
              </w:rPr>
              <w:t>Area Under the ROC Curve</w:t>
            </w:r>
          </w:p>
        </w:tc>
        <w:tc>
          <w:tcPr>
            <w:tcW w:type="dxa" w:w="3408"/>
          </w:tcPr>
          <w:p>
            <w:pPr>
              <w:jc w:val="center"/>
            </w:pPr>
            <w:r>
              <w:rPr>
                <w:rFonts w:ascii="Times New Roman" w:hAnsi="Times New Roman"/>
                <w:sz w:val="20"/>
              </w:rPr>
              <w:t>0.9986</w:t>
            </w:r>
          </w:p>
        </w:tc>
      </w:tr>
      <w:tr>
        <w:tc>
          <w:tcPr>
            <w:tcW w:type="dxa" w:w="3408"/>
          </w:tcPr>
          <w:p>
            <w:pPr>
              <w:jc w:val="left"/>
            </w:pPr>
            <w:r>
              <w:rPr>
                <w:rFonts w:ascii="Times New Roman" w:hAnsi="Times New Roman"/>
                <w:sz w:val="20"/>
              </w:rPr>
              <w:t>Accuracy</w:t>
            </w:r>
          </w:p>
        </w:tc>
        <w:tc>
          <w:tcPr>
            <w:tcW w:type="dxa" w:w="3408"/>
          </w:tcPr>
          <w:p>
            <w:pPr>
              <w:jc w:val="center"/>
            </w:pPr>
            <w:r>
              <w:rPr>
                <w:rFonts w:ascii="Times New Roman" w:hAnsi="Times New Roman"/>
                <w:sz w:val="20"/>
              </w:rPr>
              <w:t>(TP + TN) / Total</w:t>
            </w:r>
          </w:p>
        </w:tc>
        <w:tc>
          <w:tcPr>
            <w:tcW w:type="dxa" w:w="3408"/>
          </w:tcPr>
          <w:p>
            <w:pPr>
              <w:jc w:val="center"/>
            </w:pPr>
            <w:r>
              <w:rPr>
                <w:rFonts w:ascii="Times New Roman" w:hAnsi="Times New Roman"/>
                <w:sz w:val="20"/>
              </w:rPr>
              <w:t>98.55%</w:t>
            </w:r>
          </w:p>
        </w:tc>
      </w:tr>
      <w:tr>
        <w:tc>
          <w:tcPr>
            <w:tcW w:type="dxa" w:w="3408"/>
          </w:tcPr>
          <w:p>
            <w:pPr>
              <w:jc w:val="left"/>
            </w:pPr>
            <w:r>
              <w:rPr>
                <w:rFonts w:ascii="Times New Roman" w:hAnsi="Times New Roman"/>
                <w:sz w:val="20"/>
              </w:rPr>
              <w:t>Sensitivity</w:t>
            </w:r>
          </w:p>
        </w:tc>
        <w:tc>
          <w:tcPr>
            <w:tcW w:type="dxa" w:w="3408"/>
          </w:tcPr>
          <w:p>
            <w:pPr>
              <w:jc w:val="center"/>
            </w:pPr>
            <w:r>
              <w:rPr>
                <w:rFonts w:ascii="Times New Roman" w:hAnsi="Times New Roman"/>
                <w:sz w:val="20"/>
              </w:rPr>
              <w:t>TP / (TP + FN)</w:t>
            </w:r>
          </w:p>
        </w:tc>
        <w:tc>
          <w:tcPr>
            <w:tcW w:type="dxa" w:w="3408"/>
          </w:tcPr>
          <w:p>
            <w:pPr>
              <w:jc w:val="center"/>
            </w:pPr>
            <w:r>
              <w:rPr>
                <w:rFonts w:ascii="Times New Roman" w:hAnsi="Times New Roman"/>
                <w:sz w:val="20"/>
              </w:rPr>
              <w:t>97.75%</w:t>
            </w:r>
          </w:p>
        </w:tc>
      </w:tr>
      <w:tr>
        <w:tc>
          <w:tcPr>
            <w:tcW w:type="dxa" w:w="3408"/>
          </w:tcPr>
          <w:p>
            <w:pPr>
              <w:jc w:val="left"/>
            </w:pPr>
            <w:r>
              <w:rPr>
                <w:rFonts w:ascii="Times New Roman" w:hAnsi="Times New Roman"/>
                <w:sz w:val="20"/>
              </w:rPr>
              <w:t>Specificity</w:t>
            </w:r>
          </w:p>
        </w:tc>
        <w:tc>
          <w:tcPr>
            <w:tcW w:type="dxa" w:w="3408"/>
          </w:tcPr>
          <w:p>
            <w:pPr>
              <w:jc w:val="center"/>
            </w:pPr>
            <w:r>
              <w:rPr>
                <w:rFonts w:ascii="Times New Roman" w:hAnsi="Times New Roman"/>
                <w:sz w:val="20"/>
              </w:rPr>
              <w:t>TN / (TN + FP)</w:t>
            </w:r>
          </w:p>
        </w:tc>
        <w:tc>
          <w:tcPr>
            <w:tcW w:type="dxa" w:w="3408"/>
          </w:tcPr>
          <w:p>
            <w:pPr>
              <w:jc w:val="center"/>
            </w:pPr>
            <w:r>
              <w:rPr>
                <w:rFonts w:ascii="Times New Roman" w:hAnsi="Times New Roman"/>
                <w:sz w:val="20"/>
              </w:rPr>
              <w:t>99.40%</w:t>
            </w:r>
          </w:p>
        </w:tc>
      </w:tr>
      <w:tr>
        <w:tc>
          <w:tcPr>
            <w:tcW w:type="dxa" w:w="3408"/>
          </w:tcPr>
          <w:p>
            <w:pPr>
              <w:jc w:val="left"/>
            </w:pPr>
            <w:r>
              <w:rPr>
                <w:rFonts w:ascii="Times New Roman" w:hAnsi="Times New Roman"/>
                <w:sz w:val="20"/>
              </w:rPr>
              <w:t>Decision Threshold</w:t>
            </w:r>
          </w:p>
        </w:tc>
        <w:tc>
          <w:tcPr>
            <w:tcW w:type="dxa" w:w="3408"/>
          </w:tcPr>
          <w:p>
            <w:pPr>
              <w:jc w:val="center"/>
            </w:pPr>
            <w:r>
              <w:rPr>
                <w:rFonts w:ascii="Times New Roman" w:hAnsi="Times New Roman"/>
                <w:sz w:val="20"/>
              </w:rPr>
              <w:t>Hill output threshold for ON state</w:t>
            </w:r>
          </w:p>
        </w:tc>
        <w:tc>
          <w:tcPr>
            <w:tcW w:type="dxa" w:w="3408"/>
          </w:tcPr>
          <w:p>
            <w:pPr>
              <w:jc w:val="center"/>
            </w:pPr>
            <w:r>
              <w:rPr>
                <w:rFonts w:ascii="Times New Roman" w:hAnsi="Times New Roman"/>
                <w:sz w:val="20"/>
              </w:rPr>
              <w:t>0.25</w:t>
            </w:r>
          </w:p>
        </w:tc>
      </w:tr>
    </w:tbl>
    <w:p>
      <w:pPr>
        <w:spacing w:after="120"/>
      </w:pPr>
    </w:p>
    <w:p>
      <w:pPr>
        <w:spacing w:after="80"/>
        <w:jc w:val="center"/>
      </w:pPr>
      <w:r>
        <w:drawing>
          <wp:inline xmlns:a="http://schemas.openxmlformats.org/drawingml/2006/main" xmlns:pic="http://schemas.openxmlformats.org/drawingml/2006/picture">
            <wp:extent cx="2743200" cy="2351314"/>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2743200" cy="2351314"/>
                    </a:xfrm>
                    <a:prstGeom prst="rect"/>
                  </pic:spPr>
                </pic:pic>
              </a:graphicData>
            </a:graphic>
          </wp:inline>
        </w:drawing>
      </w:r>
    </w:p>
    <w:p>
      <w:pPr>
        <w:spacing w:after="240"/>
        <w:jc w:val="center"/>
      </w:pPr>
      <w:r>
        <w:rPr>
          <w:rFonts w:ascii="Times New Roman" w:hAnsi="Times New Roman"/>
          <w:i/>
          <w:sz w:val="20"/>
        </w:rPr>
        <w:t>Figure: ROC curves comparison: single vs logical combination</w:t>
      </w:r>
    </w:p>
    <w:p>
      <w:pPr>
        <w:spacing w:before="240" w:after="120"/>
      </w:pPr>
      <w:r>
        <w:rPr>
          <w:rFonts w:ascii="Arial" w:hAnsi="Arial"/>
          <w:b/>
          <w:sz w:val="28"/>
        </w:rPr>
        <w:t>Table 7: External Validation Results (GSE62452)</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pPr>
              <w:jc w:val="center"/>
            </w:pPr>
            <w:r>
              <w:rPr>
                <w:rFonts w:ascii="Arial" w:hAnsi="Arial"/>
                <w:b/>
                <w:sz w:val="20"/>
              </w:rPr>
              <w:t>Metric</w:t>
            </w:r>
          </w:p>
        </w:tc>
        <w:tc>
          <w:tcPr>
            <w:tcW w:type="dxa" w:w="2556"/>
          </w:tcPr>
          <w:p>
            <w:pPr>
              <w:jc w:val="center"/>
            </w:pPr>
            <w:r>
              <w:rPr>
                <w:rFonts w:ascii="Arial" w:hAnsi="Arial"/>
                <w:b/>
                <w:sz w:val="20"/>
              </w:rPr>
              <w:t>Value in Discovery (TCGA+GTEx)</w:t>
            </w:r>
          </w:p>
        </w:tc>
        <w:tc>
          <w:tcPr>
            <w:tcW w:type="dxa" w:w="2556"/>
          </w:tcPr>
          <w:p>
            <w:pPr>
              <w:jc w:val="center"/>
            </w:pPr>
            <w:r>
              <w:rPr>
                <w:rFonts w:ascii="Arial" w:hAnsi="Arial"/>
                <w:b/>
                <w:sz w:val="20"/>
              </w:rPr>
              <w:t>Value in Validation (GSE62452)</w:t>
            </w:r>
          </w:p>
        </w:tc>
        <w:tc>
          <w:tcPr>
            <w:tcW w:type="dxa" w:w="2556"/>
          </w:tcPr>
          <w:p>
            <w:pPr>
              <w:jc w:val="center"/>
            </w:pPr>
            <w:r>
              <w:rPr>
                <w:rFonts w:ascii="Arial" w:hAnsi="Arial"/>
                <w:b/>
                <w:sz w:val="20"/>
              </w:rPr>
              <w:t>Interpretation</w:t>
            </w:r>
          </w:p>
        </w:tc>
      </w:tr>
      <w:tr>
        <w:tc>
          <w:tcPr>
            <w:tcW w:type="dxa" w:w="2556"/>
          </w:tcPr>
          <w:p>
            <w:pPr>
              <w:jc w:val="left"/>
            </w:pPr>
            <w:r>
              <w:rPr>
                <w:rFonts w:ascii="Times New Roman" w:hAnsi="Times New Roman"/>
                <w:sz w:val="20"/>
              </w:rPr>
              <w:t>Sample Size (N)</w:t>
            </w:r>
          </w:p>
        </w:tc>
        <w:tc>
          <w:tcPr>
            <w:tcW w:type="dxa" w:w="2556"/>
          </w:tcPr>
          <w:p>
            <w:pPr>
              <w:jc w:val="center"/>
            </w:pPr>
            <w:r>
              <w:rPr>
                <w:rFonts w:ascii="Times New Roman" w:hAnsi="Times New Roman"/>
                <w:sz w:val="20"/>
              </w:rPr>
              <w:t>345</w:t>
            </w:r>
          </w:p>
        </w:tc>
        <w:tc>
          <w:tcPr>
            <w:tcW w:type="dxa" w:w="2556"/>
          </w:tcPr>
          <w:p>
            <w:pPr>
              <w:jc w:val="center"/>
            </w:pPr>
            <w:r>
              <w:rPr>
                <w:rFonts w:ascii="Times New Roman" w:hAnsi="Times New Roman"/>
                <w:sz w:val="20"/>
              </w:rPr>
              <w:t>130</w:t>
            </w:r>
          </w:p>
        </w:tc>
        <w:tc>
          <w:tcPr>
            <w:tcW w:type="dxa" w:w="2556"/>
          </w:tcPr>
          <w:p>
            <w:pPr>
              <w:jc w:val="center"/>
            </w:pPr>
            <w:r>
              <w:rPr>
                <w:rFonts w:ascii="Times New Roman" w:hAnsi="Times New Roman"/>
                <w:sz w:val="20"/>
              </w:rPr>
              <w:t>Microarray vs RNA-seq</w:t>
            </w:r>
          </w:p>
        </w:tc>
      </w:tr>
      <w:tr>
        <w:tc>
          <w:tcPr>
            <w:tcW w:type="dxa" w:w="2556"/>
          </w:tcPr>
          <w:p>
            <w:pPr>
              <w:jc w:val="left"/>
            </w:pPr>
            <w:r>
              <w:rPr>
                <w:rFonts w:ascii="Times New Roman" w:hAnsi="Times New Roman"/>
                <w:sz w:val="20"/>
              </w:rPr>
              <w:t>ROC-AUC</w:t>
            </w:r>
          </w:p>
        </w:tc>
        <w:tc>
          <w:tcPr>
            <w:tcW w:type="dxa" w:w="2556"/>
          </w:tcPr>
          <w:p>
            <w:pPr>
              <w:jc w:val="center"/>
            </w:pPr>
            <w:r>
              <w:rPr>
                <w:rFonts w:ascii="Times New Roman" w:hAnsi="Times New Roman"/>
                <w:sz w:val="20"/>
              </w:rPr>
              <w:t>0.9986</w:t>
            </w:r>
          </w:p>
        </w:tc>
        <w:tc>
          <w:tcPr>
            <w:tcW w:type="dxa" w:w="2556"/>
          </w:tcPr>
          <w:p>
            <w:pPr>
              <w:jc w:val="center"/>
            </w:pPr>
            <w:r>
              <w:rPr>
                <w:rFonts w:ascii="Times New Roman" w:hAnsi="Times New Roman"/>
                <w:sz w:val="20"/>
              </w:rPr>
              <w:t>0.6483</w:t>
            </w:r>
          </w:p>
        </w:tc>
        <w:tc>
          <w:tcPr>
            <w:tcW w:type="dxa" w:w="2556"/>
          </w:tcPr>
          <w:p>
            <w:pPr>
              <w:jc w:val="center"/>
            </w:pPr>
            <w:r>
              <w:rPr>
                <w:rFonts w:ascii="Times New Roman" w:hAnsi="Times New Roman"/>
                <w:sz w:val="20"/>
              </w:rPr>
              <w:t>Reduced discrimination power</w:t>
            </w:r>
          </w:p>
        </w:tc>
      </w:tr>
      <w:tr>
        <w:tc>
          <w:tcPr>
            <w:tcW w:type="dxa" w:w="2556"/>
          </w:tcPr>
          <w:p>
            <w:pPr>
              <w:jc w:val="left"/>
            </w:pPr>
            <w:r>
              <w:rPr>
                <w:rFonts w:ascii="Times New Roman" w:hAnsi="Times New Roman"/>
                <w:sz w:val="20"/>
              </w:rPr>
              <w:t>Accuracy</w:t>
            </w:r>
          </w:p>
        </w:tc>
        <w:tc>
          <w:tcPr>
            <w:tcW w:type="dxa" w:w="2556"/>
          </w:tcPr>
          <w:p>
            <w:pPr>
              <w:jc w:val="center"/>
            </w:pPr>
            <w:r>
              <w:rPr>
                <w:rFonts w:ascii="Times New Roman" w:hAnsi="Times New Roman"/>
                <w:sz w:val="20"/>
              </w:rPr>
              <w:t>98.6%</w:t>
            </w:r>
          </w:p>
        </w:tc>
        <w:tc>
          <w:tcPr>
            <w:tcW w:type="dxa" w:w="2556"/>
          </w:tcPr>
          <w:p>
            <w:pPr>
              <w:jc w:val="center"/>
            </w:pPr>
            <w:r>
              <w:rPr>
                <w:rFonts w:ascii="Times New Roman" w:hAnsi="Times New Roman"/>
                <w:sz w:val="20"/>
              </w:rPr>
              <w:t>48.5%</w:t>
            </w:r>
          </w:p>
        </w:tc>
        <w:tc>
          <w:tcPr>
            <w:tcW w:type="dxa" w:w="2556"/>
          </w:tcPr>
          <w:p>
            <w:pPr>
              <w:jc w:val="center"/>
            </w:pPr>
            <w:r>
              <w:rPr>
                <w:rFonts w:ascii="Times New Roman" w:hAnsi="Times New Roman"/>
                <w:sz w:val="20"/>
              </w:rPr>
              <w:t>Impacted by platform shift</w:t>
            </w:r>
          </w:p>
        </w:tc>
      </w:tr>
      <w:tr>
        <w:tc>
          <w:tcPr>
            <w:tcW w:type="dxa" w:w="2556"/>
          </w:tcPr>
          <w:p>
            <w:pPr>
              <w:jc w:val="left"/>
            </w:pPr>
            <w:r>
              <w:rPr>
                <w:rFonts w:ascii="Times New Roman" w:hAnsi="Times New Roman"/>
                <w:sz w:val="20"/>
              </w:rPr>
              <w:t>Sensitivity</w:t>
            </w:r>
          </w:p>
        </w:tc>
        <w:tc>
          <w:tcPr>
            <w:tcW w:type="dxa" w:w="2556"/>
          </w:tcPr>
          <w:p>
            <w:pPr>
              <w:jc w:val="center"/>
            </w:pPr>
            <w:r>
              <w:rPr>
                <w:rFonts w:ascii="Times New Roman" w:hAnsi="Times New Roman"/>
                <w:sz w:val="20"/>
              </w:rPr>
              <w:t>97.8%</w:t>
            </w:r>
          </w:p>
        </w:tc>
        <w:tc>
          <w:tcPr>
            <w:tcW w:type="dxa" w:w="2556"/>
          </w:tcPr>
          <w:p>
            <w:pPr>
              <w:jc w:val="center"/>
            </w:pPr>
            <w:r>
              <w:rPr>
                <w:rFonts w:ascii="Times New Roman" w:hAnsi="Times New Roman"/>
                <w:sz w:val="20"/>
              </w:rPr>
              <w:t>4.3%</w:t>
            </w:r>
          </w:p>
        </w:tc>
        <w:tc>
          <w:tcPr>
            <w:tcW w:type="dxa" w:w="2556"/>
          </w:tcPr>
          <w:p>
            <w:pPr>
              <w:jc w:val="center"/>
            </w:pPr>
            <w:r>
              <w:rPr>
                <w:rFonts w:ascii="Times New Roman" w:hAnsi="Times New Roman"/>
                <w:sz w:val="20"/>
              </w:rPr>
              <w:t>Significant drop (platform scale mismatch)</w:t>
            </w:r>
          </w:p>
        </w:tc>
      </w:tr>
      <w:tr>
        <w:tc>
          <w:tcPr>
            <w:tcW w:type="dxa" w:w="2556"/>
          </w:tcPr>
          <w:p>
            <w:pPr>
              <w:jc w:val="left"/>
            </w:pPr>
            <w:r>
              <w:rPr>
                <w:rFonts w:ascii="Times New Roman" w:hAnsi="Times New Roman"/>
                <w:sz w:val="20"/>
              </w:rPr>
              <w:t>Specificity</w:t>
            </w:r>
          </w:p>
        </w:tc>
        <w:tc>
          <w:tcPr>
            <w:tcW w:type="dxa" w:w="2556"/>
          </w:tcPr>
          <w:p>
            <w:pPr>
              <w:jc w:val="center"/>
            </w:pPr>
            <w:r>
              <w:rPr>
                <w:rFonts w:ascii="Times New Roman" w:hAnsi="Times New Roman"/>
                <w:sz w:val="20"/>
              </w:rPr>
              <w:t>99.4%</w:t>
            </w:r>
          </w:p>
        </w:tc>
        <w:tc>
          <w:tcPr>
            <w:tcW w:type="dxa" w:w="2556"/>
          </w:tcPr>
          <w:p>
            <w:pPr>
              <w:jc w:val="center"/>
            </w:pPr>
            <w:r>
              <w:rPr>
                <w:rFonts w:ascii="Times New Roman" w:hAnsi="Times New Roman"/>
                <w:sz w:val="20"/>
              </w:rPr>
              <w:t>98.4%</w:t>
            </w:r>
          </w:p>
        </w:tc>
        <w:tc>
          <w:tcPr>
            <w:tcW w:type="dxa" w:w="2556"/>
          </w:tcPr>
          <w:p>
            <w:pPr>
              <w:jc w:val="center"/>
            </w:pPr>
            <w:r>
              <w:rPr>
                <w:rFonts w:ascii="Times New Roman" w:hAnsi="Times New Roman"/>
                <w:sz w:val="20"/>
              </w:rPr>
              <w:t>Highly conserved (retains safety profile)</w:t>
            </w:r>
          </w:p>
        </w:tc>
      </w:tr>
    </w:tbl>
    <w:p>
      <w:pPr>
        <w:spacing w:after="120"/>
      </w:pPr>
    </w:p>
    <w:p>
      <w:pPr>
        <w:spacing w:before="240" w:after="120"/>
      </w:pPr>
      <w:r>
        <w:rPr>
          <w:rFonts w:ascii="Arial" w:hAnsi="Arial"/>
          <w:b/>
          <w:sz w:val="36"/>
        </w:rPr>
        <w:t>XIV. Robustness and Controls</w:t>
      </w:r>
    </w:p>
    <w:p>
      <w:pPr>
        <w:spacing w:after="120" w:line="360" w:lineRule="auto"/>
      </w:pPr>
      <w:r>
        <w:rPr>
          <w:rFonts w:ascii="Times New Roman" w:hAnsi="Times New Roman"/>
          <w:b w:val="0"/>
          <w:i w:val="0"/>
          <w:sz w:val="24"/>
        </w:rPr>
        <w:t>We performed two negative controls to validate the UBE2S + CCR6 AND gate. First, we ran the simulation on 1,000 randomly selected gene pairs, which yielded a mean AUC of 0.594. The selected pair's AUC (0.999) is significantly higher than the random distribution (empirical p &lt; 0.0001). Second, we perturbed the thresholds K_A and K_B by up to +-50% and observed that the AUC remained exceedingly high (&gt;0.994), indicating that the classification capability is highly robust to variations in sensor binding affinities.</w:t>
      </w:r>
    </w:p>
    <w:p>
      <w:pPr>
        <w:spacing w:before="240" w:after="120"/>
      </w:pPr>
      <w:r>
        <w:rPr>
          <w:rFonts w:ascii="Arial" w:hAnsi="Arial"/>
          <w:b/>
          <w:sz w:val="36"/>
        </w:rPr>
        <w:t>XV. Limitations</w:t>
      </w:r>
    </w:p>
    <w:p>
      <w:pPr>
        <w:spacing w:after="120" w:line="360" w:lineRule="auto"/>
      </w:pPr>
      <w:r>
        <w:rPr>
          <w:rFonts w:ascii="Times New Roman" w:hAnsi="Times New Roman"/>
          <w:b w:val="0"/>
          <w:i w:val="0"/>
          <w:sz w:val="24"/>
        </w:rPr>
        <w:t>Several critical limitations must be acknowledged. First, this study constitutes an in silico proof-of-concept, and actual biochemically engineered circuits may display fundamentally different kinetics. Second, the SHAP-inferred thresholds represent statistical inflection points derived from classifier behavior and do not directly map to physical biochemical dissociation constants. Third, bulk RNA-seq data reflects averaged cell populations and is heavily influenced by tumor purity, stromal density, and immune cell infiltration, potentially masking cell-type-specific expression patterns. Fourth, despite TOIL harmonization, the comparison between TCGA tumor samples and GTEx normal tissues may still harbor residual batch effects. Fifth, the external validation cohort demonstrated extremely low sensitivity (4.3%), highlighting a significant challenge in cross-platform threshold transfer from RNA-seq to microarray data. Sixth, the selected candidate pair (UBE2S + CCR6) is not strictly statistically orthogonal, exhibiting a Spearman correlation of 0.714 in bulk data. Seventh, transcriptomic abundance does not guarantee equivalent sensor accessibility or protein-level expression. Eighth, translating these candidates into a functional synthetic circuit requires promoter engineering or RNA-based sensor design, each introducing additional layers of design complexity. Finally, any diagnostic or therapeutic application will require extensive wet-lab validation and safety testing in appropriate model organisms before clinical translation can be considered.</w:t>
      </w:r>
    </w:p>
    <w:p>
      <w:pPr>
        <w:spacing w:before="240" w:after="120"/>
      </w:pPr>
      <w:r>
        <w:rPr>
          <w:rFonts w:ascii="Arial" w:hAnsi="Arial"/>
          <w:b/>
          <w:sz w:val="36"/>
        </w:rPr>
        <w:t>XVI. Future Experimental Directions</w:t>
      </w:r>
    </w:p>
    <w:p>
      <w:pPr>
        <w:spacing w:after="120" w:line="360" w:lineRule="auto"/>
      </w:pPr>
      <w:r>
        <w:rPr>
          <w:rFonts w:ascii="Times New Roman" w:hAnsi="Times New Roman"/>
          <w:b w:val="0"/>
          <w:i w:val="0"/>
          <w:sz w:val="24"/>
        </w:rPr>
        <w:t>Several experimental avenues merit exploration to translate the computational findings of this study into functional synthetic biology constructs. One promising direction involves the engineering of synthetic promoter systems, wherein the upstream regulatory regions of UBE2S and CCR6 would be cloned to drive orthogonal transcription factors (e.g., tTA and LhG4) in a split-transactivator configuration, enabling AND-gate logic at the transcriptional level. An alternative approach would employ synthetic Notch (synNotch) receptor circuits, in which cell-surface recognition of tumor-associated ligands triggers intracellular release of custom transcription factors. Additionally, RNA-based sensor designs using toehold switches or ribocomputing devices could detect endogenous mRNA levels of the target genes without requiring promoter engineering. Functional validation should be conducted in PDAC cell lines (e.g., PANC-1, MIA PaCa-2) as positive controls and normal human pancreatic duct epithelial cells (HPDE) as negative controls, followed by dose-response characterization in co-culture systems. Longer-term directions include in vivo validation using patient-derived xenograft (PDX) mouse models, assessment of circuit stability under metabolic stress, and exploration of multi-input logic gates (e.g., three-input AND or AND-NOT) to further improve tumor specificity and reduce off-target activation.</w:t>
      </w:r>
    </w:p>
    <w:p>
      <w:pPr>
        <w:spacing w:before="240" w:after="120"/>
      </w:pPr>
      <w:r>
        <w:rPr>
          <w:rFonts w:ascii="Arial" w:hAnsi="Arial"/>
          <w:b/>
          <w:sz w:val="36"/>
        </w:rPr>
        <w:t>XVII. Conclusion</w:t>
      </w:r>
    </w:p>
    <w:p>
      <w:pPr>
        <w:spacing w:after="120" w:line="360" w:lineRule="auto"/>
      </w:pPr>
      <w:r>
        <w:rPr>
          <w:rFonts w:ascii="Times New Roman" w:hAnsi="Times New Roman"/>
          <w:b w:val="0"/>
          <w:i w:val="0"/>
          <w:sz w:val="24"/>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UBE2S and CCR6 as the optimal pair. This combination achieves excellent classification performance and robustness in silico, while capturing distinct biological hallmarks of PDAC (mitotic progression and microenvironmental inflammation). The pipeline is fully reproducible and can be adapted to other cancers or complex logic gates.</w:t>
      </w:r>
    </w:p>
    <w:p>
      <w:pPr>
        <w:spacing w:before="240" w:after="120"/>
      </w:pPr>
      <w:r>
        <w:rPr>
          <w:rFonts w:ascii="Arial" w:hAnsi="Arial"/>
          <w:b/>
          <w:sz w:val="36"/>
        </w:rPr>
        <w:t>XVIII. References</w:t>
      </w:r>
    </w:p>
    <w:p>
      <w:pPr>
        <w:spacing w:after="80" w:line="360" w:lineRule="auto"/>
      </w:pPr>
      <w:r>
        <w:rPr>
          <w:rFonts w:ascii="Times New Roman" w:hAnsi="Times New Roman"/>
          <w:b w:val="0"/>
          <w:i w:val="0"/>
          <w:sz w:val="24"/>
        </w:rPr>
        <w:t>Siegel, R. L., Giaquinto, A. N., &amp; Jemal, A. (2024). Cancer Statistics, 2024. CA: A Cancer Journal for Clinicians, 74(1), 12-49.</w:t>
      </w:r>
    </w:p>
    <w:p>
      <w:pPr>
        <w:spacing w:after="80" w:line="360" w:lineRule="auto"/>
      </w:pPr>
      <w:r>
        <w:rPr>
          <w:rFonts w:ascii="Times New Roman" w:hAnsi="Times New Roman"/>
          <w:b w:val="0"/>
          <w:i w:val="0"/>
          <w:sz w:val="24"/>
        </w:rPr>
        <w:t>Ho, W. J., Jaffee, E. M., &amp; Zheng, L. (2020). The tumour microenvironment in pancreatic cancer — clinical challenges and opportunities. Nature Reviews Clinical Oncology, 17(9), 527-540.</w:t>
      </w:r>
    </w:p>
    <w:p>
      <w:pPr>
        <w:spacing w:after="80" w:line="360" w:lineRule="auto"/>
      </w:pPr>
      <w:r>
        <w:rPr>
          <w:rFonts w:ascii="Times New Roman" w:hAnsi="Times New Roman"/>
          <w:b w:val="0"/>
          <w:i w:val="0"/>
          <w:sz w:val="24"/>
        </w:rPr>
        <w:t>Neesse, A., Algül, H., Tuveson, D. A., &amp; Gress, T. M. (2015). Stromal biology and therapy in pancreatic cancer: a changing paradigm. Gut, 64(9), 1476-1484.</w:t>
      </w:r>
    </w:p>
    <w:p>
      <w:pPr>
        <w:spacing w:after="80" w:line="360" w:lineRule="auto"/>
      </w:pPr>
      <w:r>
        <w:rPr>
          <w:rFonts w:ascii="Times New Roman" w:hAnsi="Times New Roman"/>
          <w:b w:val="0"/>
          <w:i w:val="0"/>
          <w:sz w:val="24"/>
        </w:rPr>
        <w:t>Lundberg, S. M., &amp; Lee, S. I. (2017). A unified approach to interpreting model predictions. Advances in Neural Information Processing Systems, 30, 4765-4774.</w:t>
      </w:r>
    </w:p>
    <w:p>
      <w:pPr>
        <w:spacing w:after="80" w:line="360" w:lineRule="auto"/>
      </w:pPr>
      <w:r>
        <w:rPr>
          <w:rFonts w:ascii="Times New Roman" w:hAnsi="Times New Roman"/>
          <w:b w:val="0"/>
          <w:i w:val="0"/>
          <w:sz w:val="24"/>
        </w:rPr>
        <w:t>Hill, A. V. (1910). The possible effects of the aggregation of the molecules of haemoglobin on its dissociation curves. The Journal of Physiology, 40, iv-vii.</w:t>
      </w:r>
    </w:p>
    <w:p>
      <w:pPr>
        <w:sectPr>
          <w:pgSz w:w="12240" w:h="15840"/>
          <w:pgMar w:top="1008" w:right="1008" w:bottom="1008" w:left="1008" w:header="720" w:footer="720" w:gutter="0"/>
          <w:cols w:space="720" w:num="2" w:equalWidth="1"/>
          <w:docGrid w:linePitch="360"/>
        </w:sectPr>
      </w:pPr>
    </w:p>
    <w:p>
      <w:pPr>
        <w:spacing w:before="240" w:after="120"/>
      </w:pPr>
      <w:r>
        <w:rPr>
          <w:rFonts w:ascii="Arial" w:hAnsi="Arial"/>
          <w:b/>
          <w:sz w:val="36"/>
        </w:rPr>
        <w:t>XIX. Supplementary Tables and Figures</w:t>
      </w:r>
    </w:p>
    <w:p>
      <w:pPr>
        <w:spacing w:after="120" w:line="360" w:lineRule="auto"/>
      </w:pPr>
      <w:r>
        <w:rPr>
          <w:rFonts w:ascii="Times New Roman" w:hAnsi="Times New Roman"/>
          <w:b w:val="0"/>
          <w:i w:val="0"/>
          <w:sz w:val="24"/>
        </w:rPr>
        <w:t>Supplementary Table 1: Parameter sweep results. The sweep evaluated Hill coefficients n from 1 to 4 and leakiness basal values from 0.0 to 0.1. The optimal setting was n=1, P_basal=0.0. Supplementary Table 2: List of top 100 SHAP genes and their inferred thresholds. The top genes are primarily non-coding RNAs, but protein-coding genes (MMP12, MISP, UBE2S) were prioritized for wet-lab accessibility.</w:t>
      </w:r>
    </w:p>
    <w:p>
      <w:pPr>
        <w:spacing w:before="240" w:after="120"/>
      </w:pPr>
      <w:r>
        <w:rPr>
          <w:rFonts w:ascii="Arial" w:hAnsi="Arial"/>
          <w:b/>
          <w:sz w:val="28"/>
        </w:rPr>
        <w:t>Supplementary Table 1: Grid Search Sweep</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Hill Coefficient (n)</w:t>
            </w:r>
          </w:p>
        </w:tc>
        <w:tc>
          <w:tcPr>
            <w:tcW w:type="dxa" w:w="1570"/>
          </w:tcPr>
          <w:p>
            <w:pPr>
              <w:jc w:val="center"/>
            </w:pPr>
            <w:r>
              <w:rPr>
                <w:rFonts w:ascii="Arial" w:hAnsi="Arial"/>
                <w:b/>
                <w:sz w:val="20"/>
              </w:rPr>
              <w:t>Basal Leakiness (P_basal)</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0.05</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bl>
    <w:p>
      <w:pPr>
        <w:spacing w:after="120"/>
      </w:pPr>
    </w:p>
    <w:p>
      <w:pPr>
        <w:spacing w:before="240" w:after="120"/>
      </w:pPr>
      <w:r>
        <w:rPr>
          <w:rFonts w:ascii="Arial" w:hAnsi="Arial"/>
          <w:b/>
          <w:sz w:val="28"/>
        </w:rPr>
        <w:t>Supplementary Table 2: Sensitivity analysis</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UBE2S Threshold (K_A)</w:t>
            </w:r>
          </w:p>
        </w:tc>
        <w:tc>
          <w:tcPr>
            <w:tcW w:type="dxa" w:w="1570"/>
          </w:tcPr>
          <w:p>
            <w:pPr>
              <w:jc w:val="center"/>
            </w:pPr>
            <w:r>
              <w:rPr>
                <w:rFonts w:ascii="Arial" w:hAnsi="Arial"/>
                <w:b/>
                <w:sz w:val="20"/>
              </w:rPr>
              <w:t>CCR6 Threshold (K_B)</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0.760 (Baseline)</w:t>
            </w:r>
          </w:p>
        </w:tc>
        <w:tc>
          <w:tcPr>
            <w:tcW w:type="dxa" w:w="1570"/>
          </w:tcPr>
          <w:p>
            <w:pPr>
              <w:jc w:val="center"/>
            </w:pPr>
            <w:r>
              <w:rPr>
                <w:rFonts w:ascii="Times New Roman" w:hAnsi="Times New Roman"/>
                <w:sz w:val="20"/>
              </w:rPr>
              <w:t>0.464 (Baseline)</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0.380 (-50%)</w:t>
            </w:r>
          </w:p>
        </w:tc>
        <w:tc>
          <w:tcPr>
            <w:tcW w:type="dxa" w:w="1570"/>
          </w:tcPr>
          <w:p>
            <w:pPr>
              <w:jc w:val="center"/>
            </w:pPr>
            <w:r>
              <w:rPr>
                <w:rFonts w:ascii="Times New Roman" w:hAnsi="Times New Roman"/>
                <w:sz w:val="20"/>
              </w:rPr>
              <w:t>0.232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86.4%</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0.684 (-10%)</w:t>
            </w:r>
          </w:p>
        </w:tc>
        <w:tc>
          <w:tcPr>
            <w:tcW w:type="dxa" w:w="1570"/>
          </w:tcPr>
          <w:p>
            <w:pPr>
              <w:jc w:val="center"/>
            </w:pPr>
            <w:r>
              <w:rPr>
                <w:rFonts w:ascii="Times New Roman" w:hAnsi="Times New Roman"/>
                <w:sz w:val="20"/>
              </w:rPr>
              <w:t>0.418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98.0%</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0.836 (+10%)</w:t>
            </w:r>
          </w:p>
        </w:tc>
        <w:tc>
          <w:tcPr>
            <w:tcW w:type="dxa" w:w="1570"/>
          </w:tcPr>
          <w:p>
            <w:pPr>
              <w:jc w:val="center"/>
            </w:pPr>
            <w:r>
              <w:rPr>
                <w:rFonts w:ascii="Times New Roman" w:hAnsi="Times New Roman"/>
                <w:sz w:val="20"/>
              </w:rPr>
              <w:t>0.510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97.7%</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1.140 (+50%)</w:t>
            </w:r>
          </w:p>
        </w:tc>
        <w:tc>
          <w:tcPr>
            <w:tcW w:type="dxa" w:w="1570"/>
          </w:tcPr>
          <w:p>
            <w:pPr>
              <w:jc w:val="center"/>
            </w:pPr>
            <w:r>
              <w:rPr>
                <w:rFonts w:ascii="Times New Roman" w:hAnsi="Times New Roman"/>
                <w:sz w:val="20"/>
              </w:rPr>
              <w:t>0.696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53.6%</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bl>
    <w:p>
      <w:pPr>
        <w:spacing w:after="120"/>
      </w:pPr>
    </w:p>
    <w:p>
      <w:pPr>
        <w:spacing w:before="240" w:after="120"/>
      </w:pPr>
      <w:r>
        <w:rPr>
          <w:rFonts w:ascii="Arial" w:hAnsi="Arial"/>
          <w:b/>
          <w:sz w:val="28"/>
        </w:rPr>
        <w:t>Supplementary Figures: SHAP dependence plots</w:t>
      </w:r>
    </w:p>
    <w:p>
      <w:pPr>
        <w:spacing w:after="8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UBE2S_shap_dependence.png"/>
                    <pic:cNvPicPr/>
                  </pic:nvPicPr>
                  <pic:blipFill>
                    <a:blip r:embed="rId14"/>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UBE2S SHAP dependence plot</w:t>
      </w:r>
    </w:p>
    <w:p>
      <w:pPr>
        <w:spacing w:after="80"/>
        <w:jc w:val="center"/>
      </w:pPr>
      <w:r>
        <w:drawing>
          <wp:inline xmlns:a="http://schemas.openxmlformats.org/drawingml/2006/main" xmlns:pic="http://schemas.openxmlformats.org/drawingml/2006/picture">
            <wp:extent cx="4114800" cy="2743200"/>
            <wp:docPr id="7" name="Picture 7"/>
            <wp:cNvGraphicFramePr>
              <a:graphicFrameLocks noChangeAspect="1"/>
            </wp:cNvGraphicFramePr>
            <a:graphic>
              <a:graphicData uri="http://schemas.openxmlformats.org/drawingml/2006/picture">
                <pic:pic>
                  <pic:nvPicPr>
                    <pic:cNvPr id="0" name="CCR6_shap_dependence.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CCR6 SHAP dependence plot</w:t>
      </w:r>
    </w:p>
    <w:sectPr w:rsidR="00FC693F" w:rsidRPr="0006063C" w:rsidSect="00034616">
      <w:pgSz w:w="12240" w:h="15840"/>
      <w:pgMar w:top="1411" w:right="1411" w:bottom="1411" w:left="1411" w:header="720" w:footer="720" w:gutter="0"/>
      <w:cols w:space="72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