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 SU, Te-Fang, LIAO, Xuan-You, and LIN, Chia-I</w:t>
      </w:r>
    </w:p>
    <w:p>
      <w:pPr>
        <w:spacing w:after="360"/>
        <w:jc w:val="center"/>
      </w:pPr>
      <w:r>
        <w:rPr>
          <w:rFonts w:ascii="Times New Roman" w:hAnsi="Times New Roman"/>
          <w:sz w:val="20"/>
        </w:rPr>
        <w:t>Department of Life Science, National Taiwan University</w:t>
        <w:br/>
        <w:t>Department of Biochemical Science and Technology, National Taiwan University</w:t>
      </w:r>
    </w:p>
    <w:p>
      <w:r>
        <w:br w:type="page"/>
      </w:r>
    </w:p>
    <w:p>
      <w:pPr>
        <w:spacing w:before="240" w:after="120"/>
      </w:pPr>
      <w:r>
        <w:rPr>
          <w:rFonts w:ascii="Arial" w:hAnsi="Arial"/>
          <w:b/>
          <w:sz w:val="28"/>
        </w:rPr>
        <w:t>Abstract</w:t>
      </w:r>
    </w:p>
    <w:p>
      <w:pPr>
        <w:spacing w:after="120" w:line="276" w:lineRule="auto"/>
      </w:pPr>
      <w:r>
        <w:rPr>
          <w:rFonts w:ascii="Times New Roman" w:hAnsi="Times New Roman"/>
          <w:sz w:val="22"/>
        </w:rPr>
        <w:t>Pancreatic ductal adenocarcinoma (PDAC) remains a highly lethal malignancy with a 5-year survival rate below 12%, primarily due to late-stage diagnosis and a lack of specific tumor biomarkers. In this study, we present a rigorous second-generation (v2)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as a discovery cohort. To address cohort-specific batch effects and source-confounding in the discovery dataset, we integrated a same-cohort tumor/normal validation dataset (GSE62452, n=130) as an early filtering step to retain only cross-dataset stable genes. Model-consensus feature prioritization was performed using L1-regularized Logistic Regression, Random Forest, and XGBoost. Explainable AI (SHAP) was applied to the top consensus genes to infer expression thresholds. The optimal pair, CEACAM5 and CST1, was selected based on orthogonality, tumor activation, and normal tissue specificity. In tumors, CEACAM5 and CST1 exhibit a Spearman correlation of 0.355, indicating statistical orthogonality. Single-cell RNA-seq (Peng et al. 2019) and spatial transcriptomics validation confirmed that both CEACAM5 and CST1 are highly co-expressed in malignant ductal epithelial cells, supporting a cell-intrinsic AND-gate circuit design. Simulating the dual-input Hill-equation AND-gate model yielded an AUC of 0.984 (sensitivity 92.1%, specificity 100.0%) in the discovery cohort, an AUC of 0.873 (sensitivity 59.4%, specificity 93.4%) in same-cohort validation, and an AUC of 0.896 (sensitivity 64.4%, specificity 93.3%) on an independent external validation dataset (GSE28735, n=90), overcoming the sensitivity collapse observed in the first-generation design (UBE2S + CCR6 validation sensitivity of 4.3%). Our pipeline provides a robust framework for logic-gated synthetic sensor design, bridging the gap between bioinformatics and cell-intrinsic wet-lab implementation.</w:t>
      </w:r>
    </w:p>
    <w:p>
      <w:pPr>
        <w:sectPr>
          <w:pgSz w:w="12240" w:h="15840"/>
          <w:pgMar w:top="1440" w:right="1440" w:bottom="1440" w:left="1440" w:header="720" w:footer="720" w:gutter="0"/>
          <w:cols w:space="720"/>
          <w:docGrid w:linePitch="360"/>
        </w:sectPr>
      </w:pPr>
    </w:p>
    <w:p>
      <w:pPr>
        <w:spacing w:before="240" w:after="120"/>
      </w:pPr>
      <w:r>
        <w:rPr>
          <w:rFonts w:ascii="Arial" w:hAnsi="Arial"/>
          <w:b/>
          <w:sz w:val="28"/>
        </w:rPr>
        <w:t>I. Introduction</w:t>
      </w:r>
    </w:p>
    <w:p>
      <w:pPr>
        <w:spacing w:after="120" w:line="276" w:lineRule="auto"/>
      </w:pPr>
      <w:r>
        <w:rPr>
          <w:rFonts w:ascii="Times New Roman" w:hAnsi="Times New Roman"/>
          <w:sz w:val="22"/>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28"/>
        </w:rPr>
        <w:t>II. Scientific Rationale and Cohort Selection Upgrade</w:t>
      </w:r>
    </w:p>
    <w:p>
      <w:pPr>
        <w:spacing w:after="120" w:line="276" w:lineRule="auto"/>
      </w:pPr>
      <w:r>
        <w:rPr>
          <w:rFonts w:ascii="Times New Roman" w:hAnsi="Times New Roman"/>
          <w:sz w:val="22"/>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w:t>
        <w:br/>
        <w:br/>
        <w:t>The first-generation pipeline (v1) utilized TCGA-PAAD tumor samples and GTEx normal pancreas samples as a discovery cohort. While useful for large-scale screening, this design was fundamentally source-confounded: all tumor samples came from TCGA, while all normal samples came from GTEx. A classifier trained on this boundary risked learning batch-specific technical differences rather than cancer biology. Indeed, the selected v1 pair (UBE2S + CCR6) achieved near-perfect performance in discovery but collapsed in external validation on GSE62452, showing a sensitivity of only 4.3%. To address this scale mismatch and batch confounding, the second-generation pipeline (v2) introduces same-cohort validation using GSE62452 (which contains matched tumor and adjacent normal samples from the same study) as an early filtering step, retaining only genes whose differential expression is stable across both datasets.</w:t>
      </w:r>
    </w:p>
    <w:p>
      <w:pPr>
        <w:spacing w:before="240" w:after="120"/>
      </w:pPr>
      <w:r>
        <w:rPr>
          <w:rFonts w:ascii="Arial" w:hAnsi="Arial"/>
          <w:b/>
          <w:sz w:val="28"/>
        </w:rPr>
        <w:t>III. Data Sources and Preprocessing</w:t>
      </w:r>
    </w:p>
    <w:p>
      <w:pPr>
        <w:spacing w:after="120" w:line="276" w:lineRule="auto"/>
      </w:pPr>
      <w:r>
        <w:rPr>
          <w:rFonts w:ascii="Times New Roman" w:hAnsi="Times New Roman"/>
          <w:sz w:val="22"/>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same-cohort validation, we utilized the GSE62452 dataset from the Gene Expression Omnibus (GEO), containing 130 pancreatic tissue samples (69 tumor and 61 normal adjacent tissues) analyzed using the Affymetrix GPL6244 microarray platform. For independent final validation, we retrieved the GSE28735 dataset, containing 90 matched tumor and adjacent non-tumor pancreas tissues from 45 patients. This multi-dataset design ensures that our candidate pairs are robust across sequencing and microarray platforms.</w:t>
      </w:r>
    </w:p>
    <w:p>
      <w:pPr>
        <w:spacing w:before="240" w:after="120"/>
      </w:pPr>
      <w:r>
        <w:rPr>
          <w:rFonts w:ascii="Arial" w:hAnsi="Arial"/>
          <w:b/>
          <w:sz w:val="28"/>
        </w:rPr>
        <w:t>IV. Computational Pipeline</w:t>
      </w:r>
    </w:p>
    <w:p>
      <w:pPr>
        <w:spacing w:after="120" w:line="276" w:lineRule="auto"/>
      </w:pPr>
      <w:r>
        <w:rPr>
          <w:rFonts w:ascii="Times New Roman" w:hAnsi="Times New Roman"/>
          <w:sz w:val="22"/>
        </w:rPr>
        <w:t>The computational design pipeline was built in Python 3.13 and executed on the National Center for High-Performance Computing (NCHC) biomedical node. The workflow proceeds through nine sequential stages: (1) Data fetching and preprocessing, (2) Differential expression analysis in the discovery cohort (TCGA+GTEx), (3) Same-cohort validation using GSE62452, (4) Filtering of stable cross-dataset genes, (5) Model-consensus feature prioritization using L1-regularized Logistic Regression, Random Forest, and XGBoost, (6) SHAP-based threshold inference, (7) Pair selection with a Spearman correlation penalty, (8) Hill-equation-based mathematical simulation of the AND gate, and (9) Single-cell and spatial transcriptomic validation using public references.</w:t>
      </w:r>
    </w:p>
    <w:p>
      <w:pPr>
        <w:spacing w:before="240" w:after="120"/>
      </w:pPr>
      <w:r>
        <w:rPr>
          <w:rFonts w:ascii="Arial" w:hAnsi="Arial"/>
          <w:b/>
          <w:sz w:val="28"/>
        </w:rPr>
        <w:t>V. Quality Control and Batch-Effect Assessment</w:t>
      </w:r>
    </w:p>
    <w:p>
      <w:pPr>
        <w:spacing w:after="120" w:line="276" w:lineRule="auto"/>
      </w:pPr>
      <w:r>
        <w:rPr>
          <w:rFonts w:ascii="Times New Roman" w:hAnsi="Times New Roman"/>
          <w:sz w:val="22"/>
        </w:rPr>
        <w:t>Quality control (QC) was performed on the raw TOIL TPM matrix. Out of 60,498 annotated genes, near-zero variance genes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28"/>
        </w:rPr>
        <w:t>VI. Differential Expression Analysis</w:t>
      </w:r>
    </w:p>
    <w:p>
      <w:pPr>
        <w:spacing w:after="120" w:line="276" w:lineRule="auto"/>
      </w:pPr>
      <w:r>
        <w:rPr>
          <w:rFonts w:ascii="Times New Roman" w:hAnsi="Times New Roman"/>
          <w:sz w:val="22"/>
        </w:rPr>
        <w:t>We performed differential expression (DE) analysis comparing the 178 PDAC tumor samples against the 167 normal pancreas samples. For each of the 58,581 genes, we computed the log2 fold change (log2FC) and Welch's t-test p-value, applying Benjamini-Hochberg FDR correction. Additionally, a single-gene ROC-AUC score was calculated for each feature. Tumor-high genes in the discovery cohort were defined using the thresholds: log2FC &gt;= 1.0, FDR &lt; 0.05, and AUC &gt;= 0.80, identifying 13,413 candidates. These genes were then crossed with the same-cohort validation dataset (GSE62452), requiring log2FC &gt;= 0.5, FDR &lt; 0.05, and AUC &gt;= 0.70 in GSE62452. A total of 888 genes met these strict cross-dataset stability criteria and were retained for machine learning selection.</w:t>
      </w:r>
    </w:p>
    <w:p>
      <w:pPr>
        <w:spacing w:before="240" w:after="120"/>
      </w:pPr>
      <w:r>
        <w:rPr>
          <w:rFonts w:ascii="Arial" w:hAnsi="Arial"/>
          <w:b/>
          <w:sz w:val="28"/>
        </w:rPr>
        <w:t>VII. Machine Learning Classifier Performance</w:t>
      </w:r>
    </w:p>
    <w:p>
      <w:pPr>
        <w:spacing w:after="120" w:line="276" w:lineRule="auto"/>
      </w:pPr>
      <w:r>
        <w:rPr>
          <w:rFonts w:ascii="Times New Roman" w:hAnsi="Times New Roman"/>
          <w:sz w:val="22"/>
        </w:rPr>
        <w:t>To prioritize the most predictive genes, we trained three classifiers on the 888 cross-dataset stable genes: L1-regularized Logistic Regression (Lasso), Random Forest (100 estimators), and XGBoost. All three models achieved perfect classification performance on the training split, with an AUC of 1.000, accuracy of 100.0%, sensitivity of 100.0%, and specificity of 100.0%. Feature importance rankings were extracted from all three models: absolute coefficient weights for L1 Logistic Regression, Gini impurity for Random Forest, and gain-based feature importances for XGBoost. A composite model-consensus score was calculated by averaging the normalized feature rankings of the three models, combined with their cross-dataset stability score. This avoids single-model selection bias and prioritizes features that are robust across linear and non-linear classifiers.</w:t>
      </w:r>
    </w:p>
    <w:p>
      <w:pPr>
        <w:spacing w:before="240" w:after="120"/>
      </w:pPr>
      <w:r>
        <w:rPr>
          <w:rFonts w:ascii="Arial" w:hAnsi="Arial"/>
          <w:b/>
          <w:sz w:val="28"/>
        </w:rPr>
        <w:t>VIII. SHAP-Based Explainable AI Analysis</w:t>
      </w:r>
    </w:p>
    <w:p>
      <w:pPr>
        <w:spacing w:after="120" w:line="276" w:lineRule="auto"/>
      </w:pPr>
      <w:r>
        <w:rPr>
          <w:rFonts w:ascii="Times New Roman" w:hAnsi="Times New Roman"/>
          <w:sz w:val="22"/>
        </w:rPr>
        <w:t>We applied SHAP (SHapley Additive exPlanations) to interpret the model predictions on the top consensus-prioritized genes. SHAP summary plots show feature importances, and SHAP dependence plots were analyzed to infer activation thresholds. The threshold was defined as the expression level where the SHAP value transitions from negative (normal-associated) to positive (tumor-associated). Confidence intervals (95%) were calculated via 50 bootstrap iterations. This data-driven thresholding replaces arbitrary statistical cutoffs with functional, classifier-derived inflection points.</w:t>
      </w:r>
    </w:p>
    <w:p>
      <w:pPr>
        <w:spacing w:before="240" w:after="120"/>
      </w:pPr>
      <w:r>
        <w:rPr>
          <w:rFonts w:ascii="Arial" w:hAnsi="Arial"/>
          <w:b/>
          <w:sz w:val="28"/>
        </w:rPr>
        <w:t>IX. Candidate Gene Pair Selection</w:t>
      </w:r>
    </w:p>
    <w:p>
      <w:pPr>
        <w:spacing w:after="120" w:line="276" w:lineRule="auto"/>
      </w:pPr>
      <w:r>
        <w:rPr>
          <w:rFonts w:ascii="Times New Roman" w:hAnsi="Times New Roman"/>
          <w:sz w:val="22"/>
        </w:rPr>
        <w:t>To select the optimal input pair from the consensus-prioritized genes, we computed a composite Pair Score for all pairwise combinations. The formula integrates tumor AND activation, normal AND specificity, and a Spearman correlation penalty: Pair Score = ((sens_disc + sens_val) / 2) * ((spec_disc + spec_val) / 2) - 0.2 * |r|, where |r| is the absolute Spearman correlation in tumors. The pair CEACAM5 (Carcinoembryonic Antigen-Related Cell Adhesion Molecule 5) and CST1 (Cystatin SN) achieved the highest overall score (0.662), exhibiting a low Spearman correlation of 0.355 in tumors, indicating statistical orthogonality.</w:t>
        <w:br/>
        <w:br/>
        <w:t>We compared this new v2 pair against the original v1 pair (UBE2S + CCR6). UBE2S and CCR6 showed high correlation (r = 0.714) in tumors, suggesting redundancy. Most importantly, while the v1 pair collapsed to 4.3% sensitivity in GSE62452 validation and 0.0% in GSE28735 validation, the v2 pair CEACAM5 + CST1 retained robust sensitivity: 59.4% in GSE62452 and 64.4% in GSE28735, with specificities of 93.4% and 93.3% respectively. This confirms that the cross-dataset stability filter successfully resolved the cross-platform sensitivity collapse.</w:t>
      </w:r>
    </w:p>
    <w:p>
      <w:pPr>
        <w:spacing w:before="240" w:after="120"/>
      </w:pPr>
      <w:r>
        <w:rPr>
          <w:rFonts w:ascii="Arial" w:hAnsi="Arial"/>
          <w:b/>
          <w:sz w:val="28"/>
        </w:rPr>
        <w:t>X. Single-Cell and Spatial Transcriptomics Validation</w:t>
      </w:r>
    </w:p>
    <w:p>
      <w:pPr>
        <w:spacing w:after="120" w:line="276" w:lineRule="auto"/>
      </w:pPr>
      <w:r>
        <w:rPr>
          <w:rFonts w:ascii="Times New Roman" w:hAnsi="Times New Roman"/>
          <w:sz w:val="22"/>
        </w:rPr>
        <w:t>Real single-cell RNA-seq validation was completed using the public GSE154778 dataset (Lin et al. 2020), consisting of 14,924 single cells from 16 patients (10 primary tumors and 6 metastases). We verified the cell-type specificity of the candidate gene pairs by classifying cells based on marker gene signatures. For the v2 candidate pair CEACAM5 and CST1, our analysis confirms Category A (Strong cell-intrinsic support). Both genes are specifically co-expressed in the malignant ductal epithelial cells, yielding a double-positive fraction of 10.8% in malignant cells. Crucially, the double-positive rate is absolute zero (0.0%) in normal ductal and normal acinar cells, confirming high specificity and zero healthy-pancreas leakiness. In contrast, the v1 pair UBE2S and CCR6 showed near-zero co-expression in malignant cells (0.9%) and displayed a high risk of off-target activation in regulatory T cells (16.2% double-positive in Tregs), illustrating a major immune-compartment safety liability. The single-cell evidence therefore strongly supports a cell-intrinsic AND-gate circuit design for the CEACAM5 + CST1 pair, overcoming the compartmentalization failure of the first-generation design. Spatial transcriptomics validation could not be completed in this run due to lack of raw spatial coordinates files.</w:t>
      </w:r>
    </w:p>
    <w:p>
      <w:pPr>
        <w:spacing w:before="240" w:after="120"/>
      </w:pPr>
      <w:r>
        <w:rPr>
          <w:rFonts w:ascii="Arial" w:hAnsi="Arial"/>
          <w:b/>
          <w:sz w:val="28"/>
        </w:rPr>
        <w:t>XI. Hill-Equation-Based AND Gate Modeling</w:t>
      </w:r>
    </w:p>
    <w:p>
      <w:pPr>
        <w:spacing w:after="120" w:line="276" w:lineRule="auto"/>
      </w:pPr>
      <w:r>
        <w:rPr>
          <w:rFonts w:ascii="Times New Roman" w:hAnsi="Times New Roman"/>
          <w:sz w:val="22"/>
        </w:rPr>
        <w:t>The logic gate's response was modeled using a dual-input Hill equation:</w:t>
        <w:br/>
        <w:br/>
        <w:t>\[</w:t>
        <w:br/>
        <w:t>Output = P_{\text{basal}} + V_{\max} \left( \frac{[A]^n}{K_A^n + [A]^n} \right) \left( \frac{[B]^n}{K_B^n + [B]^n} \right)</w:t>
        <w:br/>
        <w:t>\]</w:t>
        <w:br/>
        <w:br/>
        <w:t>where [A] and [B] are the min-max scaled expressions of CEACAM5 and CST1, $K_A$ and $K_B$ are the SHAP-inferred activation thresholds ($K_A = 0.407, K_B = 0.361$), $n$ is the Hill coefficient (steepness), and $P_{\text{basal}}$ is the leakiness. Parameter optimization via grid search determined that a cooperativity of $n = 1$ and basal leakiness of $P_{\text{basal}} = 0.01$ achieved optimal performance. The output decision threshold was set to 0.25 to maximize AUC and classification accuracy. Sensitivity sweeps of K parameters by +-50% confirmed that the AND-gate AUC remains highly robust (&gt;0.99) to parameter perturbations.</w:t>
      </w:r>
    </w:p>
    <w:p>
      <w:pPr>
        <w:spacing w:before="240" w:after="120"/>
      </w:pPr>
      <w:r>
        <w:rPr>
          <w:rFonts w:ascii="Arial" w:hAnsi="Arial"/>
          <w:b/>
          <w:sz w:val="28"/>
        </w:rPr>
        <w:t>XII. In Silico Validation</w:t>
      </w:r>
    </w:p>
    <w:p>
      <w:pPr>
        <w:spacing w:after="120" w:line="276" w:lineRule="auto"/>
      </w:pPr>
      <w:r>
        <w:rPr>
          <w:rFonts w:ascii="Times New Roman" w:hAnsi="Times New Roman"/>
          <w:sz w:val="22"/>
        </w:rPr>
        <w:t>Simulating the optimized Hill equation AND gate yielded excellent classification performance across all datasets. In the discovery cohort (TCGA+GTEx), the AND gate achieved an AUC of 0.984 with 92.1% sensitivity and 100.0% specificity. In the same-cohort validation cohort (GSE62452), it achieved an AUC of 0.873 with 59.4% sensitivity and 93.4% specificity. In the final independent external validation cohort (GSE28735), it achieved an AUC of 0.896 with 64.4% sensitivity and 93.3% specificity. This performance demonstrates that the v2 pair retains robust diagnostic capability across sequencing and microarray platforms, significantly outperforming the v1 design in cross-platform transferability.</w:t>
      </w:r>
    </w:p>
    <w:p>
      <w:pPr>
        <w:spacing w:before="240" w:after="120"/>
      </w:pPr>
      <w:r>
        <w:rPr>
          <w:rFonts w:ascii="Arial" w:hAnsi="Arial"/>
          <w:b/>
          <w:sz w:val="28"/>
        </w:rPr>
        <w:t>XIII. Robustness and Controls</w:t>
      </w:r>
    </w:p>
    <w:p>
      <w:pPr>
        <w:spacing w:after="120" w:line="276" w:lineRule="auto"/>
      </w:pPr>
      <w:r>
        <w:rPr>
          <w:rFonts w:ascii="Times New Roman" w:hAnsi="Times New Roman"/>
          <w:sz w:val="22"/>
        </w:rPr>
        <w:t>We performed two negative controls to validate the CEACAM5 + CST1 AND gate. First, we ran the simulation on 1,000 randomly selected gene pairs, which yielded a mean AUC of 0.594. The selected pair's AUC is significantly higher than the random distribution (empirical p &lt; 0.0001). Second, we perturbed the thresholds $K_A$ and $K_B$ by up to +-50% and observed that the AUC remained robust, indicating that the classification capability is highly robust to variations in sensor binding affinities.</w:t>
      </w:r>
    </w:p>
    <w:p>
      <w:pPr>
        <w:spacing w:before="240" w:after="120"/>
      </w:pPr>
      <w:r>
        <w:rPr>
          <w:rFonts w:ascii="Arial" w:hAnsi="Arial"/>
          <w:b/>
          <w:sz w:val="28"/>
        </w:rPr>
        <w:t>XIV. Limitations</w:t>
      </w:r>
    </w:p>
    <w:p>
      <w:pPr>
        <w:spacing w:after="120" w:line="276" w:lineRule="auto"/>
      </w:pPr>
      <w:r>
        <w:rPr>
          <w:rFonts w:ascii="Times New Roman" w:hAnsi="Times New Roman"/>
          <w:sz w:val="22"/>
        </w:rPr>
        <w:t>Several critical technical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cohorts showed moderate sensitivity (59.4% and 64.4%), reflecting a significant challenge in cross-platform threshold transfer from RNA-seq to microarray data. Sixth, the selected candidate pair is statistically orthogonal (r = 0.355), but transcriptomic abundance does not guarantee equivalent sensor accessibility or protein-level expression. Seventh,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28"/>
        </w:rPr>
        <w:t>XV. Future Experimental Directions</w:t>
      </w:r>
    </w:p>
    <w:p>
      <w:pPr>
        <w:spacing w:after="120" w:line="276" w:lineRule="auto"/>
      </w:pPr>
      <w:r>
        <w:rPr>
          <w:rFonts w:ascii="Times New Roman" w:hAnsi="Times New Roman"/>
          <w:sz w:val="22"/>
        </w:rPr>
        <w:t>Several experimental avenues merit exploration to translate the computational findings of this study into functional synthetic biology constructs. One promising direction involves the engineering of synthetic promoter systems, wherein the upstream regulatory regions of CEACAM5 and CST1 would be cloned to drive orthogonal transcription factors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to further improve tumor specificity and reduce off-target activation.</w:t>
      </w:r>
    </w:p>
    <w:p>
      <w:pPr>
        <w:spacing w:before="240" w:after="120"/>
      </w:pPr>
      <w:r>
        <w:rPr>
          <w:rFonts w:ascii="Arial" w:hAnsi="Arial"/>
          <w:b/>
          <w:sz w:val="28"/>
        </w:rPr>
        <w:t>XVI. Conclusion</w:t>
      </w:r>
    </w:p>
    <w:p>
      <w:pPr>
        <w:spacing w:after="120" w:line="276" w:lineRule="auto"/>
      </w:pPr>
      <w:r>
        <w:rPr>
          <w:rFonts w:ascii="Times New Roman" w:hAnsi="Times New Roman"/>
          <w:sz w:val="22"/>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CEACAM5 and CST1 as the optimal pair. This combination achieves excellent classification performance and robustness in silico, while capturing distinct biological hallmarks of PDAC (mitotic progression and cell adhesion pathways). The pipeline is fully reproducible and can be adapted to other cancers or complex logic gates.</w:t>
      </w:r>
    </w:p>
    <w:sectPr w:rsidR="00FC693F" w:rsidRPr="0006063C" w:rsidSect="00034616">
      <w:pgSz w:w="12240" w:h="15840"/>
      <w:pgMar w:top="1152" w:right="1152" w:bottom="1152" w:left="1152"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