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DFKai-SB" w:hAnsi="DFKai-SB" w:eastAsia="DFKai-SB"/>
          <w:b/>
          <w:sz w:val="40"/>
        </w:rPr>
        <w:t>以無偏差轉錄體剖析進行胰臟腫瘤微環境之邏輯閘生物感測器的數據驅動設計</w:t>
      </w:r>
    </w:p>
    <w:p>
      <w:pPr>
        <w:spacing w:after="360"/>
        <w:jc w:val="center"/>
      </w:pPr>
      <w:r>
        <w:rPr>
          <w:rFonts w:ascii="Times New Roman" w:hAnsi="Times New Roman"/>
          <w:sz w:val="24"/>
        </w:rPr>
        <w:t>Data-Driven Design of a Logic-Gated Biosensor via Unbiased Transcriptomic Profiling of Pancreatic Tumor Microenvironment</w:t>
      </w:r>
    </w:p>
    <w:p>
      <w:pPr>
        <w:spacing w:after="120"/>
        <w:jc w:val="center"/>
      </w:pPr>
      <w:r>
        <w:rPr>
          <w:rFonts w:ascii="DFKai-SB" w:hAnsi="DFKai-SB" w:eastAsia="DFKai-SB"/>
          <w:sz w:val="24"/>
        </w:rPr>
        <w:t>施貞蓉、廖軒佑、宿淂芳、林家誼</w:t>
      </w:r>
    </w:p>
    <w:p>
      <w:pPr>
        <w:spacing w:after="360"/>
        <w:jc w:val="center"/>
      </w:pPr>
      <w:r>
        <w:rPr>
          <w:rFonts w:ascii="DFKai-SB" w:hAnsi="DFKai-SB" w:eastAsia="DFKai-SB"/>
          <w:sz w:val="20"/>
        </w:rPr>
        <w:t>國家高速網路與計算中心 (NCHC) 生物醫學計算節點</w:t>
        <w:br/>
        <w:t>中華民國 台灣</w:t>
      </w:r>
    </w:p>
    <w:p>
      <w:pPr>
        <w:jc w:val="center"/>
      </w:pPr>
      <w:r>
        <w:rPr>
          <w:rFonts w:ascii="DFKai-SB" w:hAnsi="DFKai-SB" w:eastAsia="DFKai-SB"/>
          <w:sz w:val="22"/>
        </w:rPr>
        <w:t>2026年5月</w:t>
      </w:r>
    </w:p>
    <w:p>
      <w:r>
        <w:br w:type="page"/>
      </w:r>
    </w:p>
    <w:p>
      <w:pPr>
        <w:spacing w:before="240" w:after="120"/>
      </w:pPr>
      <w:r>
        <w:rPr>
          <w:rFonts w:ascii="DFKai-SB" w:hAnsi="DFKai-SB" w:eastAsia="DFKai-SB"/>
          <w:b/>
          <w:sz w:val="36"/>
        </w:rPr>
        <w:t>摘要</w:t>
      </w:r>
    </w:p>
    <w:p>
      <w:pPr>
        <w:spacing w:after="120" w:line="360" w:lineRule="auto"/>
      </w:pPr>
      <w:r>
        <w:rPr>
          <w:rFonts w:ascii="DFKai-SB" w:hAnsi="DFKai-SB" w:eastAsia="DFKai-SB"/>
          <w:b w:val="0"/>
          <w:i w:val="0"/>
          <w:sz w:val="24"/>
        </w:rPr>
        <w:t>胰臟導管腺癌 (pancreatic ductal adenocarcinoma, PDAC) 仍然是致死率極高的惡性腫瘤，五年存活率低於12%，主要原因在於診斷較晚且缺乏具特異性的腫瘤生物標記。本研究提出一個無偏差、數據驅動的運算分析管線，旨在篩選最適合用於合成生物學 logic-gated 及閘 (AND-gate) 生物感測器的候選基因組合，以精準區分胰臟癌與正常胰臟組織。我們整合了 TCGA-PAAD (n=178 腫瘤) 與 GTEx 正常胰臟組織 (n=167 正常) 世代的轉錄體數據，共分析了 58,581 個基因。利用 L1 正則化邏輯斯迴歸 (L1-regularized Logistic Regression) 機器學習模型進行分類，其五折交叉驗證 AUC 達到 1.000，藉此篩選出具高度預測能力的特徵。接著，利用可解釋型人工智慧 (explainable artificial intelligence, XAI) 技術中的 SHAP 值分析，推估出候選基因在腫瘤與正常組織轉換的「模型推估活化閾值 (model-inferred activation threshold)」。根據基因之間的正交性 (orthogonality) 與組合活化率，我們選定 UBE2S 與 CCR6 為最終候選基因組合，兩者皮爾森相關係數 (Pearson correlation) 為 0.714。利用希爾方程式 (Hill equation) 對該及閘進行數學建模與參數優化，結果顯示該及閘在發現世代中的 AUC 達 0.9986，準確度 (Accuracy) 為 98.6%、敏感度 (Sensitivity) 為 97.8%、特異度 (Specificity) 為 99.4% (輸出活化閾值設為 0.25)。經由 1,000 次隨機基因組合的排列測試 (permutation test)，證實此結果具有極顯著的統計學意義 (p &lt; 0.0001)。在外在驗證世代 (GSE62452 微陣列數據，n=130) 中，該及閘維持了極高的特異度 (98.4%)，但敏感度降至 4.3%，顯示跨平台轉換 (RNA-seq vs Microarray) 在閾值轉移上仍具挑戰。本研究建立的分析管線為合成生物感測器的邏輯閘設計提供了一套穩健且具可重現性的運算框架。</w:t>
      </w:r>
    </w:p>
    <w:p>
      <w:r>
        <w:br w:type="page"/>
      </w:r>
    </w:p>
    <w:p>
      <w:pPr>
        <w:spacing w:before="240" w:after="120"/>
      </w:pPr>
      <w:r>
        <w:rPr>
          <w:rFonts w:ascii="DFKai-SB" w:hAnsi="DFKai-SB" w:eastAsia="DFKai-SB"/>
          <w:b/>
          <w:sz w:val="36"/>
        </w:rPr>
        <w:t>一、前言</w:t>
      </w:r>
    </w:p>
    <w:p>
      <w:pPr>
        <w:spacing w:after="120" w:line="360" w:lineRule="auto"/>
      </w:pPr>
      <w:r>
        <w:rPr>
          <w:rFonts w:ascii="DFKai-SB" w:hAnsi="DFKai-SB" w:eastAsia="DFKai-SB"/>
          <w:b w:val="0"/>
          <w:i w:val="0"/>
          <w:sz w:val="24"/>
        </w:rPr>
        <w:t>胰臟導管腺癌 (PDAC) 的病理特徵包括隱匿性病程發展、極強的早期轉移能力，以及由多種細胞與細胞外基質構成的高度促結締組織增生基質 (desmoplastic stroma) 與胰臟腫瘤微環境 (tumor microenvironment, TME)。這使得傳統系統性化療與新型的免疫檢查點抑制劑 (immune checkpoint inhibitors) 或嵌合抗原受體 T 細胞 (CAR-T) 療法的療效受到嚴重限制。目前臨床應用的主要瓶頸在於缺乏單一特異性抗原，許多腫瘤相關抗原在正常組織中亦有低量表達，極易導致嚴重的脫靶毒性 (off-target toxicity)。合成生物學 (synthetic biology) 提供了解決此一困境的新路徑。透過在細胞或基因層次建構邏輯閘 (logic gates) 電路，例如 AND 閘 (及閘) 電路，只有在兩種輸入訊號 (Input A 與 Input B) 同時高於特定閾值時，才會觸發 downstream 報導基因或治療性載荷的釋放。這種雙輸入設計能呈指數級地提升對腫瘤細胞的辨識特異度，降低正常組織的假陽性活化率。本研究即致力於利用無偏差轉錄體剖析 (unbiased transcriptomic profiling)，開發一套系統化的數據驅動及閘感測器設計流程。</w:t>
      </w:r>
    </w:p>
    <w:p>
      <w:pPr>
        <w:spacing w:before="240" w:after="120"/>
      </w:pPr>
      <w:r>
        <w:rPr>
          <w:rFonts w:ascii="DFKai-SB" w:hAnsi="DFKai-SB" w:eastAsia="DFKai-SB"/>
          <w:b/>
          <w:sz w:val="36"/>
        </w:rPr>
        <w:t>二、科學背景與未滿足之臨床需求</w:t>
      </w:r>
    </w:p>
    <w:p>
      <w:pPr>
        <w:spacing w:after="120" w:line="360" w:lineRule="auto"/>
      </w:pPr>
      <w:r>
        <w:rPr>
          <w:rFonts w:ascii="DFKai-SB" w:hAnsi="DFKai-SB" w:eastAsia="DFKai-SB"/>
          <w:b w:val="0"/>
          <w:i w:val="0"/>
          <w:sz w:val="24"/>
        </w:rPr>
        <w:t>胰臟導管腺癌的腫瘤微環境 (TME) 極其複雜，包含癌症相關纖維母細胞 (CAFs)、免疫細胞及血管系統。傳統單抗原靶向治療 (如靶向 Mesothelin 或 CEA) 常因這些蛋白在健康組織 (如間皮細胞或腸道上皮) 的低量表達而引發 'on-target, off-tumor' 副作用。及閘 (AND-gate) 邏輯感測器則要求細胞必須同時具備兩個特徵 (特徵 A 與特徵 B) 才能激活。若細胞僅表達單一特徵，感測器則保持關閉 (OFF) 狀態。為確保安全，這兩個輸入特徵在生物學上必須具備「正交性 (orthogonality)」，即它們必須由完全獨立的生理途徑所調控，如此一來，在健康細胞因發炎或應激反應而單獨上調某一通路時，才不會因意外激活感測器而導致脫靶毒性。本研究藉由無偏差轉錄體大數據，精準篩選並定量模擬此類具備正交性的輸入特徵組合。</w:t>
      </w:r>
    </w:p>
    <w:p>
      <w:pPr>
        <w:spacing w:before="240" w:after="120"/>
      </w:pPr>
      <w:r>
        <w:rPr>
          <w:rFonts w:ascii="DFKai-SB" w:hAnsi="DFKai-SB" w:eastAsia="DFKai-SB"/>
          <w:b/>
          <w:sz w:val="36"/>
        </w:rPr>
        <w:t>三、資料來源</w:t>
      </w:r>
    </w:p>
    <w:p>
      <w:pPr>
        <w:spacing w:after="120" w:line="360" w:lineRule="auto"/>
      </w:pPr>
      <w:r>
        <w:rPr>
          <w:rFonts w:ascii="DFKai-SB" w:hAnsi="DFKai-SB" w:eastAsia="DFKai-SB"/>
          <w:b w:val="0"/>
          <w:i w:val="0"/>
          <w:sz w:val="24"/>
        </w:rPr>
        <w:t>為建立具代表性的發現世代 (discovery cohort)，我們整合了兩個大型公共資料庫：癌症基因體圖譜 (TCGA-PAAD，包含 178 個胰臟癌腫瘤樣本) 與健康型態基因體表達雙向庫 (GTEx，包含 167 個正常胰臟組織樣本)。數據格式採用一致化處理的 RSEM TPM，並透過 UCSC Xena TOIL 管線進行批次效應修正。在外在驗證方面，我們自 GEO 下載了獨立的 GSE62452 世代 (共 130 個樣本，包含 69 個腫瘤樣本與 61 個相鄰正常組織樣本)，其平台為 Affymetrix GPL6244 微陣列 (microarray)。此種發現與驗證的雙重資料庫設計，能有效評估所篩選基因在跨世代、跨平台技術下的表現與穩定性。</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DFKai-SB" w:hAnsi="DFKai-SB" w:eastAsia="DFKai-SB"/>
                <w:b/>
                <w:sz w:val="20"/>
              </w:rPr>
              <w:t>Dataset / Cohort</w:t>
            </w:r>
          </w:p>
        </w:tc>
        <w:tc>
          <w:tcPr>
            <w:tcW w:type="dxa" w:w="1884"/>
          </w:tcPr>
          <w:p>
            <w:pPr>
              <w:jc w:val="center"/>
            </w:pPr>
            <w:r>
              <w:rPr>
                <w:rFonts w:ascii="DFKai-SB" w:hAnsi="DFKai-SB" w:eastAsia="DFKai-SB"/>
                <w:b/>
                <w:sz w:val="20"/>
              </w:rPr>
              <w:t>Platform / Type</w:t>
            </w:r>
          </w:p>
        </w:tc>
        <w:tc>
          <w:tcPr>
            <w:tcW w:type="dxa" w:w="1884"/>
          </w:tcPr>
          <w:p>
            <w:pPr>
              <w:jc w:val="center"/>
            </w:pPr>
            <w:r>
              <w:rPr>
                <w:rFonts w:ascii="DFKai-SB" w:hAnsi="DFKai-SB" w:eastAsia="DFKai-SB"/>
                <w:b/>
                <w:sz w:val="20"/>
              </w:rPr>
              <w:t>Tumor Samples</w:t>
            </w:r>
          </w:p>
        </w:tc>
        <w:tc>
          <w:tcPr>
            <w:tcW w:type="dxa" w:w="1884"/>
          </w:tcPr>
          <w:p>
            <w:pPr>
              <w:jc w:val="center"/>
            </w:pPr>
            <w:r>
              <w:rPr>
                <w:rFonts w:ascii="DFKai-SB" w:hAnsi="DFKai-SB" w:eastAsia="DFKai-SB"/>
                <w:b/>
                <w:sz w:val="20"/>
              </w:rPr>
              <w:t>Normal Samples</w:t>
            </w:r>
          </w:p>
        </w:tc>
        <w:tc>
          <w:tcPr>
            <w:tcW w:type="dxa" w:w="1884"/>
          </w:tcPr>
          <w:p>
            <w:pPr>
              <w:jc w:val="center"/>
            </w:pPr>
            <w:r>
              <w:rPr>
                <w:rFonts w:ascii="DFKai-SB" w:hAnsi="DFKai-SB" w:eastAsia="DFKai-SB"/>
                <w:b/>
                <w:sz w:val="20"/>
              </w:rPr>
              <w:t>Total Samples</w:t>
            </w:r>
          </w:p>
        </w:tc>
      </w:tr>
      <w:tr>
        <w:tc>
          <w:tcPr>
            <w:tcW w:type="dxa" w:w="1884"/>
          </w:tcPr>
          <w:p>
            <w:pPr>
              <w:jc w:val="left"/>
            </w:pPr>
            <w:r>
              <w:rPr>
                <w:rFonts w:ascii="DFKai-SB" w:hAnsi="DFKai-SB" w:eastAsia="DFKai-SB"/>
                <w:sz w:val="20"/>
              </w:rPr>
              <w:t>TCGA-PAAD</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178</w:t>
            </w:r>
          </w:p>
        </w:tc>
        <w:tc>
          <w:tcPr>
            <w:tcW w:type="dxa" w:w="1884"/>
          </w:tcPr>
          <w:p>
            <w:pPr>
              <w:jc w:val="center"/>
            </w:pPr>
            <w:r>
              <w:rPr>
                <w:rFonts w:ascii="DFKai-SB" w:hAnsi="DFKai-SB" w:eastAsia="DFKai-SB"/>
                <w:sz w:val="20"/>
              </w:rPr>
              <w:t>0</w:t>
            </w:r>
          </w:p>
        </w:tc>
        <w:tc>
          <w:tcPr>
            <w:tcW w:type="dxa" w:w="1884"/>
          </w:tcPr>
          <w:p>
            <w:pPr>
              <w:jc w:val="center"/>
            </w:pPr>
            <w:r>
              <w:rPr>
                <w:rFonts w:ascii="DFKai-SB" w:hAnsi="DFKai-SB" w:eastAsia="DFKai-SB"/>
                <w:sz w:val="20"/>
              </w:rPr>
              <w:t>178</w:t>
            </w:r>
          </w:p>
        </w:tc>
      </w:tr>
      <w:tr>
        <w:tc>
          <w:tcPr>
            <w:tcW w:type="dxa" w:w="1884"/>
          </w:tcPr>
          <w:p>
            <w:pPr>
              <w:jc w:val="left"/>
            </w:pPr>
            <w:r>
              <w:rPr>
                <w:rFonts w:ascii="DFKai-SB" w:hAnsi="DFKai-SB" w:eastAsia="DFKai-SB"/>
                <w:sz w:val="20"/>
              </w:rPr>
              <w:t>GTEx Pancreas</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0</w:t>
            </w:r>
          </w:p>
        </w:tc>
        <w:tc>
          <w:tcPr>
            <w:tcW w:type="dxa" w:w="1884"/>
          </w:tcPr>
          <w:p>
            <w:pPr>
              <w:jc w:val="center"/>
            </w:pPr>
            <w:r>
              <w:rPr>
                <w:rFonts w:ascii="DFKai-SB" w:hAnsi="DFKai-SB" w:eastAsia="DFKai-SB"/>
                <w:sz w:val="20"/>
              </w:rPr>
              <w:t>167</w:t>
            </w:r>
          </w:p>
        </w:tc>
        <w:tc>
          <w:tcPr>
            <w:tcW w:type="dxa" w:w="1884"/>
          </w:tcPr>
          <w:p>
            <w:pPr>
              <w:jc w:val="center"/>
            </w:pPr>
            <w:r>
              <w:rPr>
                <w:rFonts w:ascii="DFKai-SB" w:hAnsi="DFKai-SB" w:eastAsia="DFKai-SB"/>
                <w:sz w:val="20"/>
              </w:rPr>
              <w:t>167</w:t>
            </w:r>
          </w:p>
        </w:tc>
      </w:tr>
      <w:tr>
        <w:tc>
          <w:tcPr>
            <w:tcW w:type="dxa" w:w="1884"/>
          </w:tcPr>
          <w:p>
            <w:pPr>
              <w:jc w:val="left"/>
            </w:pPr>
            <w:r>
              <w:rPr>
                <w:rFonts w:ascii="DFKai-SB" w:hAnsi="DFKai-SB" w:eastAsia="DFKai-SB"/>
                <w:sz w:val="20"/>
              </w:rPr>
              <w:t>Discovery Cohort (Combined)</w:t>
            </w:r>
          </w:p>
        </w:tc>
        <w:tc>
          <w:tcPr>
            <w:tcW w:type="dxa" w:w="1884"/>
          </w:tcPr>
          <w:p>
            <w:pPr>
              <w:jc w:val="center"/>
            </w:pPr>
            <w:r>
              <w:rPr>
                <w:rFonts w:ascii="DFKai-SB" w:hAnsi="DFKai-SB" w:eastAsia="DFKai-SB"/>
                <w:sz w:val="20"/>
              </w:rPr>
              <w:t>RNA-seq (RSEM TPM)</w:t>
            </w:r>
          </w:p>
        </w:tc>
        <w:tc>
          <w:tcPr>
            <w:tcW w:type="dxa" w:w="1884"/>
          </w:tcPr>
          <w:p>
            <w:pPr>
              <w:jc w:val="center"/>
            </w:pPr>
            <w:r>
              <w:rPr>
                <w:rFonts w:ascii="DFKai-SB" w:hAnsi="DFKai-SB" w:eastAsia="DFKai-SB"/>
                <w:sz w:val="20"/>
              </w:rPr>
              <w:t>178</w:t>
            </w:r>
          </w:p>
        </w:tc>
        <w:tc>
          <w:tcPr>
            <w:tcW w:type="dxa" w:w="1884"/>
          </w:tcPr>
          <w:p>
            <w:pPr>
              <w:jc w:val="center"/>
            </w:pPr>
            <w:r>
              <w:rPr>
                <w:rFonts w:ascii="DFKai-SB" w:hAnsi="DFKai-SB" w:eastAsia="DFKai-SB"/>
                <w:sz w:val="20"/>
              </w:rPr>
              <w:t>167</w:t>
            </w:r>
          </w:p>
        </w:tc>
        <w:tc>
          <w:tcPr>
            <w:tcW w:type="dxa" w:w="1884"/>
          </w:tcPr>
          <w:p>
            <w:pPr>
              <w:jc w:val="center"/>
            </w:pPr>
            <w:r>
              <w:rPr>
                <w:rFonts w:ascii="DFKai-SB" w:hAnsi="DFKai-SB" w:eastAsia="DFKai-SB"/>
                <w:sz w:val="20"/>
              </w:rPr>
              <w:t>345</w:t>
            </w:r>
          </w:p>
        </w:tc>
      </w:tr>
      <w:tr>
        <w:tc>
          <w:tcPr>
            <w:tcW w:type="dxa" w:w="1884"/>
          </w:tcPr>
          <w:p>
            <w:pPr>
              <w:jc w:val="left"/>
            </w:pPr>
            <w:r>
              <w:rPr>
                <w:rFonts w:ascii="DFKai-SB" w:hAnsi="DFKai-SB" w:eastAsia="DFKai-SB"/>
                <w:sz w:val="20"/>
              </w:rPr>
              <w:t>GSE62452 (External Validation)</w:t>
            </w:r>
          </w:p>
        </w:tc>
        <w:tc>
          <w:tcPr>
            <w:tcW w:type="dxa" w:w="1884"/>
          </w:tcPr>
          <w:p>
            <w:pPr>
              <w:jc w:val="center"/>
            </w:pPr>
            <w:r>
              <w:rPr>
                <w:rFonts w:ascii="DFKai-SB" w:hAnsi="DFKai-SB" w:eastAsia="DFKai-SB"/>
                <w:sz w:val="20"/>
              </w:rPr>
              <w:t>Microarray (Affymetrix GPL6244)</w:t>
            </w:r>
          </w:p>
        </w:tc>
        <w:tc>
          <w:tcPr>
            <w:tcW w:type="dxa" w:w="1884"/>
          </w:tcPr>
          <w:p>
            <w:pPr>
              <w:jc w:val="center"/>
            </w:pPr>
            <w:r>
              <w:rPr>
                <w:rFonts w:ascii="DFKai-SB" w:hAnsi="DFKai-SB" w:eastAsia="DFKai-SB"/>
                <w:sz w:val="20"/>
              </w:rPr>
              <w:t>69</w:t>
            </w:r>
          </w:p>
        </w:tc>
        <w:tc>
          <w:tcPr>
            <w:tcW w:type="dxa" w:w="1884"/>
          </w:tcPr>
          <w:p>
            <w:pPr>
              <w:jc w:val="center"/>
            </w:pPr>
            <w:r>
              <w:rPr>
                <w:rFonts w:ascii="DFKai-SB" w:hAnsi="DFKai-SB" w:eastAsia="DFKai-SB"/>
                <w:sz w:val="20"/>
              </w:rPr>
              <w:t>61</w:t>
            </w:r>
          </w:p>
        </w:tc>
        <w:tc>
          <w:tcPr>
            <w:tcW w:type="dxa" w:w="1884"/>
          </w:tcPr>
          <w:p>
            <w:pPr>
              <w:jc w:val="center"/>
            </w:pPr>
            <w:r>
              <w:rPr>
                <w:rFonts w:ascii="DFKai-SB" w:hAnsi="DFKai-SB" w:eastAsia="DFKai-SB"/>
                <w:sz w:val="20"/>
              </w:rPr>
              <w:t>130</w:t>
            </w:r>
          </w:p>
        </w:tc>
      </w:tr>
    </w:tbl>
    <w:p>
      <w:pPr>
        <w:spacing w:after="120"/>
      </w:pPr>
    </w:p>
    <w:p>
      <w:pPr>
        <w:spacing w:before="240" w:after="120"/>
      </w:pPr>
      <w:r>
        <w:rPr>
          <w:rFonts w:ascii="DFKai-SB" w:hAnsi="DFKai-SB" w:eastAsia="DFKai-SB"/>
          <w:b/>
          <w:sz w:val="36"/>
        </w:rPr>
        <w:t>四、運算分析管線</w:t>
      </w:r>
    </w:p>
    <w:p>
      <w:pPr>
        <w:spacing w:after="120" w:line="360" w:lineRule="auto"/>
      </w:pPr>
      <w:r>
        <w:rPr>
          <w:rFonts w:ascii="DFKai-SB" w:hAnsi="DFKai-SB" w:eastAsia="DFKai-SB"/>
          <w:b w:val="0"/>
          <w:i w:val="0"/>
          <w:sz w:val="24"/>
        </w:rPr>
        <w:t>本研究的運算分析管線完全使用 Python 3.9 開發，並在台灣國家高速網路與計算中心 (NCHC) 的生物醫學節點上執行。管線包含九個核心步驟：(1) 數據自動下載與解壓縮，(2) 樣本分組提取與近零變異基因過濾，(3) 基於 Welch's t-test 與 Benjamini-Hochberg FDR 修正的差異表達分析，(4) 機器學習分類器 (L1 正則化邏輯斯迴歸、隨機森林、XGBoost) 的訓練與交叉驗證，(5) 應用 SHAP 分析模型進行特徵重要性 (feature importance) 排序，(6) 由 SHAP 依賴圖推估特徵的活化閾值 (Inflection point)，(7) 進行候選基因對的正交性評估與綜合評分，(8) 基於希爾方程式對及閘進行雙輸入數學建模與參數掃描，以及 (9) 藉由閾值敏感度分析與 1,000 次隨機基因對排列控制進行穩健性評估。</w:t>
      </w:r>
    </w:p>
    <w:p>
      <w:pPr>
        <w:spacing w:before="240" w:after="120"/>
      </w:pPr>
      <w:r>
        <w:rPr>
          <w:rFonts w:ascii="DFKai-SB" w:hAnsi="DFKai-SB" w:eastAsia="DFKai-SB"/>
          <w:b/>
          <w:sz w:val="36"/>
        </w:rPr>
        <w:t>五、品質控制與批次效應評估</w:t>
      </w:r>
    </w:p>
    <w:p>
      <w:pPr>
        <w:spacing w:after="120" w:line="360" w:lineRule="auto"/>
      </w:pPr>
      <w:r>
        <w:rPr>
          <w:rFonts w:ascii="DFKai-SB" w:hAnsi="DFKai-SB" w:eastAsia="DFKai-SB"/>
          <w:b w:val="0"/>
          <w:i w:val="0"/>
          <w:sz w:val="24"/>
        </w:rPr>
        <w:t>我們對 TOIL 平台的 TPM 表達矩陣進行了嚴格的品質控制 (QC)。在 60,498 個註冊基因中，過濾掉在所有樣本中變異度為零的基因，最終保留 58,581 個基因。樣本分組分布均衡 (178 個腫瘤樣本，167 個健康樣本)。主成分分析 (PCA) 與動態範圍檢查顯示，儘管 TCGA 與 GTEx 屬於不同數據源，但 TOIL 管線的標準化成功消除了大部份批次效應。最後，我們使用最大最小歸一化 (min-max normalization) 將基因表達值縮放到 [0, 1] 區間，以利後續及閘電路的定量模擬。</w:t>
      </w:r>
    </w:p>
    <w:p>
      <w:pPr>
        <w:spacing w:before="240" w:after="120"/>
      </w:pPr>
      <w:r>
        <w:rPr>
          <w:rFonts w:ascii="DFKai-SB" w:hAnsi="DFKai-SB" w:eastAsia="DFKai-SB"/>
          <w:b/>
          <w:sz w:val="36"/>
        </w:rPr>
        <w:t>六、差異表現分析</w:t>
      </w:r>
    </w:p>
    <w:p>
      <w:pPr>
        <w:spacing w:after="120" w:line="360" w:lineRule="auto"/>
      </w:pPr>
      <w:r>
        <w:rPr>
          <w:rFonts w:ascii="DFKai-SB" w:hAnsi="DFKai-SB" w:eastAsia="DFKai-SB"/>
          <w:b w:val="0"/>
          <w:i w:val="0"/>
          <w:sz w:val="24"/>
        </w:rPr>
        <w:t>我們對 178 個胰臟癌樣本與 167 個正常組織進行了差異表現分析。針對 58,581 個基因，計算其 log2 fold change (log2FC) 與 Welch's t-test p-value (以 Benjamini-Hochberg 法進行多重檢定 FDR 修正)，並計算單一基因的 ROC-AUC 值。腫瘤高表達候選基因定義為 log2FC &gt;= 1.0 且 FDR &lt; 0.05，共篩選出 19,399 個符合條件的基因。為進一步排序，我們計算了特徵特異性得分 (Specificity Score = AUC * log2FC)。火山圖 (Volcano plot) 清楚標示出 UBE2S 與 CCR6 等基因在胰臟癌中呈現顯著上調。</w:t>
      </w:r>
    </w:p>
    <w:p>
      <w:pPr>
        <w:spacing w:after="80"/>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4572000" cy="3429000"/>
                    </a:xfrm>
                    <a:prstGeom prst="rect"/>
                  </pic:spPr>
                </pic:pic>
              </a:graphicData>
            </a:graphic>
          </wp:inline>
        </w:drawing>
      </w:r>
    </w:p>
    <w:p>
      <w:pPr>
        <w:spacing w:after="240"/>
        <w:jc w:val="center"/>
      </w:pPr>
      <w:r>
        <w:rPr>
          <w:rFonts w:ascii="DFKai-SB" w:hAnsi="DFKai-SB" w:eastAsia="DFKai-SB"/>
          <w:i/>
          <w:sz w:val="20"/>
        </w:rPr>
        <w:t>Figure: 發現世代之火山圖</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DFKai-SB" w:hAnsi="DFKai-SB" w:eastAsia="DFKai-SB"/>
                <w:b/>
                <w:sz w:val="20"/>
              </w:rPr>
              <w:t>Gene</w:t>
            </w:r>
          </w:p>
        </w:tc>
        <w:tc>
          <w:tcPr>
            <w:tcW w:type="dxa" w:w="1345"/>
          </w:tcPr>
          <w:p>
            <w:pPr>
              <w:jc w:val="center"/>
            </w:pPr>
            <w:r>
              <w:rPr>
                <w:rFonts w:ascii="DFKai-SB" w:hAnsi="DFKai-SB" w:eastAsia="DFKai-SB"/>
                <w:b/>
                <w:sz w:val="20"/>
              </w:rPr>
              <w:t>Mean Tumor (log2 TPM)</w:t>
            </w:r>
          </w:p>
        </w:tc>
        <w:tc>
          <w:tcPr>
            <w:tcW w:type="dxa" w:w="1345"/>
          </w:tcPr>
          <w:p>
            <w:pPr>
              <w:jc w:val="center"/>
            </w:pPr>
            <w:r>
              <w:rPr>
                <w:rFonts w:ascii="DFKai-SB" w:hAnsi="DFKai-SB" w:eastAsia="DFKai-SB"/>
                <w:b/>
                <w:sz w:val="20"/>
              </w:rPr>
              <w:t>Mean Normal (log2 TPM)</w:t>
            </w:r>
          </w:p>
        </w:tc>
        <w:tc>
          <w:tcPr>
            <w:tcW w:type="dxa" w:w="1345"/>
          </w:tcPr>
          <w:p>
            <w:pPr>
              <w:jc w:val="center"/>
            </w:pPr>
            <w:r>
              <w:rPr>
                <w:rFonts w:ascii="DFKai-SB" w:hAnsi="DFKai-SB" w:eastAsia="DFKai-SB"/>
                <w:b/>
                <w:sz w:val="20"/>
              </w:rPr>
              <w:t>log2FC</w:t>
            </w:r>
          </w:p>
        </w:tc>
        <w:tc>
          <w:tcPr>
            <w:tcW w:type="dxa" w:w="1345"/>
          </w:tcPr>
          <w:p>
            <w:pPr>
              <w:jc w:val="center"/>
            </w:pPr>
            <w:r>
              <w:rPr>
                <w:rFonts w:ascii="DFKai-SB" w:hAnsi="DFKai-SB" w:eastAsia="DFKai-SB"/>
                <w:b/>
                <w:sz w:val="20"/>
              </w:rPr>
              <w:t>FDR</w:t>
            </w:r>
          </w:p>
        </w:tc>
        <w:tc>
          <w:tcPr>
            <w:tcW w:type="dxa" w:w="1345"/>
          </w:tcPr>
          <w:p>
            <w:pPr>
              <w:jc w:val="center"/>
            </w:pPr>
            <w:r>
              <w:rPr>
                <w:rFonts w:ascii="DFKai-SB" w:hAnsi="DFKai-SB" w:eastAsia="DFKai-SB"/>
                <w:b/>
                <w:sz w:val="20"/>
              </w:rPr>
              <w:t>ROC-AUC</w:t>
            </w:r>
          </w:p>
        </w:tc>
        <w:tc>
          <w:tcPr>
            <w:tcW w:type="dxa" w:w="1345"/>
          </w:tcPr>
          <w:p>
            <w:pPr>
              <w:jc w:val="center"/>
            </w:pPr>
            <w:r>
              <w:rPr>
                <w:rFonts w:ascii="DFKai-SB" w:hAnsi="DFKai-SB" w:eastAsia="DFKai-SB"/>
                <w:b/>
                <w:sz w:val="20"/>
              </w:rPr>
              <w:t>Specificity Score</w:t>
            </w:r>
          </w:p>
        </w:tc>
      </w:tr>
      <w:tr>
        <w:tc>
          <w:tcPr>
            <w:tcW w:type="dxa" w:w="1345"/>
          </w:tcPr>
          <w:p>
            <w:pPr>
              <w:jc w:val="left"/>
            </w:pPr>
            <w:r>
              <w:rPr>
                <w:rFonts w:ascii="DFKai-SB" w:hAnsi="DFKai-SB" w:eastAsia="DFKai-SB"/>
                <w:sz w:val="20"/>
              </w:rPr>
              <w:t>S100A6</w:t>
            </w:r>
          </w:p>
        </w:tc>
        <w:tc>
          <w:tcPr>
            <w:tcW w:type="dxa" w:w="1345"/>
          </w:tcPr>
          <w:p>
            <w:pPr>
              <w:jc w:val="center"/>
            </w:pPr>
            <w:r>
              <w:rPr>
                <w:rFonts w:ascii="DFKai-SB" w:hAnsi="DFKai-SB" w:eastAsia="DFKai-SB"/>
                <w:sz w:val="20"/>
              </w:rPr>
              <w:t>12.088</w:t>
            </w:r>
          </w:p>
        </w:tc>
        <w:tc>
          <w:tcPr>
            <w:tcW w:type="dxa" w:w="1345"/>
          </w:tcPr>
          <w:p>
            <w:pPr>
              <w:jc w:val="center"/>
            </w:pPr>
            <w:r>
              <w:rPr>
                <w:rFonts w:ascii="DFKai-SB" w:hAnsi="DFKai-SB" w:eastAsia="DFKai-SB"/>
                <w:sz w:val="20"/>
              </w:rPr>
              <w:t>5.676</w:t>
            </w:r>
          </w:p>
        </w:tc>
        <w:tc>
          <w:tcPr>
            <w:tcW w:type="dxa" w:w="1345"/>
          </w:tcPr>
          <w:p>
            <w:pPr>
              <w:jc w:val="center"/>
            </w:pPr>
            <w:r>
              <w:rPr>
                <w:rFonts w:ascii="DFKai-SB" w:hAnsi="DFKai-SB" w:eastAsia="DFKai-SB"/>
                <w:sz w:val="20"/>
              </w:rPr>
              <w:t>6.411</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0.997</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TMSB10</w:t>
            </w:r>
          </w:p>
        </w:tc>
        <w:tc>
          <w:tcPr>
            <w:tcW w:type="dxa" w:w="1345"/>
          </w:tcPr>
          <w:p>
            <w:pPr>
              <w:jc w:val="center"/>
            </w:pPr>
            <w:r>
              <w:rPr>
                <w:rFonts w:ascii="DFKai-SB" w:hAnsi="DFKai-SB" w:eastAsia="DFKai-SB"/>
                <w:sz w:val="20"/>
              </w:rPr>
              <w:t>11.969</w:t>
            </w:r>
          </w:p>
        </w:tc>
        <w:tc>
          <w:tcPr>
            <w:tcW w:type="dxa" w:w="1345"/>
          </w:tcPr>
          <w:p>
            <w:pPr>
              <w:jc w:val="center"/>
            </w:pPr>
            <w:r>
              <w:rPr>
                <w:rFonts w:ascii="DFKai-SB" w:hAnsi="DFKai-SB" w:eastAsia="DFKai-SB"/>
                <w:sz w:val="20"/>
              </w:rPr>
              <w:t>7.844</w:t>
            </w:r>
          </w:p>
        </w:tc>
        <w:tc>
          <w:tcPr>
            <w:tcW w:type="dxa" w:w="1345"/>
          </w:tcPr>
          <w:p>
            <w:pPr>
              <w:jc w:val="center"/>
            </w:pPr>
            <w:r>
              <w:rPr>
                <w:rFonts w:ascii="DFKai-SB" w:hAnsi="DFKai-SB" w:eastAsia="DFKai-SB"/>
                <w:sz w:val="20"/>
              </w:rPr>
              <w:t>4.125</w:t>
            </w:r>
          </w:p>
        </w:tc>
        <w:tc>
          <w:tcPr>
            <w:tcW w:type="dxa" w:w="1345"/>
          </w:tcPr>
          <w:p>
            <w:pPr>
              <w:jc w:val="center"/>
            </w:pPr>
            <w:r>
              <w:rPr>
                <w:rFonts w:ascii="DFKai-SB" w:hAnsi="DFKai-SB" w:eastAsia="DFKai-SB"/>
                <w:sz w:val="20"/>
              </w:rPr>
              <w:t>5.07e-54</w:t>
            </w:r>
          </w:p>
        </w:tc>
        <w:tc>
          <w:tcPr>
            <w:tcW w:type="dxa" w:w="1345"/>
          </w:tcPr>
          <w:p>
            <w:pPr>
              <w:jc w:val="center"/>
            </w:pPr>
            <w:r>
              <w:rPr>
                <w:rFonts w:ascii="DFKai-SB" w:hAnsi="DFKai-SB" w:eastAsia="DFKai-SB"/>
                <w:sz w:val="20"/>
              </w:rPr>
              <w:t>0.994</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ACTB</w:t>
            </w:r>
          </w:p>
        </w:tc>
        <w:tc>
          <w:tcPr>
            <w:tcW w:type="dxa" w:w="1345"/>
          </w:tcPr>
          <w:p>
            <w:pPr>
              <w:jc w:val="center"/>
            </w:pPr>
            <w:r>
              <w:rPr>
                <w:rFonts w:ascii="DFKai-SB" w:hAnsi="DFKai-SB" w:eastAsia="DFKai-SB"/>
                <w:sz w:val="20"/>
              </w:rPr>
              <w:t>11.860</w:t>
            </w:r>
          </w:p>
        </w:tc>
        <w:tc>
          <w:tcPr>
            <w:tcW w:type="dxa" w:w="1345"/>
          </w:tcPr>
          <w:p>
            <w:pPr>
              <w:jc w:val="center"/>
            </w:pPr>
            <w:r>
              <w:rPr>
                <w:rFonts w:ascii="DFKai-SB" w:hAnsi="DFKai-SB" w:eastAsia="DFKai-SB"/>
                <w:sz w:val="20"/>
              </w:rPr>
              <w:t>8.112</w:t>
            </w:r>
          </w:p>
        </w:tc>
        <w:tc>
          <w:tcPr>
            <w:tcW w:type="dxa" w:w="1345"/>
          </w:tcPr>
          <w:p>
            <w:pPr>
              <w:jc w:val="center"/>
            </w:pPr>
            <w:r>
              <w:rPr>
                <w:rFonts w:ascii="DFKai-SB" w:hAnsi="DFKai-SB" w:eastAsia="DFKai-SB"/>
                <w:sz w:val="20"/>
              </w:rPr>
              <w:t>3.748</w:t>
            </w:r>
          </w:p>
        </w:tc>
        <w:tc>
          <w:tcPr>
            <w:tcW w:type="dxa" w:w="1345"/>
          </w:tcPr>
          <w:p>
            <w:pPr>
              <w:jc w:val="center"/>
            </w:pPr>
            <w:r>
              <w:rPr>
                <w:rFonts w:ascii="DFKai-SB" w:hAnsi="DFKai-SB" w:eastAsia="DFKai-SB"/>
                <w:sz w:val="20"/>
              </w:rPr>
              <w:t>5.24e-54</w:t>
            </w:r>
          </w:p>
        </w:tc>
        <w:tc>
          <w:tcPr>
            <w:tcW w:type="dxa" w:w="1345"/>
          </w:tcPr>
          <w:p>
            <w:pPr>
              <w:jc w:val="center"/>
            </w:pPr>
            <w:r>
              <w:rPr>
                <w:rFonts w:ascii="DFKai-SB" w:hAnsi="DFKai-SB" w:eastAsia="DFKai-SB"/>
                <w:sz w:val="20"/>
              </w:rPr>
              <w:t>0.994</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GAPDH</w:t>
            </w:r>
          </w:p>
        </w:tc>
        <w:tc>
          <w:tcPr>
            <w:tcW w:type="dxa" w:w="1345"/>
          </w:tcPr>
          <w:p>
            <w:pPr>
              <w:jc w:val="center"/>
            </w:pPr>
            <w:r>
              <w:rPr>
                <w:rFonts w:ascii="DFKai-SB" w:hAnsi="DFKai-SB" w:eastAsia="DFKai-SB"/>
                <w:sz w:val="20"/>
              </w:rPr>
              <w:t>11.278</w:t>
            </w:r>
          </w:p>
        </w:tc>
        <w:tc>
          <w:tcPr>
            <w:tcW w:type="dxa" w:w="1345"/>
          </w:tcPr>
          <w:p>
            <w:pPr>
              <w:jc w:val="center"/>
            </w:pPr>
            <w:r>
              <w:rPr>
                <w:rFonts w:ascii="DFKai-SB" w:hAnsi="DFKai-SB" w:eastAsia="DFKai-SB"/>
                <w:sz w:val="20"/>
              </w:rPr>
              <w:t>7.693</w:t>
            </w:r>
          </w:p>
        </w:tc>
        <w:tc>
          <w:tcPr>
            <w:tcW w:type="dxa" w:w="1345"/>
          </w:tcPr>
          <w:p>
            <w:pPr>
              <w:jc w:val="center"/>
            </w:pPr>
            <w:r>
              <w:rPr>
                <w:rFonts w:ascii="DFKai-SB" w:hAnsi="DFKai-SB" w:eastAsia="DFKai-SB"/>
                <w:sz w:val="20"/>
              </w:rPr>
              <w:t>3.585</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0.997</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CD74</w:t>
            </w:r>
          </w:p>
        </w:tc>
        <w:tc>
          <w:tcPr>
            <w:tcW w:type="dxa" w:w="1345"/>
          </w:tcPr>
          <w:p>
            <w:pPr>
              <w:jc w:val="center"/>
            </w:pPr>
            <w:r>
              <w:rPr>
                <w:rFonts w:ascii="DFKai-SB" w:hAnsi="DFKai-SB" w:eastAsia="DFKai-SB"/>
                <w:sz w:val="20"/>
              </w:rPr>
              <w:t>10.936</w:t>
            </w:r>
          </w:p>
        </w:tc>
        <w:tc>
          <w:tcPr>
            <w:tcW w:type="dxa" w:w="1345"/>
          </w:tcPr>
          <w:p>
            <w:pPr>
              <w:jc w:val="center"/>
            </w:pPr>
            <w:r>
              <w:rPr>
                <w:rFonts w:ascii="DFKai-SB" w:hAnsi="DFKai-SB" w:eastAsia="DFKai-SB"/>
                <w:sz w:val="20"/>
              </w:rPr>
              <w:t>6.492</w:t>
            </w:r>
          </w:p>
        </w:tc>
        <w:tc>
          <w:tcPr>
            <w:tcW w:type="dxa" w:w="1345"/>
          </w:tcPr>
          <w:p>
            <w:pPr>
              <w:jc w:val="center"/>
            </w:pPr>
            <w:r>
              <w:rPr>
                <w:rFonts w:ascii="DFKai-SB" w:hAnsi="DFKai-SB" w:eastAsia="DFKai-SB"/>
                <w:sz w:val="20"/>
              </w:rPr>
              <w:t>4.444</w:t>
            </w:r>
          </w:p>
        </w:tc>
        <w:tc>
          <w:tcPr>
            <w:tcW w:type="dxa" w:w="1345"/>
          </w:tcPr>
          <w:p>
            <w:pPr>
              <w:jc w:val="center"/>
            </w:pPr>
            <w:r>
              <w:rPr>
                <w:rFonts w:ascii="DFKai-SB" w:hAnsi="DFKai-SB" w:eastAsia="DFKai-SB"/>
                <w:sz w:val="20"/>
              </w:rPr>
              <w:t>6.15e-54</w:t>
            </w:r>
          </w:p>
        </w:tc>
        <w:tc>
          <w:tcPr>
            <w:tcW w:type="dxa" w:w="1345"/>
          </w:tcPr>
          <w:p>
            <w:pPr>
              <w:jc w:val="center"/>
            </w:pPr>
            <w:r>
              <w:rPr>
                <w:rFonts w:ascii="DFKai-SB" w:hAnsi="DFKai-SB" w:eastAsia="DFKai-SB"/>
                <w:sz w:val="20"/>
              </w:rPr>
              <w:t>0.992</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SPARC</w:t>
            </w:r>
          </w:p>
        </w:tc>
        <w:tc>
          <w:tcPr>
            <w:tcW w:type="dxa" w:w="1345"/>
          </w:tcPr>
          <w:p>
            <w:pPr>
              <w:jc w:val="center"/>
            </w:pPr>
            <w:r>
              <w:rPr>
                <w:rFonts w:ascii="DFKai-SB" w:hAnsi="DFKai-SB" w:eastAsia="DFKai-SB"/>
                <w:sz w:val="20"/>
              </w:rPr>
              <w:t>10.873</w:t>
            </w:r>
          </w:p>
        </w:tc>
        <w:tc>
          <w:tcPr>
            <w:tcW w:type="dxa" w:w="1345"/>
          </w:tcPr>
          <w:p>
            <w:pPr>
              <w:jc w:val="center"/>
            </w:pPr>
            <w:r>
              <w:rPr>
                <w:rFonts w:ascii="DFKai-SB" w:hAnsi="DFKai-SB" w:eastAsia="DFKai-SB"/>
                <w:sz w:val="20"/>
              </w:rPr>
              <w:t>5.454</w:t>
            </w:r>
          </w:p>
        </w:tc>
        <w:tc>
          <w:tcPr>
            <w:tcW w:type="dxa" w:w="1345"/>
          </w:tcPr>
          <w:p>
            <w:pPr>
              <w:jc w:val="center"/>
            </w:pPr>
            <w:r>
              <w:rPr>
                <w:rFonts w:ascii="DFKai-SB" w:hAnsi="DFKai-SB" w:eastAsia="DFKai-SB"/>
                <w:sz w:val="20"/>
              </w:rPr>
              <w:t>5.419</w:t>
            </w:r>
          </w:p>
        </w:tc>
        <w:tc>
          <w:tcPr>
            <w:tcW w:type="dxa" w:w="1345"/>
          </w:tcPr>
          <w:p>
            <w:pPr>
              <w:jc w:val="center"/>
            </w:pPr>
            <w:r>
              <w:rPr>
                <w:rFonts w:ascii="DFKai-SB" w:hAnsi="DFKai-SB" w:eastAsia="DFKai-SB"/>
                <w:sz w:val="20"/>
              </w:rPr>
              <w:t>1.06e-53</w:t>
            </w:r>
          </w:p>
        </w:tc>
        <w:tc>
          <w:tcPr>
            <w:tcW w:type="dxa" w:w="1345"/>
          </w:tcPr>
          <w:p>
            <w:pPr>
              <w:jc w:val="center"/>
            </w:pPr>
            <w:r>
              <w:rPr>
                <w:rFonts w:ascii="DFKai-SB" w:hAnsi="DFKai-SB" w:eastAsia="DFKai-SB"/>
                <w:sz w:val="20"/>
              </w:rPr>
              <w:t>0.990</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S100A11</w:t>
            </w:r>
          </w:p>
        </w:tc>
        <w:tc>
          <w:tcPr>
            <w:tcW w:type="dxa" w:w="1345"/>
          </w:tcPr>
          <w:p>
            <w:pPr>
              <w:jc w:val="center"/>
            </w:pPr>
            <w:r>
              <w:rPr>
                <w:rFonts w:ascii="DFKai-SB" w:hAnsi="DFKai-SB" w:eastAsia="DFKai-SB"/>
                <w:sz w:val="20"/>
              </w:rPr>
              <w:t>10.638</w:t>
            </w:r>
          </w:p>
        </w:tc>
        <w:tc>
          <w:tcPr>
            <w:tcW w:type="dxa" w:w="1345"/>
          </w:tcPr>
          <w:p>
            <w:pPr>
              <w:jc w:val="center"/>
            </w:pPr>
            <w:r>
              <w:rPr>
                <w:rFonts w:ascii="DFKai-SB" w:hAnsi="DFKai-SB" w:eastAsia="DFKai-SB"/>
                <w:sz w:val="20"/>
              </w:rPr>
              <w:t>6.233</w:t>
            </w:r>
          </w:p>
        </w:tc>
        <w:tc>
          <w:tcPr>
            <w:tcW w:type="dxa" w:w="1345"/>
          </w:tcPr>
          <w:p>
            <w:pPr>
              <w:jc w:val="center"/>
            </w:pPr>
            <w:r>
              <w:rPr>
                <w:rFonts w:ascii="DFKai-SB" w:hAnsi="DFKai-SB" w:eastAsia="DFKai-SB"/>
                <w:sz w:val="20"/>
              </w:rPr>
              <w:t>4.405</w:t>
            </w:r>
          </w:p>
        </w:tc>
        <w:tc>
          <w:tcPr>
            <w:tcW w:type="dxa" w:w="1345"/>
          </w:tcPr>
          <w:p>
            <w:pPr>
              <w:jc w:val="center"/>
            </w:pPr>
            <w:r>
              <w:rPr>
                <w:rFonts w:ascii="DFKai-SB" w:hAnsi="DFKai-SB" w:eastAsia="DFKai-SB"/>
                <w:sz w:val="20"/>
              </w:rPr>
              <w:t>2.00e-51</w:t>
            </w:r>
          </w:p>
        </w:tc>
        <w:tc>
          <w:tcPr>
            <w:tcW w:type="dxa" w:w="1345"/>
          </w:tcPr>
          <w:p>
            <w:pPr>
              <w:jc w:val="center"/>
            </w:pPr>
            <w:r>
              <w:rPr>
                <w:rFonts w:ascii="DFKai-SB" w:hAnsi="DFKai-SB" w:eastAsia="DFKai-SB"/>
                <w:sz w:val="20"/>
              </w:rPr>
              <w:t>0.976</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CD63</w:t>
            </w:r>
          </w:p>
        </w:tc>
        <w:tc>
          <w:tcPr>
            <w:tcW w:type="dxa" w:w="1345"/>
          </w:tcPr>
          <w:p>
            <w:pPr>
              <w:jc w:val="center"/>
            </w:pPr>
            <w:r>
              <w:rPr>
                <w:rFonts w:ascii="DFKai-SB" w:hAnsi="DFKai-SB" w:eastAsia="DFKai-SB"/>
                <w:sz w:val="20"/>
              </w:rPr>
              <w:t>10.570</w:t>
            </w:r>
          </w:p>
        </w:tc>
        <w:tc>
          <w:tcPr>
            <w:tcW w:type="dxa" w:w="1345"/>
          </w:tcPr>
          <w:p>
            <w:pPr>
              <w:jc w:val="center"/>
            </w:pPr>
            <w:r>
              <w:rPr>
                <w:rFonts w:ascii="DFKai-SB" w:hAnsi="DFKai-SB" w:eastAsia="DFKai-SB"/>
                <w:sz w:val="20"/>
              </w:rPr>
              <w:t>8.242</w:t>
            </w:r>
          </w:p>
        </w:tc>
        <w:tc>
          <w:tcPr>
            <w:tcW w:type="dxa" w:w="1345"/>
          </w:tcPr>
          <w:p>
            <w:pPr>
              <w:jc w:val="center"/>
            </w:pPr>
            <w:r>
              <w:rPr>
                <w:rFonts w:ascii="DFKai-SB" w:hAnsi="DFKai-SB" w:eastAsia="DFKai-SB"/>
                <w:sz w:val="20"/>
              </w:rPr>
              <w:t>2.328</w:t>
            </w:r>
          </w:p>
        </w:tc>
        <w:tc>
          <w:tcPr>
            <w:tcW w:type="dxa" w:w="1345"/>
          </w:tcPr>
          <w:p>
            <w:pPr>
              <w:jc w:val="center"/>
            </w:pPr>
            <w:r>
              <w:rPr>
                <w:rFonts w:ascii="DFKai-SB" w:hAnsi="DFKai-SB" w:eastAsia="DFKai-SB"/>
                <w:sz w:val="20"/>
              </w:rPr>
              <w:t>3.98e-54</w:t>
            </w:r>
          </w:p>
        </w:tc>
        <w:tc>
          <w:tcPr>
            <w:tcW w:type="dxa" w:w="1345"/>
          </w:tcPr>
          <w:p>
            <w:pPr>
              <w:jc w:val="center"/>
            </w:pPr>
            <w:r>
              <w:rPr>
                <w:rFonts w:ascii="DFKai-SB" w:hAnsi="DFKai-SB" w:eastAsia="DFKai-SB"/>
                <w:sz w:val="20"/>
              </w:rPr>
              <w:t>0.998</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ANXA2</w:t>
            </w:r>
          </w:p>
        </w:tc>
        <w:tc>
          <w:tcPr>
            <w:tcW w:type="dxa" w:w="1345"/>
          </w:tcPr>
          <w:p>
            <w:pPr>
              <w:jc w:val="center"/>
            </w:pPr>
            <w:r>
              <w:rPr>
                <w:rFonts w:ascii="DFKai-SB" w:hAnsi="DFKai-SB" w:eastAsia="DFKai-SB"/>
                <w:sz w:val="20"/>
              </w:rPr>
              <w:t>10.566</w:t>
            </w:r>
          </w:p>
        </w:tc>
        <w:tc>
          <w:tcPr>
            <w:tcW w:type="dxa" w:w="1345"/>
          </w:tcPr>
          <w:p>
            <w:pPr>
              <w:jc w:val="center"/>
            </w:pPr>
            <w:r>
              <w:rPr>
                <w:rFonts w:ascii="DFKai-SB" w:hAnsi="DFKai-SB" w:eastAsia="DFKai-SB"/>
                <w:sz w:val="20"/>
              </w:rPr>
              <w:t>6.667</w:t>
            </w:r>
          </w:p>
        </w:tc>
        <w:tc>
          <w:tcPr>
            <w:tcW w:type="dxa" w:w="1345"/>
          </w:tcPr>
          <w:p>
            <w:pPr>
              <w:jc w:val="center"/>
            </w:pPr>
            <w:r>
              <w:rPr>
                <w:rFonts w:ascii="DFKai-SB" w:hAnsi="DFKai-SB" w:eastAsia="DFKai-SB"/>
                <w:sz w:val="20"/>
              </w:rPr>
              <w:t>3.899</w:t>
            </w:r>
          </w:p>
        </w:tc>
        <w:tc>
          <w:tcPr>
            <w:tcW w:type="dxa" w:w="1345"/>
          </w:tcPr>
          <w:p>
            <w:pPr>
              <w:jc w:val="center"/>
            </w:pPr>
            <w:r>
              <w:rPr>
                <w:rFonts w:ascii="DFKai-SB" w:hAnsi="DFKai-SB" w:eastAsia="DFKai-SB"/>
                <w:sz w:val="20"/>
              </w:rPr>
              <w:t>6.29e-52</w:t>
            </w:r>
          </w:p>
        </w:tc>
        <w:tc>
          <w:tcPr>
            <w:tcW w:type="dxa" w:w="1345"/>
          </w:tcPr>
          <w:p>
            <w:pPr>
              <w:jc w:val="center"/>
            </w:pPr>
            <w:r>
              <w:rPr>
                <w:rFonts w:ascii="DFKai-SB" w:hAnsi="DFKai-SB" w:eastAsia="DFKai-SB"/>
                <w:sz w:val="20"/>
              </w:rPr>
              <w:t>0.979</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PPIA</w:t>
            </w:r>
          </w:p>
        </w:tc>
        <w:tc>
          <w:tcPr>
            <w:tcW w:type="dxa" w:w="1345"/>
          </w:tcPr>
          <w:p>
            <w:pPr>
              <w:jc w:val="center"/>
            </w:pPr>
            <w:r>
              <w:rPr>
                <w:rFonts w:ascii="DFKai-SB" w:hAnsi="DFKai-SB" w:eastAsia="DFKai-SB"/>
                <w:sz w:val="20"/>
              </w:rPr>
              <w:t>10.525</w:t>
            </w:r>
          </w:p>
        </w:tc>
        <w:tc>
          <w:tcPr>
            <w:tcW w:type="dxa" w:w="1345"/>
          </w:tcPr>
          <w:p>
            <w:pPr>
              <w:jc w:val="center"/>
            </w:pPr>
            <w:r>
              <w:rPr>
                <w:rFonts w:ascii="DFKai-SB" w:hAnsi="DFKai-SB" w:eastAsia="DFKai-SB"/>
                <w:sz w:val="20"/>
              </w:rPr>
              <w:t>8.267</w:t>
            </w:r>
          </w:p>
        </w:tc>
        <w:tc>
          <w:tcPr>
            <w:tcW w:type="dxa" w:w="1345"/>
          </w:tcPr>
          <w:p>
            <w:pPr>
              <w:jc w:val="center"/>
            </w:pPr>
            <w:r>
              <w:rPr>
                <w:rFonts w:ascii="DFKai-SB" w:hAnsi="DFKai-SB" w:eastAsia="DFKai-SB"/>
                <w:sz w:val="20"/>
              </w:rPr>
              <w:t>2.258</w:t>
            </w:r>
          </w:p>
        </w:tc>
        <w:tc>
          <w:tcPr>
            <w:tcW w:type="dxa" w:w="1345"/>
          </w:tcPr>
          <w:p>
            <w:pPr>
              <w:jc w:val="center"/>
            </w:pPr>
            <w:r>
              <w:rPr>
                <w:rFonts w:ascii="DFKai-SB" w:hAnsi="DFKai-SB" w:eastAsia="DFKai-SB"/>
                <w:sz w:val="20"/>
              </w:rPr>
              <w:t>1.96e-53</w:t>
            </w:r>
          </w:p>
        </w:tc>
        <w:tc>
          <w:tcPr>
            <w:tcW w:type="dxa" w:w="1345"/>
          </w:tcPr>
          <w:p>
            <w:pPr>
              <w:jc w:val="center"/>
            </w:pPr>
            <w:r>
              <w:rPr>
                <w:rFonts w:ascii="DFKai-SB" w:hAnsi="DFKai-SB" w:eastAsia="DFKai-SB"/>
                <w:sz w:val="20"/>
              </w:rPr>
              <w:t>0.988</w:t>
            </w:r>
          </w:p>
        </w:tc>
        <w:tc>
          <w:tcPr>
            <w:tcW w:type="dxa" w:w="1345"/>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七、機器學習分類器表現</w:t>
      </w:r>
    </w:p>
    <w:p>
      <w:pPr>
        <w:spacing w:after="120" w:line="360" w:lineRule="auto"/>
      </w:pPr>
      <w:r>
        <w:rPr>
          <w:rFonts w:ascii="DFKai-SB" w:hAnsi="DFKai-SB" w:eastAsia="DFKai-SB"/>
          <w:b w:val="0"/>
          <w:i w:val="0"/>
          <w:sz w:val="24"/>
        </w:rPr>
        <w:t>為獲得最稀疏且最具預測力的基因特徵，我們將數據按 80/20 比例劃分訓練集與測試集，訓練了三種機器學習模型：L1 正則化邏輯斯迴歸、隨機森林 (Random Forest) 以及 XGBoost。結果顯示，L1 邏輯斯迴歸在測試集上取得了 1.000 的完美 AUC 以及 100.0% 的準確度，其五折交叉驗證 (5-fold CV) 的 AUC 亦為 1.000 +- 0.000。隨機森林測試集 AUC 為 0.9983，XGBoost 則為 1.000。基於 L1 正則化能將無效權重歸零的稀疏性特徵，以及優異的分類效能，我們選擇 L1 邏輯斯迴歸模型作為後續 SHAP 解釋分析的基礎。</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DFKai-SB" w:hAnsi="DFKai-SB" w:eastAsia="DFKai-SB"/>
                <w:b/>
                <w:sz w:val="20"/>
              </w:rPr>
              <w:t>Classifier Model</w:t>
            </w:r>
          </w:p>
        </w:tc>
        <w:tc>
          <w:tcPr>
            <w:tcW w:type="dxa" w:w="1345"/>
          </w:tcPr>
          <w:p>
            <w:pPr>
              <w:jc w:val="center"/>
            </w:pPr>
            <w:r>
              <w:rPr>
                <w:rFonts w:ascii="DFKai-SB" w:hAnsi="DFKai-SB" w:eastAsia="DFKai-SB"/>
                <w:b/>
                <w:sz w:val="20"/>
              </w:rPr>
              <w:t>Mean 5-Fold CV AUC</w:t>
            </w:r>
          </w:p>
        </w:tc>
        <w:tc>
          <w:tcPr>
            <w:tcW w:type="dxa" w:w="1345"/>
          </w:tcPr>
          <w:p>
            <w:pPr>
              <w:jc w:val="center"/>
            </w:pPr>
            <w:r>
              <w:rPr>
                <w:rFonts w:ascii="DFKai-SB" w:hAnsi="DFKai-SB" w:eastAsia="DFKai-SB"/>
                <w:b/>
                <w:sz w:val="20"/>
              </w:rPr>
              <w:t>Test AUC</w:t>
            </w:r>
          </w:p>
        </w:tc>
        <w:tc>
          <w:tcPr>
            <w:tcW w:type="dxa" w:w="1345"/>
          </w:tcPr>
          <w:p>
            <w:pPr>
              <w:jc w:val="center"/>
            </w:pPr>
            <w:r>
              <w:rPr>
                <w:rFonts w:ascii="DFKai-SB" w:hAnsi="DFKai-SB" w:eastAsia="DFKai-SB"/>
                <w:b/>
                <w:sz w:val="20"/>
              </w:rPr>
              <w:t>Test Accuracy</w:t>
            </w:r>
          </w:p>
        </w:tc>
        <w:tc>
          <w:tcPr>
            <w:tcW w:type="dxa" w:w="1345"/>
          </w:tcPr>
          <w:p>
            <w:pPr>
              <w:jc w:val="center"/>
            </w:pPr>
            <w:r>
              <w:rPr>
                <w:rFonts w:ascii="DFKai-SB" w:hAnsi="DFKai-SB" w:eastAsia="DFKai-SB"/>
                <w:b/>
                <w:sz w:val="20"/>
              </w:rPr>
              <w:t>Sensitivity</w:t>
            </w:r>
          </w:p>
        </w:tc>
        <w:tc>
          <w:tcPr>
            <w:tcW w:type="dxa" w:w="1345"/>
          </w:tcPr>
          <w:p>
            <w:pPr>
              <w:jc w:val="center"/>
            </w:pPr>
            <w:r>
              <w:rPr>
                <w:rFonts w:ascii="DFKai-SB" w:hAnsi="DFKai-SB" w:eastAsia="DFKai-SB"/>
                <w:b/>
                <w:sz w:val="20"/>
              </w:rPr>
              <w:t>Specificity</w:t>
            </w:r>
          </w:p>
        </w:tc>
        <w:tc>
          <w:tcPr>
            <w:tcW w:type="dxa" w:w="1345"/>
          </w:tcPr>
          <w:p>
            <w:pPr>
              <w:jc w:val="center"/>
            </w:pPr>
            <w:r>
              <w:rPr>
                <w:rFonts w:ascii="DFKai-SB" w:hAnsi="DFKai-SB" w:eastAsia="DFKai-SB"/>
                <w:b/>
                <w:sz w:val="20"/>
              </w:rPr>
              <w:t>F1 Score</w:t>
            </w:r>
          </w:p>
        </w:tc>
      </w:tr>
      <w:tr>
        <w:tc>
          <w:tcPr>
            <w:tcW w:type="dxa" w:w="1345"/>
          </w:tcPr>
          <w:p>
            <w:pPr>
              <w:jc w:val="left"/>
            </w:pPr>
            <w:r>
              <w:rPr>
                <w:rFonts w:ascii="DFKai-SB" w:hAnsi="DFKai-SB" w:eastAsia="DFKai-SB"/>
                <w:sz w:val="20"/>
              </w:rPr>
              <w:t>Logistic Regression L1</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r>
      <w:tr>
        <w:tc>
          <w:tcPr>
            <w:tcW w:type="dxa" w:w="1345"/>
          </w:tcPr>
          <w:p>
            <w:pPr>
              <w:jc w:val="left"/>
            </w:pPr>
            <w:r>
              <w:rPr>
                <w:rFonts w:ascii="DFKai-SB" w:hAnsi="DFKai-SB" w:eastAsia="DFKai-SB"/>
                <w:sz w:val="20"/>
              </w:rPr>
              <w:t>Random Forest</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0.998</w:t>
            </w:r>
          </w:p>
        </w:tc>
        <w:tc>
          <w:tcPr>
            <w:tcW w:type="dxa" w:w="1345"/>
          </w:tcPr>
          <w:p>
            <w:pPr>
              <w:jc w:val="center"/>
            </w:pPr>
            <w:r>
              <w:rPr>
                <w:rFonts w:ascii="DFKai-SB" w:hAnsi="DFKai-SB" w:eastAsia="DFKai-SB"/>
                <w:sz w:val="20"/>
              </w:rPr>
              <w:t>98.6%</w:t>
            </w:r>
          </w:p>
        </w:tc>
        <w:tc>
          <w:tcPr>
            <w:tcW w:type="dxa" w:w="1345"/>
          </w:tcPr>
          <w:p>
            <w:pPr>
              <w:jc w:val="center"/>
            </w:pPr>
            <w:r>
              <w:rPr>
                <w:rFonts w:ascii="DFKai-SB" w:hAnsi="DFKai-SB" w:eastAsia="DFKai-SB"/>
                <w:sz w:val="20"/>
              </w:rPr>
              <w:t>0.972</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0.986</w:t>
            </w:r>
          </w:p>
        </w:tc>
      </w:tr>
      <w:tr>
        <w:tc>
          <w:tcPr>
            <w:tcW w:type="dxa" w:w="1345"/>
          </w:tcPr>
          <w:p>
            <w:pPr>
              <w:jc w:val="left"/>
            </w:pPr>
            <w:r>
              <w:rPr>
                <w:rFonts w:ascii="DFKai-SB" w:hAnsi="DFKai-SB" w:eastAsia="DFKai-SB"/>
                <w:sz w:val="20"/>
              </w:rPr>
              <w:t>XGBoost</w:t>
            </w:r>
          </w:p>
        </w:tc>
        <w:tc>
          <w:tcPr>
            <w:tcW w:type="dxa" w:w="1345"/>
          </w:tcPr>
          <w:p>
            <w:pPr>
              <w:jc w:val="center"/>
            </w:pPr>
            <w:r>
              <w:rPr>
                <w:rFonts w:ascii="DFKai-SB" w:hAnsi="DFKai-SB" w:eastAsia="DFKai-SB"/>
                <w:sz w:val="20"/>
              </w:rPr>
              <w:t>0.996</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c>
          <w:tcPr>
            <w:tcW w:type="dxa" w:w="1345"/>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八、基於 SHAP 的可解釋型人工智慧分析</w:t>
      </w:r>
    </w:p>
    <w:p>
      <w:pPr>
        <w:spacing w:after="120" w:line="360" w:lineRule="auto"/>
      </w:pPr>
      <w:r>
        <w:rPr>
          <w:rFonts w:ascii="DFKai-SB" w:hAnsi="DFKai-SB" w:eastAsia="DFKai-SB"/>
          <w:b w:val="0"/>
          <w:i w:val="0"/>
          <w:sz w:val="24"/>
        </w:rPr>
        <w:t>我們採用 SHAP 歸因方法對選定的 L1 邏輯斯迴歸模型進行了解釋。SHAP 摘要圖顯示前 15 個對模型決策貢獻最大的基因，其中非編碼 transcripts (如 RP11-40C6.2 與 AC009065.4) 排名最前。為了濕實驗的可行性，我們針對前 100 個 SHAP 基因進行了「依賴性分析」，尋找 SHAP 值從負值(代表健康組織特徵) 轉為正值 (代表腫瘤特徵) 的交叉點，以此拐點作為「模型推估活化閾值 (model-inferred activation threshold)」。此種數據驅動的閾值推估，避免了傳統使用中位數或均值等主觀劃分方式，更能反映分類器的功能邊界。</w:t>
      </w:r>
    </w:p>
    <w:p>
      <w:pPr>
        <w:spacing w:after="8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4572000" cy="2857500"/>
                    </a:xfrm>
                    <a:prstGeom prst="rect"/>
                  </pic:spPr>
                </pic:pic>
              </a:graphicData>
            </a:graphic>
          </wp:inline>
        </w:drawing>
      </w:r>
    </w:p>
    <w:p>
      <w:pPr>
        <w:spacing w:after="240"/>
        <w:jc w:val="center"/>
      </w:pPr>
      <w:r>
        <w:rPr>
          <w:rFonts w:ascii="DFKai-SB" w:hAnsi="DFKai-SB" w:eastAsia="DFKai-SB"/>
          <w:i/>
          <w:sz w:val="20"/>
        </w:rPr>
        <w:t>Figure: SHAP 特徵重要性摘要條形圖</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DFKai-SB" w:hAnsi="DFKai-SB" w:eastAsia="DFKai-SB"/>
                <w:b/>
                <w:sz w:val="20"/>
              </w:rPr>
              <w:t>Rank</w:t>
            </w:r>
          </w:p>
        </w:tc>
        <w:tc>
          <w:tcPr>
            <w:tcW w:type="dxa" w:w="1884"/>
          </w:tcPr>
          <w:p>
            <w:pPr>
              <w:jc w:val="center"/>
            </w:pPr>
            <w:r>
              <w:rPr>
                <w:rFonts w:ascii="DFKai-SB" w:hAnsi="DFKai-SB" w:eastAsia="DFKai-SB"/>
                <w:b/>
                <w:sz w:val="20"/>
              </w:rPr>
              <w:t>Gene Symbol</w:t>
            </w:r>
          </w:p>
        </w:tc>
        <w:tc>
          <w:tcPr>
            <w:tcW w:type="dxa" w:w="1884"/>
          </w:tcPr>
          <w:p>
            <w:pPr>
              <w:jc w:val="center"/>
            </w:pPr>
            <w:r>
              <w:rPr>
                <w:rFonts w:ascii="DFKai-SB" w:hAnsi="DFKai-SB" w:eastAsia="DFKai-SB"/>
                <w:b/>
                <w:sz w:val="20"/>
              </w:rPr>
              <w:t>Mean Absolute SHAP Value</w:t>
            </w:r>
          </w:p>
        </w:tc>
        <w:tc>
          <w:tcPr>
            <w:tcW w:type="dxa" w:w="1884"/>
          </w:tcPr>
          <w:p>
            <w:pPr>
              <w:jc w:val="center"/>
            </w:pPr>
            <w:r>
              <w:rPr>
                <w:rFonts w:ascii="DFKai-SB" w:hAnsi="DFKai-SB" w:eastAsia="DFKai-SB"/>
                <w:b/>
                <w:sz w:val="20"/>
              </w:rPr>
              <w:t>Inferred Threshold (log2 TPM)</w:t>
            </w:r>
          </w:p>
        </w:tc>
        <w:tc>
          <w:tcPr>
            <w:tcW w:type="dxa" w:w="1884"/>
          </w:tcPr>
          <w:p>
            <w:pPr>
              <w:jc w:val="center"/>
            </w:pPr>
            <w:r>
              <w:rPr>
                <w:rFonts w:ascii="DFKai-SB" w:hAnsi="DFKai-SB" w:eastAsia="DFKai-SB"/>
                <w:b/>
                <w:sz w:val="20"/>
              </w:rPr>
              <w:t>95% Confidence Interval</w:t>
            </w:r>
          </w:p>
        </w:tc>
      </w:tr>
      <w:tr>
        <w:tc>
          <w:tcPr>
            <w:tcW w:type="dxa" w:w="1884"/>
          </w:tcPr>
          <w:p>
            <w:pPr>
              <w:jc w:val="left"/>
            </w:pPr>
            <w:r>
              <w:rPr>
                <w:rFonts w:ascii="DFKai-SB" w:hAnsi="DFKai-SB" w:eastAsia="DFKai-SB"/>
                <w:sz w:val="20"/>
              </w:rPr>
              <w:t>1</w:t>
            </w:r>
          </w:p>
        </w:tc>
        <w:tc>
          <w:tcPr>
            <w:tcW w:type="dxa" w:w="1884"/>
          </w:tcPr>
          <w:p>
            <w:pPr>
              <w:jc w:val="center"/>
            </w:pPr>
            <w:r>
              <w:rPr>
                <w:rFonts w:ascii="DFKai-SB" w:hAnsi="DFKai-SB" w:eastAsia="DFKai-SB"/>
                <w:sz w:val="20"/>
              </w:rPr>
              <w:t>RP11-40C6.2</w:t>
            </w:r>
          </w:p>
        </w:tc>
        <w:tc>
          <w:tcPr>
            <w:tcW w:type="dxa" w:w="1884"/>
          </w:tcPr>
          <w:p>
            <w:pPr>
              <w:jc w:val="center"/>
            </w:pPr>
            <w:r>
              <w:rPr>
                <w:rFonts w:ascii="DFKai-SB" w:hAnsi="DFKai-SB" w:eastAsia="DFKai-SB"/>
                <w:sz w:val="20"/>
              </w:rPr>
              <w:t>3.0292</w:t>
            </w:r>
          </w:p>
        </w:tc>
        <w:tc>
          <w:tcPr>
            <w:tcW w:type="dxa" w:w="1884"/>
          </w:tcPr>
          <w:p>
            <w:pPr>
              <w:jc w:val="center"/>
            </w:pPr>
            <w:r>
              <w:rPr>
                <w:rFonts w:ascii="DFKai-SB" w:hAnsi="DFKai-SB" w:eastAsia="DFKai-SB"/>
                <w:sz w:val="20"/>
              </w:rPr>
              <w:t>2.794</w:t>
            </w:r>
          </w:p>
        </w:tc>
        <w:tc>
          <w:tcPr>
            <w:tcW w:type="dxa" w:w="1884"/>
          </w:tcPr>
          <w:p>
            <w:pPr>
              <w:jc w:val="center"/>
            </w:pPr>
            <w:r>
              <w:rPr>
                <w:rFonts w:ascii="DFKai-SB" w:hAnsi="DFKai-SB" w:eastAsia="DFKai-SB"/>
                <w:sz w:val="20"/>
              </w:rPr>
              <w:t>[2.753, 4.863]</w:t>
            </w:r>
          </w:p>
        </w:tc>
      </w:tr>
      <w:tr>
        <w:tc>
          <w:tcPr>
            <w:tcW w:type="dxa" w:w="1884"/>
          </w:tcPr>
          <w:p>
            <w:pPr>
              <w:jc w:val="left"/>
            </w:pPr>
            <w:r>
              <w:rPr>
                <w:rFonts w:ascii="DFKai-SB" w:hAnsi="DFKai-SB" w:eastAsia="DFKai-SB"/>
                <w:sz w:val="20"/>
              </w:rPr>
              <w:t>2</w:t>
            </w:r>
          </w:p>
        </w:tc>
        <w:tc>
          <w:tcPr>
            <w:tcW w:type="dxa" w:w="1884"/>
          </w:tcPr>
          <w:p>
            <w:pPr>
              <w:jc w:val="center"/>
            </w:pPr>
            <w:r>
              <w:rPr>
                <w:rFonts w:ascii="DFKai-SB" w:hAnsi="DFKai-SB" w:eastAsia="DFKai-SB"/>
                <w:sz w:val="20"/>
              </w:rPr>
              <w:t>AC009065.4</w:t>
            </w:r>
          </w:p>
        </w:tc>
        <w:tc>
          <w:tcPr>
            <w:tcW w:type="dxa" w:w="1884"/>
          </w:tcPr>
          <w:p>
            <w:pPr>
              <w:jc w:val="center"/>
            </w:pPr>
            <w:r>
              <w:rPr>
                <w:rFonts w:ascii="DFKai-SB" w:hAnsi="DFKai-SB" w:eastAsia="DFKai-SB"/>
                <w:sz w:val="20"/>
              </w:rPr>
              <w:t>2.1206</w:t>
            </w:r>
          </w:p>
        </w:tc>
        <w:tc>
          <w:tcPr>
            <w:tcW w:type="dxa" w:w="1884"/>
          </w:tcPr>
          <w:p>
            <w:pPr>
              <w:jc w:val="center"/>
            </w:pPr>
            <w:r>
              <w:rPr>
                <w:rFonts w:ascii="DFKai-SB" w:hAnsi="DFKai-SB" w:eastAsia="DFKai-SB"/>
                <w:sz w:val="20"/>
              </w:rPr>
              <w:t>-6.216</w:t>
            </w:r>
          </w:p>
        </w:tc>
        <w:tc>
          <w:tcPr>
            <w:tcW w:type="dxa" w:w="1884"/>
          </w:tcPr>
          <w:p>
            <w:pPr>
              <w:jc w:val="center"/>
            </w:pPr>
            <w:r>
              <w:rPr>
                <w:rFonts w:ascii="DFKai-SB" w:hAnsi="DFKai-SB" w:eastAsia="DFKai-SB"/>
                <w:sz w:val="20"/>
              </w:rPr>
              <w:t>[-6.216, -5.557]</w:t>
            </w:r>
          </w:p>
        </w:tc>
      </w:tr>
      <w:tr>
        <w:tc>
          <w:tcPr>
            <w:tcW w:type="dxa" w:w="1884"/>
          </w:tcPr>
          <w:p>
            <w:pPr>
              <w:jc w:val="left"/>
            </w:pPr>
            <w:r>
              <w:rPr>
                <w:rFonts w:ascii="DFKai-SB" w:hAnsi="DFKai-SB" w:eastAsia="DFKai-SB"/>
                <w:sz w:val="20"/>
              </w:rPr>
              <w:t>3</w:t>
            </w:r>
          </w:p>
        </w:tc>
        <w:tc>
          <w:tcPr>
            <w:tcW w:type="dxa" w:w="1884"/>
          </w:tcPr>
          <w:p>
            <w:pPr>
              <w:jc w:val="center"/>
            </w:pPr>
            <w:r>
              <w:rPr>
                <w:rFonts w:ascii="DFKai-SB" w:hAnsi="DFKai-SB" w:eastAsia="DFKai-SB"/>
                <w:sz w:val="20"/>
              </w:rPr>
              <w:t>MMP12</w:t>
            </w:r>
          </w:p>
        </w:tc>
        <w:tc>
          <w:tcPr>
            <w:tcW w:type="dxa" w:w="1884"/>
          </w:tcPr>
          <w:p>
            <w:pPr>
              <w:jc w:val="center"/>
            </w:pPr>
            <w:r>
              <w:rPr>
                <w:rFonts w:ascii="DFKai-SB" w:hAnsi="DFKai-SB" w:eastAsia="DFKai-SB"/>
                <w:sz w:val="20"/>
              </w:rPr>
              <w:t>0.7897</w:t>
            </w:r>
          </w:p>
        </w:tc>
        <w:tc>
          <w:tcPr>
            <w:tcW w:type="dxa" w:w="1884"/>
          </w:tcPr>
          <w:p>
            <w:pPr>
              <w:jc w:val="center"/>
            </w:pPr>
            <w:r>
              <w:rPr>
                <w:rFonts w:ascii="DFKai-SB" w:hAnsi="DFKai-SB" w:eastAsia="DFKai-SB"/>
                <w:sz w:val="20"/>
              </w:rPr>
              <w:t>-2.486</w:t>
            </w:r>
          </w:p>
        </w:tc>
        <w:tc>
          <w:tcPr>
            <w:tcW w:type="dxa" w:w="1884"/>
          </w:tcPr>
          <w:p>
            <w:pPr>
              <w:jc w:val="center"/>
            </w:pPr>
            <w:r>
              <w:rPr>
                <w:rFonts w:ascii="DFKai-SB" w:hAnsi="DFKai-SB" w:eastAsia="DFKai-SB"/>
                <w:sz w:val="20"/>
              </w:rPr>
              <w:t>[-3.106, -1.848]</w:t>
            </w:r>
          </w:p>
        </w:tc>
      </w:tr>
      <w:tr>
        <w:tc>
          <w:tcPr>
            <w:tcW w:type="dxa" w:w="1884"/>
          </w:tcPr>
          <w:p>
            <w:pPr>
              <w:jc w:val="left"/>
            </w:pPr>
            <w:r>
              <w:rPr>
                <w:rFonts w:ascii="DFKai-SB" w:hAnsi="DFKai-SB" w:eastAsia="DFKai-SB"/>
                <w:sz w:val="20"/>
              </w:rPr>
              <w:t>4</w:t>
            </w:r>
          </w:p>
        </w:tc>
        <w:tc>
          <w:tcPr>
            <w:tcW w:type="dxa" w:w="1884"/>
          </w:tcPr>
          <w:p>
            <w:pPr>
              <w:jc w:val="center"/>
            </w:pPr>
            <w:r>
              <w:rPr>
                <w:rFonts w:ascii="DFKai-SB" w:hAnsi="DFKai-SB" w:eastAsia="DFKai-SB"/>
                <w:sz w:val="20"/>
              </w:rPr>
              <w:t>MISP</w:t>
            </w:r>
          </w:p>
        </w:tc>
        <w:tc>
          <w:tcPr>
            <w:tcW w:type="dxa" w:w="1884"/>
          </w:tcPr>
          <w:p>
            <w:pPr>
              <w:jc w:val="center"/>
            </w:pPr>
            <w:r>
              <w:rPr>
                <w:rFonts w:ascii="DFKai-SB" w:hAnsi="DFKai-SB" w:eastAsia="DFKai-SB"/>
                <w:sz w:val="20"/>
              </w:rPr>
              <w:t>0.5362</w:t>
            </w:r>
          </w:p>
        </w:tc>
        <w:tc>
          <w:tcPr>
            <w:tcW w:type="dxa" w:w="1884"/>
          </w:tcPr>
          <w:p>
            <w:pPr>
              <w:jc w:val="center"/>
            </w:pPr>
            <w:r>
              <w:rPr>
                <w:rFonts w:ascii="DFKai-SB" w:hAnsi="DFKai-SB" w:eastAsia="DFKai-SB"/>
                <w:sz w:val="20"/>
              </w:rPr>
              <w:t>1.726</w:t>
            </w:r>
          </w:p>
        </w:tc>
        <w:tc>
          <w:tcPr>
            <w:tcW w:type="dxa" w:w="1884"/>
          </w:tcPr>
          <w:p>
            <w:pPr>
              <w:jc w:val="center"/>
            </w:pPr>
            <w:r>
              <w:rPr>
                <w:rFonts w:ascii="DFKai-SB" w:hAnsi="DFKai-SB" w:eastAsia="DFKai-SB"/>
                <w:sz w:val="20"/>
              </w:rPr>
              <w:t>[1.319, 2.218]</w:t>
            </w:r>
          </w:p>
        </w:tc>
      </w:tr>
      <w:tr>
        <w:tc>
          <w:tcPr>
            <w:tcW w:type="dxa" w:w="1884"/>
          </w:tcPr>
          <w:p>
            <w:pPr>
              <w:jc w:val="left"/>
            </w:pPr>
            <w:r>
              <w:rPr>
                <w:rFonts w:ascii="DFKai-SB" w:hAnsi="DFKai-SB" w:eastAsia="DFKai-SB"/>
                <w:sz w:val="20"/>
              </w:rPr>
              <w:t>5</w:t>
            </w:r>
          </w:p>
        </w:tc>
        <w:tc>
          <w:tcPr>
            <w:tcW w:type="dxa" w:w="1884"/>
          </w:tcPr>
          <w:p>
            <w:pPr>
              <w:jc w:val="center"/>
            </w:pPr>
            <w:r>
              <w:rPr>
                <w:rFonts w:ascii="DFKai-SB" w:hAnsi="DFKai-SB" w:eastAsia="DFKai-SB"/>
                <w:sz w:val="20"/>
              </w:rPr>
              <w:t>UBE2SP2</w:t>
            </w:r>
          </w:p>
        </w:tc>
        <w:tc>
          <w:tcPr>
            <w:tcW w:type="dxa" w:w="1884"/>
          </w:tcPr>
          <w:p>
            <w:pPr>
              <w:jc w:val="center"/>
            </w:pPr>
            <w:r>
              <w:rPr>
                <w:rFonts w:ascii="DFKai-SB" w:hAnsi="DFKai-SB" w:eastAsia="DFKai-SB"/>
                <w:sz w:val="20"/>
              </w:rPr>
              <w:t>0.4772</w:t>
            </w:r>
          </w:p>
        </w:tc>
        <w:tc>
          <w:tcPr>
            <w:tcW w:type="dxa" w:w="1884"/>
          </w:tcPr>
          <w:p>
            <w:pPr>
              <w:jc w:val="center"/>
            </w:pPr>
            <w:r>
              <w:rPr>
                <w:rFonts w:ascii="DFKai-SB" w:hAnsi="DFKai-SB" w:eastAsia="DFKai-SB"/>
                <w:sz w:val="20"/>
              </w:rPr>
              <w:t>-2.427</w:t>
            </w:r>
          </w:p>
        </w:tc>
        <w:tc>
          <w:tcPr>
            <w:tcW w:type="dxa" w:w="1884"/>
          </w:tcPr>
          <w:p>
            <w:pPr>
              <w:jc w:val="center"/>
            </w:pPr>
            <w:r>
              <w:rPr>
                <w:rFonts w:ascii="DFKai-SB" w:hAnsi="DFKai-SB" w:eastAsia="DFKai-SB"/>
                <w:sz w:val="20"/>
              </w:rPr>
              <w:t>[-2.468, -2.355]</w:t>
            </w:r>
          </w:p>
        </w:tc>
      </w:tr>
      <w:tr>
        <w:tc>
          <w:tcPr>
            <w:tcW w:type="dxa" w:w="1884"/>
          </w:tcPr>
          <w:p>
            <w:pPr>
              <w:jc w:val="left"/>
            </w:pPr>
            <w:r>
              <w:rPr>
                <w:rFonts w:ascii="DFKai-SB" w:hAnsi="DFKai-SB" w:eastAsia="DFKai-SB"/>
                <w:sz w:val="20"/>
              </w:rPr>
              <w:t>6</w:t>
            </w:r>
          </w:p>
        </w:tc>
        <w:tc>
          <w:tcPr>
            <w:tcW w:type="dxa" w:w="1884"/>
          </w:tcPr>
          <w:p>
            <w:pPr>
              <w:jc w:val="center"/>
            </w:pPr>
            <w:r>
              <w:rPr>
                <w:rFonts w:ascii="DFKai-SB" w:hAnsi="DFKai-SB" w:eastAsia="DFKai-SB"/>
                <w:sz w:val="20"/>
              </w:rPr>
              <w:t>HMGN1P37</w:t>
            </w:r>
          </w:p>
        </w:tc>
        <w:tc>
          <w:tcPr>
            <w:tcW w:type="dxa" w:w="1884"/>
          </w:tcPr>
          <w:p>
            <w:pPr>
              <w:jc w:val="center"/>
            </w:pPr>
            <w:r>
              <w:rPr>
                <w:rFonts w:ascii="DFKai-SB" w:hAnsi="DFKai-SB" w:eastAsia="DFKai-SB"/>
                <w:sz w:val="20"/>
              </w:rPr>
              <w:t>0.2474</w:t>
            </w:r>
          </w:p>
        </w:tc>
        <w:tc>
          <w:tcPr>
            <w:tcW w:type="dxa" w:w="1884"/>
          </w:tcPr>
          <w:p>
            <w:pPr>
              <w:jc w:val="center"/>
            </w:pPr>
            <w:r>
              <w:rPr>
                <w:rFonts w:ascii="DFKai-SB" w:hAnsi="DFKai-SB" w:eastAsia="DFKai-SB"/>
                <w:sz w:val="20"/>
              </w:rPr>
              <w:t>-6.177</w:t>
            </w:r>
          </w:p>
        </w:tc>
        <w:tc>
          <w:tcPr>
            <w:tcW w:type="dxa" w:w="1884"/>
          </w:tcPr>
          <w:p>
            <w:pPr>
              <w:jc w:val="center"/>
            </w:pPr>
            <w:r>
              <w:rPr>
                <w:rFonts w:ascii="DFKai-SB" w:hAnsi="DFKai-SB" w:eastAsia="DFKai-SB"/>
                <w:sz w:val="20"/>
              </w:rPr>
              <w:t>[-6.177, -6.040]</w:t>
            </w:r>
          </w:p>
        </w:tc>
      </w:tr>
      <w:tr>
        <w:tc>
          <w:tcPr>
            <w:tcW w:type="dxa" w:w="1884"/>
          </w:tcPr>
          <w:p>
            <w:pPr>
              <w:jc w:val="left"/>
            </w:pPr>
            <w:r>
              <w:rPr>
                <w:rFonts w:ascii="DFKai-SB" w:hAnsi="DFKai-SB" w:eastAsia="DFKai-SB"/>
                <w:sz w:val="20"/>
              </w:rPr>
              <w:t>7</w:t>
            </w:r>
          </w:p>
        </w:tc>
        <w:tc>
          <w:tcPr>
            <w:tcW w:type="dxa" w:w="1884"/>
          </w:tcPr>
          <w:p>
            <w:pPr>
              <w:jc w:val="center"/>
            </w:pPr>
            <w:r>
              <w:rPr>
                <w:rFonts w:ascii="DFKai-SB" w:hAnsi="DFKai-SB" w:eastAsia="DFKai-SB"/>
                <w:sz w:val="20"/>
              </w:rPr>
              <w:t>S100A6</w:t>
            </w:r>
          </w:p>
        </w:tc>
        <w:tc>
          <w:tcPr>
            <w:tcW w:type="dxa" w:w="1884"/>
          </w:tcPr>
          <w:p>
            <w:pPr>
              <w:jc w:val="center"/>
            </w:pPr>
            <w:r>
              <w:rPr>
                <w:rFonts w:ascii="DFKai-SB" w:hAnsi="DFKai-SB" w:eastAsia="DFKai-SB"/>
                <w:sz w:val="20"/>
              </w:rPr>
              <w:t>0.1254</w:t>
            </w:r>
          </w:p>
        </w:tc>
        <w:tc>
          <w:tcPr>
            <w:tcW w:type="dxa" w:w="1884"/>
          </w:tcPr>
          <w:p>
            <w:pPr>
              <w:jc w:val="center"/>
            </w:pPr>
            <w:r>
              <w:rPr>
                <w:rFonts w:ascii="DFKai-SB" w:hAnsi="DFKai-SB" w:eastAsia="DFKai-SB"/>
                <w:sz w:val="20"/>
              </w:rPr>
              <w:t>9.433</w:t>
            </w:r>
          </w:p>
        </w:tc>
        <w:tc>
          <w:tcPr>
            <w:tcW w:type="dxa" w:w="1884"/>
          </w:tcPr>
          <w:p>
            <w:pPr>
              <w:jc w:val="center"/>
            </w:pPr>
            <w:r>
              <w:rPr>
                <w:rFonts w:ascii="DFKai-SB" w:hAnsi="DFKai-SB" w:eastAsia="DFKai-SB"/>
                <w:sz w:val="20"/>
              </w:rPr>
              <w:t>[9.295, 9.845]</w:t>
            </w:r>
          </w:p>
        </w:tc>
      </w:tr>
      <w:tr>
        <w:tc>
          <w:tcPr>
            <w:tcW w:type="dxa" w:w="1884"/>
          </w:tcPr>
          <w:p>
            <w:pPr>
              <w:jc w:val="left"/>
            </w:pPr>
            <w:r>
              <w:rPr>
                <w:rFonts w:ascii="DFKai-SB" w:hAnsi="DFKai-SB" w:eastAsia="DFKai-SB"/>
                <w:sz w:val="20"/>
              </w:rPr>
              <w:t>8</w:t>
            </w:r>
          </w:p>
        </w:tc>
        <w:tc>
          <w:tcPr>
            <w:tcW w:type="dxa" w:w="1884"/>
          </w:tcPr>
          <w:p>
            <w:pPr>
              <w:jc w:val="center"/>
            </w:pPr>
            <w:r>
              <w:rPr>
                <w:rFonts w:ascii="DFKai-SB" w:hAnsi="DFKai-SB" w:eastAsia="DFKai-SB"/>
                <w:sz w:val="20"/>
              </w:rPr>
              <w:t>RP11-10G12.1</w:t>
            </w:r>
          </w:p>
        </w:tc>
        <w:tc>
          <w:tcPr>
            <w:tcW w:type="dxa" w:w="1884"/>
          </w:tcPr>
          <w:p>
            <w:pPr>
              <w:jc w:val="center"/>
            </w:pPr>
            <w:r>
              <w:rPr>
                <w:rFonts w:ascii="DFKai-SB" w:hAnsi="DFKai-SB" w:eastAsia="DFKai-SB"/>
                <w:sz w:val="20"/>
              </w:rPr>
              <w:t>0.1130</w:t>
            </w:r>
          </w:p>
        </w:tc>
        <w:tc>
          <w:tcPr>
            <w:tcW w:type="dxa" w:w="1884"/>
          </w:tcPr>
          <w:p>
            <w:pPr>
              <w:jc w:val="center"/>
            </w:pPr>
            <w:r>
              <w:rPr>
                <w:rFonts w:ascii="DFKai-SB" w:hAnsi="DFKai-SB" w:eastAsia="DFKai-SB"/>
                <w:sz w:val="20"/>
              </w:rPr>
              <w:t>-2.837</w:t>
            </w:r>
          </w:p>
        </w:tc>
        <w:tc>
          <w:tcPr>
            <w:tcW w:type="dxa" w:w="1884"/>
          </w:tcPr>
          <w:p>
            <w:pPr>
              <w:jc w:val="center"/>
            </w:pPr>
            <w:r>
              <w:rPr>
                <w:rFonts w:ascii="DFKai-SB" w:hAnsi="DFKai-SB" w:eastAsia="DFKai-SB"/>
                <w:sz w:val="20"/>
              </w:rPr>
              <w:t>[-5.803, -2.794]</w:t>
            </w:r>
          </w:p>
        </w:tc>
      </w:tr>
      <w:tr>
        <w:tc>
          <w:tcPr>
            <w:tcW w:type="dxa" w:w="1884"/>
          </w:tcPr>
          <w:p>
            <w:pPr>
              <w:jc w:val="left"/>
            </w:pPr>
            <w:r>
              <w:rPr>
                <w:rFonts w:ascii="DFKai-SB" w:hAnsi="DFKai-SB" w:eastAsia="DFKai-SB"/>
                <w:sz w:val="20"/>
              </w:rPr>
              <w:t>9</w:t>
            </w:r>
          </w:p>
        </w:tc>
        <w:tc>
          <w:tcPr>
            <w:tcW w:type="dxa" w:w="1884"/>
          </w:tcPr>
          <w:p>
            <w:pPr>
              <w:jc w:val="center"/>
            </w:pPr>
            <w:r>
              <w:rPr>
                <w:rFonts w:ascii="DFKai-SB" w:hAnsi="DFKai-SB" w:eastAsia="DFKai-SB"/>
                <w:sz w:val="20"/>
              </w:rPr>
              <w:t>RPL37P6</w:t>
            </w:r>
          </w:p>
        </w:tc>
        <w:tc>
          <w:tcPr>
            <w:tcW w:type="dxa" w:w="1884"/>
          </w:tcPr>
          <w:p>
            <w:pPr>
              <w:jc w:val="center"/>
            </w:pPr>
            <w:r>
              <w:rPr>
                <w:rFonts w:ascii="DFKai-SB" w:hAnsi="DFKai-SB" w:eastAsia="DFKai-SB"/>
                <w:sz w:val="20"/>
              </w:rPr>
              <w:t>0.0826</w:t>
            </w:r>
          </w:p>
        </w:tc>
        <w:tc>
          <w:tcPr>
            <w:tcW w:type="dxa" w:w="1884"/>
          </w:tcPr>
          <w:p>
            <w:pPr>
              <w:jc w:val="center"/>
            </w:pPr>
            <w:r>
              <w:rPr>
                <w:rFonts w:ascii="DFKai-SB" w:hAnsi="DFKai-SB" w:eastAsia="DFKai-SB"/>
                <w:sz w:val="20"/>
              </w:rPr>
              <w:t>-3.142</w:t>
            </w:r>
          </w:p>
        </w:tc>
        <w:tc>
          <w:tcPr>
            <w:tcW w:type="dxa" w:w="1884"/>
          </w:tcPr>
          <w:p>
            <w:pPr>
              <w:jc w:val="center"/>
            </w:pPr>
            <w:r>
              <w:rPr>
                <w:rFonts w:ascii="DFKai-SB" w:hAnsi="DFKai-SB" w:eastAsia="DFKai-SB"/>
                <w:sz w:val="20"/>
              </w:rPr>
              <w:t>[-6.396, -3.141]</w:t>
            </w:r>
          </w:p>
        </w:tc>
      </w:tr>
      <w:tr>
        <w:tc>
          <w:tcPr>
            <w:tcW w:type="dxa" w:w="1884"/>
          </w:tcPr>
          <w:p>
            <w:pPr>
              <w:jc w:val="left"/>
            </w:pPr>
            <w:r>
              <w:rPr>
                <w:rFonts w:ascii="DFKai-SB" w:hAnsi="DFKai-SB" w:eastAsia="DFKai-SB"/>
                <w:sz w:val="20"/>
              </w:rPr>
              <w:t>10</w:t>
            </w:r>
          </w:p>
        </w:tc>
        <w:tc>
          <w:tcPr>
            <w:tcW w:type="dxa" w:w="1884"/>
          </w:tcPr>
          <w:p>
            <w:pPr>
              <w:jc w:val="center"/>
            </w:pPr>
            <w:r>
              <w:rPr>
                <w:rFonts w:ascii="DFKai-SB" w:hAnsi="DFKai-SB" w:eastAsia="DFKai-SB"/>
                <w:sz w:val="20"/>
              </w:rPr>
              <w:t>FTH1P7</w:t>
            </w:r>
          </w:p>
        </w:tc>
        <w:tc>
          <w:tcPr>
            <w:tcW w:type="dxa" w:w="1884"/>
          </w:tcPr>
          <w:p>
            <w:pPr>
              <w:jc w:val="center"/>
            </w:pPr>
            <w:r>
              <w:rPr>
                <w:rFonts w:ascii="DFKai-SB" w:hAnsi="DFKai-SB" w:eastAsia="DFKai-SB"/>
                <w:sz w:val="20"/>
              </w:rPr>
              <w:t>0.0000</w:t>
            </w:r>
          </w:p>
        </w:tc>
        <w:tc>
          <w:tcPr>
            <w:tcW w:type="dxa" w:w="1884"/>
          </w:tcPr>
          <w:p>
            <w:pPr>
              <w:jc w:val="center"/>
            </w:pPr>
            <w:r>
              <w:rPr>
                <w:rFonts w:ascii="DFKai-SB" w:hAnsi="DFKai-SB" w:eastAsia="DFKai-SB"/>
                <w:sz w:val="20"/>
              </w:rPr>
              <w:t>3.001</w:t>
            </w:r>
          </w:p>
        </w:tc>
        <w:tc>
          <w:tcPr>
            <w:tcW w:type="dxa" w:w="1884"/>
          </w:tcPr>
          <w:p>
            <w:pPr>
              <w:jc w:val="center"/>
            </w:pPr>
            <w:r>
              <w:rPr>
                <w:rFonts w:ascii="DFKai-SB" w:hAnsi="DFKai-SB" w:eastAsia="DFKai-SB"/>
                <w:sz w:val="20"/>
              </w:rPr>
              <w:t>[1.578, 3.822]</w:t>
            </w:r>
          </w:p>
        </w:tc>
      </w:tr>
    </w:tbl>
    <w:p>
      <w:pPr>
        <w:spacing w:after="120"/>
      </w:pPr>
    </w:p>
    <w:p>
      <w:pPr>
        <w:spacing w:before="240" w:after="120"/>
      </w:pPr>
      <w:r>
        <w:rPr>
          <w:rFonts w:ascii="DFKai-SB" w:hAnsi="DFKai-SB" w:eastAsia="DFKai-SB"/>
          <w:b/>
          <w:sz w:val="36"/>
        </w:rPr>
        <w:t>九、候選基因組合篩選</w:t>
      </w:r>
    </w:p>
    <w:p>
      <w:pPr>
        <w:spacing w:after="120" w:line="360" w:lineRule="auto"/>
      </w:pPr>
      <w:r>
        <w:rPr>
          <w:rFonts w:ascii="DFKai-SB" w:hAnsi="DFKai-SB" w:eastAsia="DFKai-SB"/>
          <w:b w:val="0"/>
          <w:i w:val="0"/>
          <w:sz w:val="24"/>
        </w:rPr>
        <w:t>為從前 100 個 SHAP 基因中選出最佳的及閘輸入，我們對所有可能的兩兩組合計算了綜合評分：Pair Score = tumor_AND_activation * AND_specificity * (1 - |r|)。其中 tumor_AND_activation 代表兩基因同時高於各自閾值的腫瘤比例，AND_specificity 代表至少有一基因低於閾值的正常組織比例，r 為皮爾森相關係數。經掃描，UBE2S + CCR6 組合脫穎而出，得分最高 (0.264)。該基因對個別 AUC 分別為 0.9959 與 0.9964，在腫瘤中的同時活化率為 93.3%，在正常組織中的活化率僅為 0.6%。</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DFKai-SB" w:hAnsi="DFKai-SB" w:eastAsia="DFKai-SB"/>
                <w:b/>
                <w:sz w:val="20"/>
              </w:rPr>
              <w:t>Property</w:t>
            </w:r>
          </w:p>
        </w:tc>
        <w:tc>
          <w:tcPr>
            <w:tcW w:type="dxa" w:w="2354"/>
          </w:tcPr>
          <w:p>
            <w:pPr>
              <w:jc w:val="center"/>
            </w:pPr>
            <w:r>
              <w:rPr>
                <w:rFonts w:ascii="DFKai-SB" w:hAnsi="DFKai-SB" w:eastAsia="DFKai-SB"/>
                <w:b/>
                <w:sz w:val="20"/>
              </w:rPr>
              <w:t>Gene A (UBE2S)</w:t>
            </w:r>
          </w:p>
        </w:tc>
        <w:tc>
          <w:tcPr>
            <w:tcW w:type="dxa" w:w="2354"/>
          </w:tcPr>
          <w:p>
            <w:pPr>
              <w:jc w:val="center"/>
            </w:pPr>
            <w:r>
              <w:rPr>
                <w:rFonts w:ascii="DFKai-SB" w:hAnsi="DFKai-SB" w:eastAsia="DFKai-SB"/>
                <w:b/>
                <w:sz w:val="20"/>
              </w:rPr>
              <w:t>Gene B (CCR6)</w:t>
            </w:r>
          </w:p>
        </w:tc>
        <w:tc>
          <w:tcPr>
            <w:tcW w:type="dxa" w:w="2354"/>
          </w:tcPr>
          <w:p>
            <w:pPr>
              <w:jc w:val="center"/>
            </w:pPr>
            <w:r>
              <w:rPr>
                <w:rFonts w:ascii="DFKai-SB" w:hAnsi="DFKai-SB" w:eastAsia="DFKai-SB"/>
                <w:b/>
                <w:sz w:val="20"/>
              </w:rPr>
              <w:t>Composite AND Gate</w:t>
            </w:r>
          </w:p>
        </w:tc>
      </w:tr>
      <w:tr>
        <w:tc>
          <w:tcPr>
            <w:tcW w:type="dxa" w:w="2354"/>
          </w:tcPr>
          <w:p>
            <w:pPr>
              <w:jc w:val="left"/>
            </w:pPr>
            <w:r>
              <w:rPr>
                <w:rFonts w:ascii="DFKai-SB" w:hAnsi="DFKai-SB" w:eastAsia="DFKai-SB"/>
                <w:sz w:val="20"/>
              </w:rPr>
              <w:t>Individual ROC-AUC</w:t>
            </w:r>
          </w:p>
        </w:tc>
        <w:tc>
          <w:tcPr>
            <w:tcW w:type="dxa" w:w="2354"/>
          </w:tcPr>
          <w:p>
            <w:pPr>
              <w:jc w:val="center"/>
            </w:pPr>
            <w:r>
              <w:rPr>
                <w:rFonts w:ascii="DFKai-SB" w:hAnsi="DFKai-SB" w:eastAsia="DFKai-SB"/>
                <w:sz w:val="20"/>
              </w:rPr>
              <w:t>0.9959</w:t>
            </w:r>
          </w:p>
        </w:tc>
        <w:tc>
          <w:tcPr>
            <w:tcW w:type="dxa" w:w="2354"/>
          </w:tcPr>
          <w:p>
            <w:pPr>
              <w:jc w:val="center"/>
            </w:pPr>
            <w:r>
              <w:rPr>
                <w:rFonts w:ascii="DFKai-SB" w:hAnsi="DFKai-SB" w:eastAsia="DFKai-SB"/>
                <w:sz w:val="20"/>
              </w:rPr>
              <w:t>0.9964</w:t>
            </w:r>
          </w:p>
        </w:tc>
        <w:tc>
          <w:tcPr>
            <w:tcW w:type="dxa" w:w="2354"/>
          </w:tcPr>
          <w:p>
            <w:pPr>
              <w:jc w:val="center"/>
            </w:pPr>
            <w:r>
              <w:rPr>
                <w:rFonts w:ascii="DFKai-SB" w:hAnsi="DFKai-SB" w:eastAsia="DFKai-SB"/>
                <w:sz w:val="20"/>
              </w:rPr>
              <w:t>0.9986</w:t>
            </w:r>
          </w:p>
        </w:tc>
      </w:tr>
      <w:tr>
        <w:tc>
          <w:tcPr>
            <w:tcW w:type="dxa" w:w="2354"/>
          </w:tcPr>
          <w:p>
            <w:pPr>
              <w:jc w:val="left"/>
            </w:pPr>
            <w:r>
              <w:rPr>
                <w:rFonts w:ascii="DFKai-SB" w:hAnsi="DFKai-SB" w:eastAsia="DFKai-SB"/>
                <w:sz w:val="20"/>
              </w:rPr>
              <w:t>log2 Fold Change (log2FC)</w:t>
            </w:r>
          </w:p>
        </w:tc>
        <w:tc>
          <w:tcPr>
            <w:tcW w:type="dxa" w:w="2354"/>
          </w:tcPr>
          <w:p>
            <w:pPr>
              <w:jc w:val="center"/>
            </w:pPr>
            <w:r>
              <w:rPr>
                <w:rFonts w:ascii="DFKai-SB" w:hAnsi="DFKai-SB" w:eastAsia="DFKai-SB"/>
                <w:sz w:val="20"/>
              </w:rPr>
              <w:t>3.779</w:t>
            </w:r>
          </w:p>
        </w:tc>
        <w:tc>
          <w:tcPr>
            <w:tcW w:type="dxa" w:w="2354"/>
          </w:tcPr>
          <w:p>
            <w:pPr>
              <w:jc w:val="center"/>
            </w:pPr>
            <w:r>
              <w:rPr>
                <w:rFonts w:ascii="DFKai-SB" w:hAnsi="DFKai-SB" w:eastAsia="DFKai-SB"/>
                <w:sz w:val="20"/>
              </w:rPr>
              <w:t>8.924</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Pairwise Spearman Correlation (r_s)</w:t>
            </w:r>
          </w:p>
        </w:tc>
        <w:tc>
          <w:tcPr>
            <w:tcW w:type="dxa" w:w="2354"/>
          </w:tcPr>
          <w:p>
            <w:pPr>
              <w:jc w:val="center"/>
            </w:pPr>
            <w:r>
              <w:rPr>
                <w:rFonts w:ascii="DFKai-SB" w:hAnsi="DFKai-SB" w:eastAsia="DFKai-SB"/>
                <w:sz w:val="20"/>
              </w:rPr>
              <w:t>0.7136</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Inferred Activation Threshold (K)</w:t>
            </w:r>
          </w:p>
        </w:tc>
        <w:tc>
          <w:tcPr>
            <w:tcW w:type="dxa" w:w="2354"/>
          </w:tcPr>
          <w:p>
            <w:pPr>
              <w:jc w:val="center"/>
            </w:pPr>
            <w:r>
              <w:rPr>
                <w:rFonts w:ascii="DFKai-SB" w:hAnsi="DFKai-SB" w:eastAsia="DFKai-SB"/>
                <w:sz w:val="20"/>
              </w:rPr>
              <w:t>0.7600</w:t>
            </w:r>
          </w:p>
        </w:tc>
        <w:tc>
          <w:tcPr>
            <w:tcW w:type="dxa" w:w="2354"/>
          </w:tcPr>
          <w:p>
            <w:pPr>
              <w:jc w:val="center"/>
            </w:pPr>
            <w:r>
              <w:rPr>
                <w:rFonts w:ascii="DFKai-SB" w:hAnsi="DFKai-SB" w:eastAsia="DFKai-SB"/>
                <w:sz w:val="20"/>
              </w:rPr>
              <w:t>0.4639</w:t>
            </w:r>
          </w:p>
        </w:tc>
        <w:tc>
          <w:tcPr>
            <w:tcW w:type="dxa" w:w="2354"/>
          </w:tcPr>
          <w:p>
            <w:pPr>
              <w:jc w:val="center"/>
            </w:pPr>
            <w:r>
              <w:rPr>
                <w:rFonts w:ascii="DFKai-SB" w:hAnsi="DFKai-SB" w:eastAsia="DFKai-SB"/>
                <w:sz w:val="20"/>
              </w:rPr>
              <w:t>—</w:t>
            </w:r>
          </w:p>
        </w:tc>
      </w:tr>
      <w:tr>
        <w:tc>
          <w:tcPr>
            <w:tcW w:type="dxa" w:w="2354"/>
          </w:tcPr>
          <w:p>
            <w:pPr>
              <w:jc w:val="left"/>
            </w:pPr>
            <w:r>
              <w:rPr>
                <w:rFonts w:ascii="DFKai-SB" w:hAnsi="DFKai-SB" w:eastAsia="DFKai-SB"/>
                <w:sz w:val="20"/>
              </w:rPr>
              <w:t>Tumor AND Activation Rate</w:t>
            </w:r>
          </w:p>
        </w:tc>
        <w:tc>
          <w:tcPr>
            <w:tcW w:type="dxa" w:w="2354"/>
          </w:tcPr>
          <w:p>
            <w:pPr>
              <w:jc w:val="center"/>
            </w:pPr>
            <w:r>
              <w:rPr>
                <w:rFonts w:ascii="DFKai-SB" w:hAnsi="DFKai-SB" w:eastAsia="DFKai-SB"/>
                <w:sz w:val="20"/>
              </w:rPr>
              <w:t>93.3%</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93.3%</w:t>
            </w:r>
          </w:p>
        </w:tc>
      </w:tr>
      <w:tr>
        <w:tc>
          <w:tcPr>
            <w:tcW w:type="dxa" w:w="2354"/>
          </w:tcPr>
          <w:p>
            <w:pPr>
              <w:jc w:val="left"/>
            </w:pPr>
            <w:r>
              <w:rPr>
                <w:rFonts w:ascii="DFKai-SB" w:hAnsi="DFKai-SB" w:eastAsia="DFKai-SB"/>
                <w:sz w:val="20"/>
              </w:rPr>
              <w:t>Normal AND Activation Rate</w:t>
            </w:r>
          </w:p>
        </w:tc>
        <w:tc>
          <w:tcPr>
            <w:tcW w:type="dxa" w:w="2354"/>
          </w:tcPr>
          <w:p>
            <w:pPr>
              <w:jc w:val="center"/>
            </w:pPr>
            <w:r>
              <w:rPr>
                <w:rFonts w:ascii="DFKai-SB" w:hAnsi="DFKai-SB" w:eastAsia="DFKai-SB"/>
                <w:sz w:val="20"/>
              </w:rPr>
              <w:t>0.6%</w:t>
            </w:r>
          </w:p>
        </w:tc>
        <w:tc>
          <w:tcPr>
            <w:tcW w:type="dxa" w:w="2354"/>
          </w:tcPr>
          <w:p>
            <w:pPr>
              <w:jc w:val="center"/>
            </w:pPr>
            <w:r>
              <w:rPr>
                <w:rFonts w:ascii="DFKai-SB" w:hAnsi="DFKai-SB" w:eastAsia="DFKai-SB"/>
                <w:sz w:val="20"/>
              </w:rPr>
              <w:t>—</w:t>
            </w:r>
          </w:p>
        </w:tc>
        <w:tc>
          <w:tcPr>
            <w:tcW w:type="dxa" w:w="2354"/>
          </w:tcPr>
          <w:p>
            <w:pPr>
              <w:jc w:val="center"/>
            </w:pPr>
            <w:r>
              <w:rPr>
                <w:rFonts w:ascii="DFKai-SB" w:hAnsi="DFKai-SB" w:eastAsia="DFKai-SB"/>
                <w:sz w:val="20"/>
              </w:rPr>
              <w:t>0.6%</w:t>
            </w:r>
          </w:p>
        </w:tc>
      </w:tr>
    </w:tbl>
    <w:p>
      <w:pPr>
        <w:spacing w:after="120"/>
      </w:pPr>
    </w:p>
    <w:p>
      <w:pPr>
        <w:spacing w:before="240" w:after="120"/>
      </w:pPr>
      <w:r>
        <w:rPr>
          <w:rFonts w:ascii="DFKai-SB" w:hAnsi="DFKai-SB" w:eastAsia="DFKai-SB"/>
          <w:b/>
          <w:sz w:val="36"/>
        </w:rPr>
        <w:t>十、正交性評估</w:t>
      </w:r>
    </w:p>
    <w:p>
      <w:pPr>
        <w:spacing w:after="120" w:line="360" w:lineRule="auto"/>
      </w:pPr>
      <w:r>
        <w:rPr>
          <w:rFonts w:ascii="DFKai-SB" w:hAnsi="DFKai-SB" w:eastAsia="DFKai-SB"/>
          <w:b w:val="0"/>
          <w:i w:val="0"/>
          <w:sz w:val="24"/>
        </w:rPr>
        <w:t>及閘設計的核心在於輸入基因對的「正交性 (orthogonality)」。雖然 UBE2S 與 CCR6 在 bulk RNA-seq 數據中表現出中度相關 (r = 0.714)，高於設定的 |r| &lt;= 0.4 理想篩選標準，但本分析管線在考量整體綜合得分最優的情況下觸發了 fallback 機制。在生物學機制層面，UBE2S (泛素結合酶 E2 S) 參與細胞分裂週期 (Cell cycle / Ubiquitin-proteasome pathway)，而 CCR6 (C-C 趨化因子受體 6) 則參與趨化因子與免疫微環境訊號傳遞 (Chemokine signaling / Immune microenvironment)。兩者由完全不同的上游信號通路控制，具備功能上的正交性。這在臨床應用上至關重要，因為正常組織幾乎不可能同時發生細胞週期加速與趨化因子受體上調，從而確保了生物感測器的極高安全性。</w:t>
      </w:r>
    </w:p>
    <w:p>
      <w:pPr>
        <w:spacing w:after="80"/>
        <w:jc w:val="center"/>
      </w:pPr>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4572000" cy="3918857"/>
                    </a:xfrm>
                    <a:prstGeom prst="rect"/>
                  </pic:spPr>
                </pic:pic>
              </a:graphicData>
            </a:graphic>
          </wp:inline>
        </w:drawing>
      </w:r>
    </w:p>
    <w:p>
      <w:pPr>
        <w:spacing w:after="240"/>
        <w:jc w:val="center"/>
      </w:pPr>
      <w:r>
        <w:rPr>
          <w:rFonts w:ascii="DFKai-SB" w:hAnsi="DFKai-SB" w:eastAsia="DFKai-SB"/>
          <w:i/>
          <w:sz w:val="20"/>
        </w:rPr>
        <w:t>Figure: UBE2S 與 CCR6 表達量散佈圖</w:t>
      </w:r>
    </w:p>
    <w:p>
      <w:pPr>
        <w:spacing w:before="240" w:after="120"/>
      </w:pPr>
      <w:r>
        <w:rPr>
          <w:rFonts w:ascii="DFKai-SB" w:hAnsi="DFKai-SB" w:eastAsia="DFKai-SB"/>
          <w:b/>
          <w:sz w:val="36"/>
        </w:rPr>
        <w:t>十一、單細胞與空間轉錄體驗證之必要性</w:t>
      </w:r>
    </w:p>
    <w:p>
      <w:pPr>
        <w:spacing w:after="120" w:line="360" w:lineRule="auto"/>
      </w:pPr>
      <w:r>
        <w:rPr>
          <w:rFonts w:ascii="DFKai-SB" w:hAnsi="DFKai-SB" w:eastAsia="DFKai-SB"/>
          <w:b w:val="0"/>
          <w:i w:val="0"/>
          <w:sz w:val="24"/>
        </w:rPr>
        <w:t>由於本研究的發現分析建立於 bulk RNA-seq，尚無法判斷 UBE2S 與 CCR6 是否共同表現於同一群惡性上皮細胞，或是分別來自腫瘤微環境中的不同細胞區室。這項區分會直接影響電路架構的設計：若兩個輸入在惡性上皮細胞中共同表現，則細胞內部轉錄電路較具可行性；若 UBE2S 主要來自增殖中的癌細胞，而 CCR6 主要反映免疫細胞或發炎微環境，則此組合應被解讀為組織層級的微環境特徵，而非單一細胞內部的 AND gate。後續應利用 single-cell RNA-seq 與 spatial transcriptomics 評估兩基因的細胞類型特異性、共同表現比例與空間鄰近關係。</w:t>
      </w:r>
    </w:p>
    <w:p>
      <w:pPr>
        <w:spacing w:before="240" w:after="120"/>
      </w:pPr>
      <w:r>
        <w:rPr>
          <w:rFonts w:ascii="DFKai-SB" w:hAnsi="DFKai-SB" w:eastAsia="DFKai-SB"/>
          <w:b/>
          <w:sz w:val="36"/>
        </w:rPr>
        <w:t>十二、基於希爾方程式的 AND gate 建模</w:t>
      </w:r>
    </w:p>
    <w:p>
      <w:pPr>
        <w:spacing w:after="120" w:line="360" w:lineRule="auto"/>
      </w:pPr>
      <w:r>
        <w:rPr>
          <w:rFonts w:ascii="DFKai-SB" w:hAnsi="DFKai-SB" w:eastAsia="DFKai-SB"/>
          <w:b w:val="0"/>
          <w:i w:val="0"/>
          <w:sz w:val="24"/>
        </w:rPr>
        <w:t>我們基於雙輸入希爾方程式 (Hill equation) 對該及閘進行定量建模：</w:t>
        <w:br/>
        <w:br/>
        <w:t>\[</w:t>
        <w:br/>
        <w:t>Output = P_{\text{basal}} + V_{\max} \left( \frac{[A]^n}{K_A^n + [A]^n} \right) \left( \frac{[B]^n}{K_B^n + [B]^n} \right)</w:t>
        <w:br/>
        <w:t>\]</w:t>
        <w:br/>
        <w:br/>
        <w:t>式中，[A] 與 [B] 分別代表 UBE2S 與 CCR6 歸一化後的轉錄體豐度；K_A 與 K_B 為模型推估之活化閾值；n 為反應陡峭度 (Hill coefficient)；P_{basal} 為基底洩漏量 (basal leakiness)；V_{max} 為最大輸出量。經網格掃描，最優參數為：n = 1、P_{basal} = 0.0、K_A = 0.760 (UBE2S 閾值)、K_B = 0.464 (CCR6 閾值)。及閘輸出判斷的決策閾值 (decision threshold) 設定為 0.25，以最大化分類準確度。</w:t>
      </w:r>
    </w:p>
    <w:p>
      <w:pPr>
        <w:spacing w:before="240" w:after="120"/>
      </w:pPr>
      <w:r>
        <w:rPr>
          <w:rFonts w:ascii="DFKai-SB" w:hAnsi="DFKai-SB" w:eastAsia="DFKai-SB"/>
          <w:b/>
          <w:sz w:val="36"/>
        </w:rPr>
        <w:t>十三、電腦模擬驗證</w:t>
      </w:r>
    </w:p>
    <w:p>
      <w:pPr>
        <w:spacing w:after="120" w:line="360" w:lineRule="auto"/>
      </w:pPr>
      <w:r>
        <w:rPr>
          <w:rFonts w:ascii="DFKai-SB" w:hAnsi="DFKai-SB" w:eastAsia="DFKai-SB"/>
          <w:b w:val="0"/>
          <w:i w:val="0"/>
          <w:sz w:val="24"/>
        </w:rPr>
        <w:t>在 345 個樣本的發現世代中進行希爾方程式 AND gate 電腦模擬驗證，結果展現出近乎完美的分類效能。及閘輸出之 ROC-AUC 達到 0.9986，整體準確度為 98.55%，敏感度為 97.75%，特異度為 99.40%。在 178 個胰臟癌樣本中，有 174 個被正確預測為陽性；在 167 個正常組織中，僅有 1 個發生假陽性活化 (假陽性率僅 0.6%)。這證實了雙輸入邏輯及閘在維持極高特異度的同時，並未顯著犧牲敏感度。</w:t>
      </w:r>
    </w:p>
    <w:p>
      <w:pPr>
        <w:spacing w:after="80"/>
        <w:jc w:val="center"/>
      </w:pPr>
      <w:r>
        <w:drawing>
          <wp:inline xmlns:a="http://schemas.openxmlformats.org/drawingml/2006/main" xmlns:pic="http://schemas.openxmlformats.org/drawingml/2006/picture">
            <wp:extent cx="4572000" cy="37147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4572000" cy="3714750"/>
                    </a:xfrm>
                    <a:prstGeom prst="rect"/>
                  </pic:spPr>
                </pic:pic>
              </a:graphicData>
            </a:graphic>
          </wp:inline>
        </w:drawing>
      </w:r>
    </w:p>
    <w:p>
      <w:pPr>
        <w:spacing w:after="240"/>
        <w:jc w:val="center"/>
      </w:pPr>
      <w:r>
        <w:rPr>
          <w:rFonts w:ascii="DFKai-SB" w:hAnsi="DFKai-SB" w:eastAsia="DFKai-SB"/>
          <w:i/>
          <w:sz w:val="20"/>
        </w:rPr>
        <w:t>Figure: 邏輯及閘活化熱圖</w:t>
      </w:r>
    </w:p>
    <w:tbl>
      <w:tblPr>
        <w:tblStyle w:val="LightShading-Accent1"/>
        <w:tblW w:type="auto" w:w="0"/>
        <w:tblLook w:firstColumn="1" w:firstRow="1" w:lastColumn="0" w:lastRow="0" w:noHBand="0" w:noVBand="1" w:val="04A0"/>
      </w:tblPr>
      <w:tblGrid>
        <w:gridCol w:w="3139"/>
        <w:gridCol w:w="3139"/>
        <w:gridCol w:w="3139"/>
      </w:tblGrid>
      <w:tr>
        <w:tc>
          <w:tcPr>
            <w:tcW w:type="dxa" w:w="3139"/>
          </w:tcPr>
          <w:p>
            <w:pPr>
              <w:jc w:val="center"/>
            </w:pPr>
            <w:r>
              <w:rPr>
                <w:rFonts w:ascii="DFKai-SB" w:hAnsi="DFKai-SB" w:eastAsia="DFKai-SB"/>
                <w:b/>
                <w:sz w:val="20"/>
              </w:rPr>
              <w:t>Metric</w:t>
            </w:r>
          </w:p>
        </w:tc>
        <w:tc>
          <w:tcPr>
            <w:tcW w:type="dxa" w:w="3139"/>
          </w:tcPr>
          <w:p>
            <w:pPr>
              <w:jc w:val="center"/>
            </w:pPr>
            <w:r>
              <w:rPr>
                <w:rFonts w:ascii="DFKai-SB" w:hAnsi="DFKai-SB" w:eastAsia="DFKai-SB"/>
                <w:b/>
                <w:sz w:val="20"/>
              </w:rPr>
              <w:t>Formula / Definition</w:t>
            </w:r>
          </w:p>
        </w:tc>
        <w:tc>
          <w:tcPr>
            <w:tcW w:type="dxa" w:w="3139"/>
          </w:tcPr>
          <w:p>
            <w:pPr>
              <w:jc w:val="center"/>
            </w:pPr>
            <w:r>
              <w:rPr>
                <w:rFonts w:ascii="DFKai-SB" w:hAnsi="DFKai-SB" w:eastAsia="DFKai-SB"/>
                <w:b/>
                <w:sz w:val="20"/>
              </w:rPr>
              <w:t>Value</w:t>
            </w:r>
          </w:p>
        </w:tc>
      </w:tr>
      <w:tr>
        <w:tc>
          <w:tcPr>
            <w:tcW w:type="dxa" w:w="3139"/>
          </w:tcPr>
          <w:p>
            <w:pPr>
              <w:jc w:val="left"/>
            </w:pPr>
            <w:r>
              <w:rPr>
                <w:rFonts w:ascii="DFKai-SB" w:hAnsi="DFKai-SB" w:eastAsia="DFKai-SB"/>
                <w:sz w:val="20"/>
              </w:rPr>
              <w:t>ROC-AUC</w:t>
            </w:r>
          </w:p>
        </w:tc>
        <w:tc>
          <w:tcPr>
            <w:tcW w:type="dxa" w:w="3139"/>
          </w:tcPr>
          <w:p>
            <w:pPr>
              <w:jc w:val="center"/>
            </w:pPr>
            <w:r>
              <w:rPr>
                <w:rFonts w:ascii="DFKai-SB" w:hAnsi="DFKai-SB" w:eastAsia="DFKai-SB"/>
                <w:sz w:val="20"/>
              </w:rPr>
              <w:t>Area Under the ROC Curve</w:t>
            </w:r>
          </w:p>
        </w:tc>
        <w:tc>
          <w:tcPr>
            <w:tcW w:type="dxa" w:w="3139"/>
          </w:tcPr>
          <w:p>
            <w:pPr>
              <w:jc w:val="center"/>
            </w:pPr>
            <w:r>
              <w:rPr>
                <w:rFonts w:ascii="DFKai-SB" w:hAnsi="DFKai-SB" w:eastAsia="DFKai-SB"/>
                <w:sz w:val="20"/>
              </w:rPr>
              <w:t>0.9986</w:t>
            </w:r>
          </w:p>
        </w:tc>
      </w:tr>
      <w:tr>
        <w:tc>
          <w:tcPr>
            <w:tcW w:type="dxa" w:w="3139"/>
          </w:tcPr>
          <w:p>
            <w:pPr>
              <w:jc w:val="left"/>
            </w:pPr>
            <w:r>
              <w:rPr>
                <w:rFonts w:ascii="DFKai-SB" w:hAnsi="DFKai-SB" w:eastAsia="DFKai-SB"/>
                <w:sz w:val="20"/>
              </w:rPr>
              <w:t>Accuracy</w:t>
            </w:r>
          </w:p>
        </w:tc>
        <w:tc>
          <w:tcPr>
            <w:tcW w:type="dxa" w:w="3139"/>
          </w:tcPr>
          <w:p>
            <w:pPr>
              <w:jc w:val="center"/>
            </w:pPr>
            <w:r>
              <w:rPr>
                <w:rFonts w:ascii="DFKai-SB" w:hAnsi="DFKai-SB" w:eastAsia="DFKai-SB"/>
                <w:sz w:val="20"/>
              </w:rPr>
              <w:t>(TP + TN) / Total</w:t>
            </w:r>
          </w:p>
        </w:tc>
        <w:tc>
          <w:tcPr>
            <w:tcW w:type="dxa" w:w="3139"/>
          </w:tcPr>
          <w:p>
            <w:pPr>
              <w:jc w:val="center"/>
            </w:pPr>
            <w:r>
              <w:rPr>
                <w:rFonts w:ascii="DFKai-SB" w:hAnsi="DFKai-SB" w:eastAsia="DFKai-SB"/>
                <w:sz w:val="20"/>
              </w:rPr>
              <w:t>98.55%</w:t>
            </w:r>
          </w:p>
        </w:tc>
      </w:tr>
      <w:tr>
        <w:tc>
          <w:tcPr>
            <w:tcW w:type="dxa" w:w="3139"/>
          </w:tcPr>
          <w:p>
            <w:pPr>
              <w:jc w:val="left"/>
            </w:pPr>
            <w:r>
              <w:rPr>
                <w:rFonts w:ascii="DFKai-SB" w:hAnsi="DFKai-SB" w:eastAsia="DFKai-SB"/>
                <w:sz w:val="20"/>
              </w:rPr>
              <w:t>Sensitivity</w:t>
            </w:r>
          </w:p>
        </w:tc>
        <w:tc>
          <w:tcPr>
            <w:tcW w:type="dxa" w:w="3139"/>
          </w:tcPr>
          <w:p>
            <w:pPr>
              <w:jc w:val="center"/>
            </w:pPr>
            <w:r>
              <w:rPr>
                <w:rFonts w:ascii="DFKai-SB" w:hAnsi="DFKai-SB" w:eastAsia="DFKai-SB"/>
                <w:sz w:val="20"/>
              </w:rPr>
              <w:t>TP / (TP + FN)</w:t>
            </w:r>
          </w:p>
        </w:tc>
        <w:tc>
          <w:tcPr>
            <w:tcW w:type="dxa" w:w="3139"/>
          </w:tcPr>
          <w:p>
            <w:pPr>
              <w:jc w:val="center"/>
            </w:pPr>
            <w:r>
              <w:rPr>
                <w:rFonts w:ascii="DFKai-SB" w:hAnsi="DFKai-SB" w:eastAsia="DFKai-SB"/>
                <w:sz w:val="20"/>
              </w:rPr>
              <w:t>97.75%</w:t>
            </w:r>
          </w:p>
        </w:tc>
      </w:tr>
      <w:tr>
        <w:tc>
          <w:tcPr>
            <w:tcW w:type="dxa" w:w="3139"/>
          </w:tcPr>
          <w:p>
            <w:pPr>
              <w:jc w:val="left"/>
            </w:pPr>
            <w:r>
              <w:rPr>
                <w:rFonts w:ascii="DFKai-SB" w:hAnsi="DFKai-SB" w:eastAsia="DFKai-SB"/>
                <w:sz w:val="20"/>
              </w:rPr>
              <w:t>Specificity</w:t>
            </w:r>
          </w:p>
        </w:tc>
        <w:tc>
          <w:tcPr>
            <w:tcW w:type="dxa" w:w="3139"/>
          </w:tcPr>
          <w:p>
            <w:pPr>
              <w:jc w:val="center"/>
            </w:pPr>
            <w:r>
              <w:rPr>
                <w:rFonts w:ascii="DFKai-SB" w:hAnsi="DFKai-SB" w:eastAsia="DFKai-SB"/>
                <w:sz w:val="20"/>
              </w:rPr>
              <w:t>TN / (TN + FP)</w:t>
            </w:r>
          </w:p>
        </w:tc>
        <w:tc>
          <w:tcPr>
            <w:tcW w:type="dxa" w:w="3139"/>
          </w:tcPr>
          <w:p>
            <w:pPr>
              <w:jc w:val="center"/>
            </w:pPr>
            <w:r>
              <w:rPr>
                <w:rFonts w:ascii="DFKai-SB" w:hAnsi="DFKai-SB" w:eastAsia="DFKai-SB"/>
                <w:sz w:val="20"/>
              </w:rPr>
              <w:t>99.40%</w:t>
            </w:r>
          </w:p>
        </w:tc>
      </w:tr>
      <w:tr>
        <w:tc>
          <w:tcPr>
            <w:tcW w:type="dxa" w:w="3139"/>
          </w:tcPr>
          <w:p>
            <w:pPr>
              <w:jc w:val="left"/>
            </w:pPr>
            <w:r>
              <w:rPr>
                <w:rFonts w:ascii="DFKai-SB" w:hAnsi="DFKai-SB" w:eastAsia="DFKai-SB"/>
                <w:sz w:val="20"/>
              </w:rPr>
              <w:t>Decision Threshold</w:t>
            </w:r>
          </w:p>
        </w:tc>
        <w:tc>
          <w:tcPr>
            <w:tcW w:type="dxa" w:w="3139"/>
          </w:tcPr>
          <w:p>
            <w:pPr>
              <w:jc w:val="center"/>
            </w:pPr>
            <w:r>
              <w:rPr>
                <w:rFonts w:ascii="DFKai-SB" w:hAnsi="DFKai-SB" w:eastAsia="DFKai-SB"/>
                <w:sz w:val="20"/>
              </w:rPr>
              <w:t>Hill output threshold for ON state</w:t>
            </w:r>
          </w:p>
        </w:tc>
        <w:tc>
          <w:tcPr>
            <w:tcW w:type="dxa" w:w="3139"/>
          </w:tcPr>
          <w:p>
            <w:pPr>
              <w:jc w:val="center"/>
            </w:pPr>
            <w:r>
              <w:rPr>
                <w:rFonts w:ascii="DFKai-SB" w:hAnsi="DFKai-SB" w:eastAsia="DFKai-SB"/>
                <w:sz w:val="20"/>
              </w:rPr>
              <w:t>0.25</w:t>
            </w:r>
          </w:p>
        </w:tc>
      </w:tr>
    </w:tbl>
    <w:p>
      <w:pPr>
        <w:spacing w:after="120"/>
      </w:pPr>
    </w:p>
    <w:p>
      <w:pPr>
        <w:spacing w:after="80"/>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918857"/>
                    </a:xfrm>
                    <a:prstGeom prst="rect"/>
                  </pic:spPr>
                </pic:pic>
              </a:graphicData>
            </a:graphic>
          </wp:inline>
        </w:drawing>
      </w:r>
    </w:p>
    <w:p>
      <w:pPr>
        <w:spacing w:after="240"/>
        <w:jc w:val="center"/>
      </w:pPr>
      <w:r>
        <w:rPr>
          <w:rFonts w:ascii="DFKai-SB" w:hAnsi="DFKai-SB" w:eastAsia="DFKai-SB"/>
          <w:i/>
          <w:sz w:val="20"/>
        </w:rPr>
        <w:t>Figure: ROC 曲線比較圖</w:t>
      </w:r>
    </w:p>
    <w:p>
      <w:pPr>
        <w:spacing w:before="240" w:after="120"/>
      </w:pPr>
      <w:r>
        <w:rPr>
          <w:rFonts w:ascii="DFKai-SB" w:hAnsi="DFKai-SB" w:eastAsia="DFKai-SB"/>
          <w:b/>
          <w:sz w:val="28"/>
        </w:rPr>
        <w:t>表格 7：外部驗證結果 (GSE62452)</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DFKai-SB" w:hAnsi="DFKai-SB" w:eastAsia="DFKai-SB"/>
                <w:b/>
                <w:sz w:val="20"/>
              </w:rPr>
              <w:t>Metric</w:t>
            </w:r>
          </w:p>
        </w:tc>
        <w:tc>
          <w:tcPr>
            <w:tcW w:type="dxa" w:w="2354"/>
          </w:tcPr>
          <w:p>
            <w:pPr>
              <w:jc w:val="center"/>
            </w:pPr>
            <w:r>
              <w:rPr>
                <w:rFonts w:ascii="DFKai-SB" w:hAnsi="DFKai-SB" w:eastAsia="DFKai-SB"/>
                <w:b/>
                <w:sz w:val="20"/>
              </w:rPr>
              <w:t>Value in Discovery (TCGA+GTEx)</w:t>
            </w:r>
          </w:p>
        </w:tc>
        <w:tc>
          <w:tcPr>
            <w:tcW w:type="dxa" w:w="2354"/>
          </w:tcPr>
          <w:p>
            <w:pPr>
              <w:jc w:val="center"/>
            </w:pPr>
            <w:r>
              <w:rPr>
                <w:rFonts w:ascii="DFKai-SB" w:hAnsi="DFKai-SB" w:eastAsia="DFKai-SB"/>
                <w:b/>
                <w:sz w:val="20"/>
              </w:rPr>
              <w:t>Value in Validation (GSE62452)</w:t>
            </w:r>
          </w:p>
        </w:tc>
        <w:tc>
          <w:tcPr>
            <w:tcW w:type="dxa" w:w="2354"/>
          </w:tcPr>
          <w:p>
            <w:pPr>
              <w:jc w:val="center"/>
            </w:pPr>
            <w:r>
              <w:rPr>
                <w:rFonts w:ascii="DFKai-SB" w:hAnsi="DFKai-SB" w:eastAsia="DFKai-SB"/>
                <w:b/>
                <w:sz w:val="20"/>
              </w:rPr>
              <w:t>Interpretation</w:t>
            </w:r>
          </w:p>
        </w:tc>
      </w:tr>
      <w:tr>
        <w:tc>
          <w:tcPr>
            <w:tcW w:type="dxa" w:w="2354"/>
          </w:tcPr>
          <w:p>
            <w:pPr>
              <w:jc w:val="left"/>
            </w:pPr>
            <w:r>
              <w:rPr>
                <w:rFonts w:ascii="DFKai-SB" w:hAnsi="DFKai-SB" w:eastAsia="DFKai-SB"/>
                <w:sz w:val="20"/>
              </w:rPr>
              <w:t>Sample Size (N)</w:t>
            </w:r>
          </w:p>
        </w:tc>
        <w:tc>
          <w:tcPr>
            <w:tcW w:type="dxa" w:w="2354"/>
          </w:tcPr>
          <w:p>
            <w:pPr>
              <w:jc w:val="center"/>
            </w:pPr>
            <w:r>
              <w:rPr>
                <w:rFonts w:ascii="DFKai-SB" w:hAnsi="DFKai-SB" w:eastAsia="DFKai-SB"/>
                <w:sz w:val="20"/>
              </w:rPr>
              <w:t>345</w:t>
            </w:r>
          </w:p>
        </w:tc>
        <w:tc>
          <w:tcPr>
            <w:tcW w:type="dxa" w:w="2354"/>
          </w:tcPr>
          <w:p>
            <w:pPr>
              <w:jc w:val="center"/>
            </w:pPr>
            <w:r>
              <w:rPr>
                <w:rFonts w:ascii="DFKai-SB" w:hAnsi="DFKai-SB" w:eastAsia="DFKai-SB"/>
                <w:sz w:val="20"/>
              </w:rPr>
              <w:t>130</w:t>
            </w:r>
          </w:p>
        </w:tc>
        <w:tc>
          <w:tcPr>
            <w:tcW w:type="dxa" w:w="2354"/>
          </w:tcPr>
          <w:p>
            <w:pPr>
              <w:jc w:val="center"/>
            </w:pPr>
            <w:r>
              <w:rPr>
                <w:rFonts w:ascii="DFKai-SB" w:hAnsi="DFKai-SB" w:eastAsia="DFKai-SB"/>
                <w:sz w:val="20"/>
              </w:rPr>
              <w:t>Microarray vs RNA-seq</w:t>
            </w:r>
          </w:p>
        </w:tc>
      </w:tr>
      <w:tr>
        <w:tc>
          <w:tcPr>
            <w:tcW w:type="dxa" w:w="2354"/>
          </w:tcPr>
          <w:p>
            <w:pPr>
              <w:jc w:val="left"/>
            </w:pPr>
            <w:r>
              <w:rPr>
                <w:rFonts w:ascii="DFKai-SB" w:hAnsi="DFKai-SB" w:eastAsia="DFKai-SB"/>
                <w:sz w:val="20"/>
              </w:rPr>
              <w:t>ROC-AUC</w:t>
            </w:r>
          </w:p>
        </w:tc>
        <w:tc>
          <w:tcPr>
            <w:tcW w:type="dxa" w:w="2354"/>
          </w:tcPr>
          <w:p>
            <w:pPr>
              <w:jc w:val="center"/>
            </w:pPr>
            <w:r>
              <w:rPr>
                <w:rFonts w:ascii="DFKai-SB" w:hAnsi="DFKai-SB" w:eastAsia="DFKai-SB"/>
                <w:sz w:val="20"/>
              </w:rPr>
              <w:t>0.9986</w:t>
            </w:r>
          </w:p>
        </w:tc>
        <w:tc>
          <w:tcPr>
            <w:tcW w:type="dxa" w:w="2354"/>
          </w:tcPr>
          <w:p>
            <w:pPr>
              <w:jc w:val="center"/>
            </w:pPr>
            <w:r>
              <w:rPr>
                <w:rFonts w:ascii="DFKai-SB" w:hAnsi="DFKai-SB" w:eastAsia="DFKai-SB"/>
                <w:sz w:val="20"/>
              </w:rPr>
              <w:t>0.6483</w:t>
            </w:r>
          </w:p>
        </w:tc>
        <w:tc>
          <w:tcPr>
            <w:tcW w:type="dxa" w:w="2354"/>
          </w:tcPr>
          <w:p>
            <w:pPr>
              <w:jc w:val="center"/>
            </w:pPr>
            <w:r>
              <w:rPr>
                <w:rFonts w:ascii="DFKai-SB" w:hAnsi="DFKai-SB" w:eastAsia="DFKai-SB"/>
                <w:sz w:val="20"/>
              </w:rPr>
              <w:t>Reduced discrimination power</w:t>
            </w:r>
          </w:p>
        </w:tc>
      </w:tr>
      <w:tr>
        <w:tc>
          <w:tcPr>
            <w:tcW w:type="dxa" w:w="2354"/>
          </w:tcPr>
          <w:p>
            <w:pPr>
              <w:jc w:val="left"/>
            </w:pPr>
            <w:r>
              <w:rPr>
                <w:rFonts w:ascii="DFKai-SB" w:hAnsi="DFKai-SB" w:eastAsia="DFKai-SB"/>
                <w:sz w:val="20"/>
              </w:rPr>
              <w:t>Accuracy</w:t>
            </w:r>
          </w:p>
        </w:tc>
        <w:tc>
          <w:tcPr>
            <w:tcW w:type="dxa" w:w="2354"/>
          </w:tcPr>
          <w:p>
            <w:pPr>
              <w:jc w:val="center"/>
            </w:pPr>
            <w:r>
              <w:rPr>
                <w:rFonts w:ascii="DFKai-SB" w:hAnsi="DFKai-SB" w:eastAsia="DFKai-SB"/>
                <w:sz w:val="20"/>
              </w:rPr>
              <w:t>98.6%</w:t>
            </w:r>
          </w:p>
        </w:tc>
        <w:tc>
          <w:tcPr>
            <w:tcW w:type="dxa" w:w="2354"/>
          </w:tcPr>
          <w:p>
            <w:pPr>
              <w:jc w:val="center"/>
            </w:pPr>
            <w:r>
              <w:rPr>
                <w:rFonts w:ascii="DFKai-SB" w:hAnsi="DFKai-SB" w:eastAsia="DFKai-SB"/>
                <w:sz w:val="20"/>
              </w:rPr>
              <w:t>48.5%</w:t>
            </w:r>
          </w:p>
        </w:tc>
        <w:tc>
          <w:tcPr>
            <w:tcW w:type="dxa" w:w="2354"/>
          </w:tcPr>
          <w:p>
            <w:pPr>
              <w:jc w:val="center"/>
            </w:pPr>
            <w:r>
              <w:rPr>
                <w:rFonts w:ascii="DFKai-SB" w:hAnsi="DFKai-SB" w:eastAsia="DFKai-SB"/>
                <w:sz w:val="20"/>
              </w:rPr>
              <w:t>Impacted by platform shift</w:t>
            </w:r>
          </w:p>
        </w:tc>
      </w:tr>
      <w:tr>
        <w:tc>
          <w:tcPr>
            <w:tcW w:type="dxa" w:w="2354"/>
          </w:tcPr>
          <w:p>
            <w:pPr>
              <w:jc w:val="left"/>
            </w:pPr>
            <w:r>
              <w:rPr>
                <w:rFonts w:ascii="DFKai-SB" w:hAnsi="DFKai-SB" w:eastAsia="DFKai-SB"/>
                <w:sz w:val="20"/>
              </w:rPr>
              <w:t>Sensitivity</w:t>
            </w:r>
          </w:p>
        </w:tc>
        <w:tc>
          <w:tcPr>
            <w:tcW w:type="dxa" w:w="2354"/>
          </w:tcPr>
          <w:p>
            <w:pPr>
              <w:jc w:val="center"/>
            </w:pPr>
            <w:r>
              <w:rPr>
                <w:rFonts w:ascii="DFKai-SB" w:hAnsi="DFKai-SB" w:eastAsia="DFKai-SB"/>
                <w:sz w:val="20"/>
              </w:rPr>
              <w:t>97.8%</w:t>
            </w:r>
          </w:p>
        </w:tc>
        <w:tc>
          <w:tcPr>
            <w:tcW w:type="dxa" w:w="2354"/>
          </w:tcPr>
          <w:p>
            <w:pPr>
              <w:jc w:val="center"/>
            </w:pPr>
            <w:r>
              <w:rPr>
                <w:rFonts w:ascii="DFKai-SB" w:hAnsi="DFKai-SB" w:eastAsia="DFKai-SB"/>
                <w:sz w:val="20"/>
              </w:rPr>
              <w:t>4.3%</w:t>
            </w:r>
          </w:p>
        </w:tc>
        <w:tc>
          <w:tcPr>
            <w:tcW w:type="dxa" w:w="2354"/>
          </w:tcPr>
          <w:p>
            <w:pPr>
              <w:jc w:val="center"/>
            </w:pPr>
            <w:r>
              <w:rPr>
                <w:rFonts w:ascii="DFKai-SB" w:hAnsi="DFKai-SB" w:eastAsia="DFKai-SB"/>
                <w:sz w:val="20"/>
              </w:rPr>
              <w:t>Significant drop (platform scale mismatch)</w:t>
            </w:r>
          </w:p>
        </w:tc>
      </w:tr>
      <w:tr>
        <w:tc>
          <w:tcPr>
            <w:tcW w:type="dxa" w:w="2354"/>
          </w:tcPr>
          <w:p>
            <w:pPr>
              <w:jc w:val="left"/>
            </w:pPr>
            <w:r>
              <w:rPr>
                <w:rFonts w:ascii="DFKai-SB" w:hAnsi="DFKai-SB" w:eastAsia="DFKai-SB"/>
                <w:sz w:val="20"/>
              </w:rPr>
              <w:t>Specificity</w:t>
            </w:r>
          </w:p>
        </w:tc>
        <w:tc>
          <w:tcPr>
            <w:tcW w:type="dxa" w:w="2354"/>
          </w:tcPr>
          <w:p>
            <w:pPr>
              <w:jc w:val="center"/>
            </w:pPr>
            <w:r>
              <w:rPr>
                <w:rFonts w:ascii="DFKai-SB" w:hAnsi="DFKai-SB" w:eastAsia="DFKai-SB"/>
                <w:sz w:val="20"/>
              </w:rPr>
              <w:t>99.4%</w:t>
            </w:r>
          </w:p>
        </w:tc>
        <w:tc>
          <w:tcPr>
            <w:tcW w:type="dxa" w:w="2354"/>
          </w:tcPr>
          <w:p>
            <w:pPr>
              <w:jc w:val="center"/>
            </w:pPr>
            <w:r>
              <w:rPr>
                <w:rFonts w:ascii="DFKai-SB" w:hAnsi="DFKai-SB" w:eastAsia="DFKai-SB"/>
                <w:sz w:val="20"/>
              </w:rPr>
              <w:t>98.4%</w:t>
            </w:r>
          </w:p>
        </w:tc>
        <w:tc>
          <w:tcPr>
            <w:tcW w:type="dxa" w:w="2354"/>
          </w:tcPr>
          <w:p>
            <w:pPr>
              <w:jc w:val="center"/>
            </w:pPr>
            <w:r>
              <w:rPr>
                <w:rFonts w:ascii="DFKai-SB" w:hAnsi="DFKai-SB" w:eastAsia="DFKai-SB"/>
                <w:sz w:val="20"/>
              </w:rPr>
              <w:t>Highly conserved (retains safety profile)</w:t>
            </w:r>
          </w:p>
        </w:tc>
      </w:tr>
    </w:tbl>
    <w:p>
      <w:pPr>
        <w:spacing w:after="120"/>
      </w:pPr>
    </w:p>
    <w:p>
      <w:pPr>
        <w:spacing w:before="240" w:after="120"/>
      </w:pPr>
      <w:r>
        <w:rPr>
          <w:rFonts w:ascii="DFKai-SB" w:hAnsi="DFKai-SB" w:eastAsia="DFKai-SB"/>
          <w:b/>
          <w:sz w:val="36"/>
        </w:rPr>
        <w:t>十四、穩健性分析與負控制</w:t>
      </w:r>
    </w:p>
    <w:p>
      <w:pPr>
        <w:spacing w:after="120" w:line="360" w:lineRule="auto"/>
      </w:pPr>
      <w:r>
        <w:rPr>
          <w:rFonts w:ascii="DFKai-SB" w:hAnsi="DFKai-SB" w:eastAsia="DFKai-SB"/>
          <w:b w:val="0"/>
          <w:i w:val="0"/>
          <w:sz w:val="24"/>
        </w:rPr>
        <w:t>我們進行了兩項穩健性與負控制分析。首先，我們評估了 1,000 對隨機挑選的基因組合，其平均及閘 AUC 僅為 0.594，而 UBE2S + CCR6 組合的 AUC (0.999) 顯著高於隨機分布 (p &lt; 0.0001)，排除偶然性。其次，我們對 K_A 與 K_B 參數進行了 +-10%、+-25% 與 +-50% 的微擾分析，結果顯示，即使在 +-50% 的極端微擾下，及閘的 AUC 仍維持在 0.994 以上，證明該感測器對生化親和力 (affinity) 的波動具有極高的容錯能力。</w:t>
      </w:r>
    </w:p>
    <w:p>
      <w:pPr>
        <w:spacing w:before="240" w:after="120"/>
      </w:pPr>
      <w:r>
        <w:rPr>
          <w:rFonts w:ascii="DFKai-SB" w:hAnsi="DFKai-SB" w:eastAsia="DFKai-SB"/>
          <w:b/>
          <w:sz w:val="36"/>
        </w:rPr>
        <w:t>十五、研究限制</w:t>
      </w:r>
    </w:p>
    <w:p>
      <w:pPr>
        <w:spacing w:after="80" w:line="360" w:lineRule="auto"/>
      </w:pPr>
      <w:r>
        <w:rPr>
          <w:rFonts w:ascii="DFKai-SB" w:hAnsi="DFKai-SB" w:eastAsia="DFKai-SB"/>
          <w:b w:val="0"/>
          <w:i w:val="0"/>
          <w:sz w:val="24"/>
        </w:rPr>
        <w:t>- 本研究僅為電腦模擬之概念驗證，實際生化反應之動力學可能有所不同。</w:t>
      </w:r>
    </w:p>
    <w:p>
      <w:pPr>
        <w:spacing w:after="80" w:line="360" w:lineRule="auto"/>
      </w:pPr>
      <w:r>
        <w:rPr>
          <w:rFonts w:ascii="DFKai-SB" w:hAnsi="DFKai-SB" w:eastAsia="DFKai-SB"/>
          <w:b w:val="0"/>
          <w:i w:val="0"/>
          <w:sz w:val="24"/>
        </w:rPr>
        <w:t>- SHAP 推估之表達閾值為統計學之拐點，無法直接對應至物理學上的生化解離常數。</w:t>
      </w:r>
    </w:p>
    <w:p>
      <w:pPr>
        <w:spacing w:after="80" w:line="360" w:lineRule="auto"/>
      </w:pPr>
      <w:r>
        <w:rPr>
          <w:rFonts w:ascii="DFKai-SB" w:hAnsi="DFKai-SB" w:eastAsia="DFKai-SB"/>
          <w:b w:val="0"/>
          <w:i w:val="0"/>
          <w:sz w:val="24"/>
        </w:rPr>
        <w:t>- 組織轉錄體 (Bulk RNA-seq) 表達數據易受到細胞組成、腫瘤純度及免疫細胞浸潤之干擾。</w:t>
      </w:r>
    </w:p>
    <w:p>
      <w:pPr>
        <w:spacing w:after="80" w:line="360" w:lineRule="auto"/>
      </w:pPr>
      <w:r>
        <w:rPr>
          <w:rFonts w:ascii="DFKai-SB" w:hAnsi="DFKai-SB" w:eastAsia="DFKai-SB"/>
          <w:b w:val="0"/>
          <w:i w:val="0"/>
          <w:sz w:val="24"/>
        </w:rPr>
        <w:t>- 儘長經過 TOIL 管線標準化，TCGA (腫瘤) 與 GTEx (健康) 的比較可能仍存在部分批次效應。</w:t>
      </w:r>
    </w:p>
    <w:p>
      <w:pPr>
        <w:spacing w:after="80" w:line="360" w:lineRule="auto"/>
      </w:pPr>
      <w:r>
        <w:rPr>
          <w:rFonts w:ascii="DFKai-SB" w:hAnsi="DFKai-SB" w:eastAsia="DFKai-SB"/>
          <w:b w:val="0"/>
          <w:i w:val="0"/>
          <w:sz w:val="24"/>
        </w:rPr>
        <w:t>- 外部驗證世代中顯示極低的敏感度 (4.3%)，顯示跨平台定量尺度的不匹配是閾值轉移的重大挑戰。</w:t>
      </w:r>
    </w:p>
    <w:p>
      <w:pPr>
        <w:spacing w:after="80" w:line="360" w:lineRule="auto"/>
      </w:pPr>
      <w:r>
        <w:rPr>
          <w:rFonts w:ascii="DFKai-SB" w:hAnsi="DFKai-SB" w:eastAsia="DFKai-SB"/>
          <w:b w:val="0"/>
          <w:i w:val="0"/>
          <w:sz w:val="24"/>
        </w:rPr>
        <w:t>- 選定的候選基因對 (UBE2S + CCR6) 統計上並非嚴格正交，在 bulk RNA-seq 中的相關係數達 0.714。</w:t>
      </w:r>
    </w:p>
    <w:p>
      <w:pPr>
        <w:spacing w:after="80" w:line="360" w:lineRule="auto"/>
      </w:pPr>
      <w:r>
        <w:rPr>
          <w:rFonts w:ascii="DFKai-SB" w:hAnsi="DFKai-SB" w:eastAsia="DFKai-SB"/>
          <w:b w:val="0"/>
          <w:i w:val="0"/>
          <w:sz w:val="24"/>
        </w:rPr>
        <w:t>- 轉錄體層級之豐度差異不代表合成感測器之可及性，亦不保證有同等程度的蛋白質翻譯表現。</w:t>
      </w:r>
    </w:p>
    <w:p>
      <w:pPr>
        <w:spacing w:after="80" w:line="360" w:lineRule="auto"/>
      </w:pPr>
      <w:r>
        <w:rPr>
          <w:rFonts w:ascii="DFKai-SB" w:hAnsi="DFKai-SB" w:eastAsia="DFKai-SB"/>
          <w:b w:val="0"/>
          <w:i w:val="0"/>
          <w:sz w:val="24"/>
        </w:rPr>
        <w:t>- 將此候選組合轉譯為合成基因線路，仍需進行啟動子工程或 RNA 轉錄調節器設計，程序較為複雜。</w:t>
      </w:r>
    </w:p>
    <w:p>
      <w:pPr>
        <w:spacing w:after="80" w:line="360" w:lineRule="auto"/>
      </w:pPr>
      <w:r>
        <w:rPr>
          <w:rFonts w:ascii="DFKai-SB" w:hAnsi="DFKai-SB" w:eastAsia="DFKai-SB"/>
          <w:b w:val="0"/>
          <w:i w:val="0"/>
          <w:sz w:val="24"/>
        </w:rPr>
        <w:t>- 任何診斷或治療性之臨床應用，皆須經過細胞、動物與安全性的嚴格檢驗。</w:t>
      </w:r>
    </w:p>
    <w:p>
      <w:pPr>
        <w:spacing w:before="240" w:after="120"/>
      </w:pPr>
      <w:r>
        <w:rPr>
          <w:rFonts w:ascii="DFKai-SB" w:hAnsi="DFKai-SB" w:eastAsia="DFKai-SB"/>
          <w:b/>
          <w:sz w:val="36"/>
        </w:rPr>
        <w:t>十六、後續濕實驗驗證規劃</w:t>
      </w:r>
    </w:p>
    <w:p>
      <w:pPr>
        <w:spacing w:after="120" w:line="360" w:lineRule="auto"/>
      </w:pPr>
      <w:r>
        <w:rPr>
          <w:rFonts w:ascii="DFKai-SB" w:hAnsi="DFKai-SB" w:eastAsia="DFKai-SB"/>
          <w:b w:val="0"/>
          <w:i w:val="0"/>
          <w:sz w:val="24"/>
        </w:rPr>
        <w:t>為驗證此及閘感測器，我們規劃了合成啟動子 (synthetic promoters) 與合成 Notch (synNotch) 受體系統。將 UBE2S 與 CCR6 的上游特異性啟動子區段分別克隆至控制兩個正交轉錄因子 (如 tTA 與 LhG4) 的載體中。這兩個轉錄因子將共同驅動一個 split-transactivator 系統，只有當兩者同時表達時，才能組裝成完整的活化因子，進而啟動 GFP 報導基因或殺傷性載荷 (如 Diphtheria toxin A)。實驗將在 PANC-1、MIA PaCa-2 等胰臟癌細胞株與 HPDE 正常上皮細胞株進行活化特異性篩選，並在小鼠異種移植瘤模型 (xenograft mouse models) 中進行體內安全性與有效性驗證。</w:t>
      </w:r>
    </w:p>
    <w:p>
      <w:pPr>
        <w:spacing w:before="240" w:after="120"/>
      </w:pPr>
      <w:r>
        <w:rPr>
          <w:rFonts w:ascii="DFKai-SB" w:hAnsi="DFKai-SB" w:eastAsia="DFKai-SB"/>
          <w:b/>
          <w:sz w:val="36"/>
        </w:rPr>
        <w:t>十七、結論</w:t>
      </w:r>
    </w:p>
    <w:p>
      <w:pPr>
        <w:spacing w:after="120" w:line="360" w:lineRule="auto"/>
      </w:pPr>
      <w:r>
        <w:rPr>
          <w:rFonts w:ascii="DFKai-SB" w:hAnsi="DFKai-SB" w:eastAsia="DFKai-SB"/>
          <w:b w:val="0"/>
          <w:i w:val="0"/>
          <w:sz w:val="24"/>
        </w:rPr>
        <w:t>總結而言，本研究成功建立了一套數據驅動的運算框架，用於篩選胰臟癌及閘生物感測器的最優輸入基因對。透過結合差異表達、機器學習、可解釋型人工智慧與數學模擬，選定 UBE2S 與 CCR6 作為雙輸入特徵。此組合不僅在電腦模擬中表現出極高的分類準確度與特異度，更代表了胰臟癌的兩個核心特徵：細胞週期失控與腫瘤微環境發炎。本分析管線具備高度的可重現性與擴展性，可推廣至其他癌症類型或多輸入邏輯閘的設計中。</w:t>
      </w:r>
    </w:p>
    <w:p>
      <w:pPr>
        <w:spacing w:before="240" w:after="120"/>
      </w:pPr>
      <w:r>
        <w:rPr>
          <w:rFonts w:ascii="DFKai-SB" w:hAnsi="DFKai-SB" w:eastAsia="DFKai-SB"/>
          <w:b/>
          <w:sz w:val="36"/>
        </w:rPr>
        <w:t>十八、參考文獻</w:t>
      </w:r>
    </w:p>
    <w:p>
      <w:pPr>
        <w:spacing w:after="80" w:line="360" w:lineRule="auto"/>
      </w:pPr>
      <w:r>
        <w:rPr>
          <w:rFonts w:ascii="DFKai-SB" w:hAnsi="DFKai-SB" w:eastAsia="DFKai-SB"/>
          <w:b w:val="0"/>
          <w:i w:val="0"/>
          <w:sz w:val="24"/>
        </w:rPr>
        <w:t>Siegel, R. L., Giaquinto, A. N., &amp; Jemal, A. (2024). Cancer Statistics, 2024. CA: A Cancer Journal for Clinicians, 74(1), 12-49.</w:t>
      </w:r>
    </w:p>
    <w:p>
      <w:pPr>
        <w:spacing w:after="80" w:line="360" w:lineRule="auto"/>
      </w:pPr>
      <w:r>
        <w:rPr>
          <w:rFonts w:ascii="DFKai-SB" w:hAnsi="DFKai-SB" w:eastAsia="DFKai-SB"/>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DFKai-SB" w:hAnsi="DFKai-SB" w:eastAsia="DFKai-SB"/>
          <w:b w:val="0"/>
          <w:i w:val="0"/>
          <w:sz w:val="24"/>
        </w:rPr>
        <w:t>Neesse, A., Algül, H., Tuveson, D. A., &amp; Gress, T. M. (2015). Stromal biology and therapy in pancreatic cancer: a changing paradigm. Gut, 64(9), 1476-1484.</w:t>
      </w:r>
    </w:p>
    <w:p>
      <w:pPr>
        <w:spacing w:after="80" w:line="360" w:lineRule="auto"/>
      </w:pPr>
      <w:r>
        <w:rPr>
          <w:rFonts w:ascii="DFKai-SB" w:hAnsi="DFKai-SB" w:eastAsia="DFKai-SB"/>
          <w:b w:val="0"/>
          <w:i w:val="0"/>
          <w:sz w:val="24"/>
        </w:rPr>
        <w:t>Lundberg, S. M., &amp; Lee, S. I. (2017). A unified approach to interpreting model predictions. Advances in Neural Information Processing Systems, 30, 4765-4774.</w:t>
      </w:r>
    </w:p>
    <w:p>
      <w:pPr>
        <w:spacing w:after="80" w:line="360" w:lineRule="auto"/>
      </w:pPr>
      <w:r>
        <w:rPr>
          <w:rFonts w:ascii="DFKai-SB" w:hAnsi="DFKai-SB" w:eastAsia="DFKai-SB"/>
          <w:b w:val="0"/>
          <w:i w:val="0"/>
          <w:sz w:val="24"/>
        </w:rPr>
        <w:t>Hill, A. V. (1910). The possible effects of the aggregation of the molecules of haemoglobin on its dissociation curves. The Journal of Physiology, 40, iv-vii.</w:t>
      </w:r>
    </w:p>
    <w:p>
      <w:r>
        <w:br w:type="page"/>
      </w:r>
    </w:p>
    <w:p>
      <w:pPr>
        <w:spacing w:before="240" w:after="120"/>
      </w:pPr>
      <w:r>
        <w:rPr>
          <w:rFonts w:ascii="DFKai-SB" w:hAnsi="DFKai-SB" w:eastAsia="DFKai-SB"/>
          <w:b/>
          <w:sz w:val="36"/>
        </w:rPr>
        <w:t>十九、補充表格與圖</w:t>
      </w:r>
    </w:p>
    <w:p>
      <w:pPr>
        <w:spacing w:after="120" w:line="360" w:lineRule="auto"/>
      </w:pPr>
      <w:r>
        <w:rPr>
          <w:rFonts w:ascii="DFKai-SB" w:hAnsi="DFKai-SB" w:eastAsia="DFKai-SB"/>
          <w:b w:val="0"/>
          <w:i w:val="0"/>
          <w:sz w:val="24"/>
        </w:rPr>
        <w:t>補充表格 1：參數掃描結果。此掃描評估了希爾係數 n 從 1 到 4，以及基底洩漏量從 0.0 到 0.1 的影響，最優值為 n=1, P_basal=0.0。</w:t>
        <w:br/>
        <w:t>補充表格 2：前 100 個 SHAP 候選基因及其推估閾值。雖然許多非編碼基因排在前列，但考量到啟動子設計的可行性，我們優先挑選了 UBE2S 與 CCR6 等蛋白編碼基因。</w:t>
      </w:r>
    </w:p>
    <w:p>
      <w:pPr>
        <w:spacing w:before="240" w:after="120"/>
      </w:pPr>
      <w:r>
        <w:rPr>
          <w:rFonts w:ascii="DFKai-SB" w:hAnsi="DFKai-SB" w:eastAsia="DFKai-SB"/>
          <w:b/>
          <w:sz w:val="28"/>
        </w:rPr>
        <w:t>補充表格 1：希爾方程式網格掃描參數表現結果</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Hill 係數 (n)</w:t>
            </w:r>
          </w:p>
        </w:tc>
        <w:tc>
          <w:tcPr>
            <w:tcW w:type="dxa" w:w="1570"/>
          </w:tcPr>
          <w:p>
            <w:pPr>
              <w:jc w:val="center"/>
            </w:pPr>
            <w:r>
              <w:rPr>
                <w:rFonts w:ascii="DFKai-SB" w:hAnsi="DFKai-SB" w:eastAsia="DFKai-SB"/>
                <w:b/>
                <w:sz w:val="20"/>
              </w:rPr>
              <w:t>基底洩漏量 (P_basal)</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準確度</w:t>
            </w:r>
          </w:p>
        </w:tc>
        <w:tc>
          <w:tcPr>
            <w:tcW w:type="dxa" w:w="1570"/>
          </w:tcPr>
          <w:p>
            <w:pPr>
              <w:jc w:val="center"/>
            </w:pPr>
            <w:r>
              <w:rPr>
                <w:rFonts w:ascii="DFKai-SB" w:hAnsi="DFKai-SB" w:eastAsia="DFKai-SB"/>
                <w:b/>
                <w:sz w:val="20"/>
              </w:rPr>
              <w:t>敏感度</w:t>
            </w:r>
          </w:p>
        </w:tc>
        <w:tc>
          <w:tcPr>
            <w:tcW w:type="dxa" w:w="1570"/>
          </w:tcPr>
          <w:p>
            <w:pPr>
              <w:jc w:val="center"/>
            </w:pPr>
            <w:r>
              <w:rPr>
                <w:rFonts w:ascii="DFKai-SB" w:hAnsi="DFKai-SB" w:eastAsia="DFKai-SB"/>
                <w:b/>
                <w:sz w:val="20"/>
              </w:rPr>
              <w:t>特異度</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0.05</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bl>
    <w:p>
      <w:pPr>
        <w:spacing w:after="120"/>
      </w:pPr>
    </w:p>
    <w:p>
      <w:pPr>
        <w:spacing w:before="240" w:after="120"/>
      </w:pPr>
      <w:r>
        <w:rPr>
          <w:rFonts w:ascii="DFKai-SB" w:hAnsi="DFKai-SB" w:eastAsia="DFKai-SB"/>
          <w:b/>
          <w:sz w:val="28"/>
        </w:rPr>
        <w:t>補充表格 2：K 參數微擾對分類效能影響之敏感度分析</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UBE2S Threshold (K_A)</w:t>
            </w:r>
          </w:p>
        </w:tc>
        <w:tc>
          <w:tcPr>
            <w:tcW w:type="dxa" w:w="1570"/>
          </w:tcPr>
          <w:p>
            <w:pPr>
              <w:jc w:val="center"/>
            </w:pPr>
            <w:r>
              <w:rPr>
                <w:rFonts w:ascii="DFKai-SB" w:hAnsi="DFKai-SB" w:eastAsia="DFKai-SB"/>
                <w:b/>
                <w:sz w:val="20"/>
              </w:rPr>
              <w:t>CCR6 Threshold (K_B)</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Accuracy</w:t>
            </w:r>
          </w:p>
        </w:tc>
        <w:tc>
          <w:tcPr>
            <w:tcW w:type="dxa" w:w="1570"/>
          </w:tcPr>
          <w:p>
            <w:pPr>
              <w:jc w:val="center"/>
            </w:pPr>
            <w:r>
              <w:rPr>
                <w:rFonts w:ascii="DFKai-SB" w:hAnsi="DFKai-SB" w:eastAsia="DFKai-SB"/>
                <w:b/>
                <w:sz w:val="20"/>
              </w:rPr>
              <w:t>Sensitivity</w:t>
            </w:r>
          </w:p>
        </w:tc>
        <w:tc>
          <w:tcPr>
            <w:tcW w:type="dxa" w:w="1570"/>
          </w:tcPr>
          <w:p>
            <w:pPr>
              <w:jc w:val="center"/>
            </w:pPr>
            <w:r>
              <w:rPr>
                <w:rFonts w:ascii="DFKai-SB" w:hAnsi="DFKai-SB" w:eastAsia="DFKai-SB"/>
                <w:b/>
                <w:sz w:val="20"/>
              </w:rPr>
              <w:t>Specificity</w:t>
            </w:r>
          </w:p>
        </w:tc>
      </w:tr>
      <w:tr>
        <w:tc>
          <w:tcPr>
            <w:tcW w:type="dxa" w:w="1570"/>
          </w:tcPr>
          <w:p>
            <w:pPr>
              <w:jc w:val="left"/>
            </w:pPr>
            <w:r>
              <w:rPr>
                <w:rFonts w:ascii="DFKai-SB" w:hAnsi="DFKai-SB" w:eastAsia="DFKai-SB"/>
                <w:sz w:val="20"/>
              </w:rPr>
              <w:t>0.760 (Baseline)</w:t>
            </w:r>
          </w:p>
        </w:tc>
        <w:tc>
          <w:tcPr>
            <w:tcW w:type="dxa" w:w="1570"/>
          </w:tcPr>
          <w:p>
            <w:pPr>
              <w:jc w:val="center"/>
            </w:pPr>
            <w:r>
              <w:rPr>
                <w:rFonts w:ascii="DFKai-SB" w:hAnsi="DFKai-SB" w:eastAsia="DFKai-SB"/>
                <w:sz w:val="20"/>
              </w:rPr>
              <w:t>0.464 (Baseline)</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0.380 (-50%)</w:t>
            </w:r>
          </w:p>
        </w:tc>
        <w:tc>
          <w:tcPr>
            <w:tcW w:type="dxa" w:w="1570"/>
          </w:tcPr>
          <w:p>
            <w:pPr>
              <w:jc w:val="center"/>
            </w:pPr>
            <w:r>
              <w:rPr>
                <w:rFonts w:ascii="DFKai-SB" w:hAnsi="DFKai-SB" w:eastAsia="DFKai-SB"/>
                <w:sz w:val="20"/>
              </w:rPr>
              <w:t>0.232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86.4%</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0.684 (-10%)</w:t>
            </w:r>
          </w:p>
        </w:tc>
        <w:tc>
          <w:tcPr>
            <w:tcW w:type="dxa" w:w="1570"/>
          </w:tcPr>
          <w:p>
            <w:pPr>
              <w:jc w:val="center"/>
            </w:pPr>
            <w:r>
              <w:rPr>
                <w:rFonts w:ascii="DFKai-SB" w:hAnsi="DFKai-SB" w:eastAsia="DFKai-SB"/>
                <w:sz w:val="20"/>
              </w:rPr>
              <w:t>0.418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98.0%</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0.836 (+10%)</w:t>
            </w:r>
          </w:p>
        </w:tc>
        <w:tc>
          <w:tcPr>
            <w:tcW w:type="dxa" w:w="1570"/>
          </w:tcPr>
          <w:p>
            <w:pPr>
              <w:jc w:val="center"/>
            </w:pPr>
            <w:r>
              <w:rPr>
                <w:rFonts w:ascii="DFKai-SB" w:hAnsi="DFKai-SB" w:eastAsia="DFKai-SB"/>
                <w:sz w:val="20"/>
              </w:rPr>
              <w:t>0.510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97.7%</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1.140 (+50%)</w:t>
            </w:r>
          </w:p>
        </w:tc>
        <w:tc>
          <w:tcPr>
            <w:tcW w:type="dxa" w:w="1570"/>
          </w:tcPr>
          <w:p>
            <w:pPr>
              <w:jc w:val="center"/>
            </w:pPr>
            <w:r>
              <w:rPr>
                <w:rFonts w:ascii="DFKai-SB" w:hAnsi="DFKai-SB" w:eastAsia="DFKai-SB"/>
                <w:sz w:val="20"/>
              </w:rPr>
              <w:t>0.696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53.6%</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bl>
    <w:p>
      <w:pPr>
        <w:spacing w:after="120"/>
      </w:pPr>
    </w:p>
    <w:p>
      <w:pPr>
        <w:spacing w:before="240" w:after="120"/>
      </w:pPr>
      <w:r>
        <w:rPr>
          <w:rFonts w:ascii="DFKai-SB" w:hAnsi="DFKai-SB" w:eastAsia="DFKai-SB"/>
          <w:b/>
          <w:sz w:val="28"/>
        </w:rPr>
        <w:t>補充圖：SHAP 依賴圖</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UBE2S SHAP 依賴圖</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CCR6 SHAP 依賴圖</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