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360"/>
        <w:jc w:val="center"/>
      </w:pPr>
      <w:r>
        <w:rPr>
          <w:rFonts w:ascii="Arial" w:hAnsi="Arial"/>
          <w:b/>
          <w:sz w:val="40"/>
        </w:rPr>
        <w:t>Data-Driven Design of a Logic-Gated Biosensor via Unbiased Transcriptomic Profiling of Pancreatic Tumor Microenvironment</w:t>
      </w:r>
    </w:p>
    <w:p>
      <w:pPr>
        <w:spacing w:after="120"/>
        <w:jc w:val="center"/>
      </w:pPr>
      <w:r>
        <w:rPr>
          <w:rFonts w:ascii="Times New Roman" w:hAnsi="Times New Roman"/>
          <w:sz w:val="24"/>
        </w:rPr>
        <w:t>SHIH, Chen-Jung, SU, Te-Fang, LIAO, Xuan-You, and LIN, Chia-I</w:t>
      </w:r>
    </w:p>
    <w:p>
      <w:pPr>
        <w:spacing w:after="360"/>
        <w:jc w:val="center"/>
      </w:pPr>
      <w:r>
        <w:rPr>
          <w:rFonts w:ascii="Times New Roman" w:hAnsi="Times New Roman"/>
          <w:sz w:val="20"/>
        </w:rPr>
        <w:t>Department of Life Science, National Taiwan University</w:t>
        <w:br/>
        <w:t>Department of Biochemical Science and Technology, National Taiwan University</w:t>
      </w:r>
    </w:p>
    <w:p>
      <w:r>
        <w:br w:type="page"/>
      </w:r>
    </w:p>
    <w:p>
      <w:pPr>
        <w:spacing w:before="240" w:after="120"/>
      </w:pPr>
      <w:r>
        <w:rPr>
          <w:rFonts w:ascii="Arial" w:hAnsi="Arial"/>
          <w:b/>
          <w:sz w:val="28"/>
        </w:rPr>
        <w:t>Abstract</w:t>
      </w:r>
    </w:p>
    <w:p>
      <w:pPr>
        <w:spacing w:after="120" w:line="276" w:lineRule="auto"/>
      </w:pPr>
      <w:r>
        <w:rPr>
          <w:rFonts w:ascii="Times New Roman" w:hAnsi="Times New Roman"/>
          <w:sz w:val="22"/>
        </w:rPr>
        <w:t>Pancreatic ductal adenocarcinoma (PDAC) remains a highly lethal malignancy with a 5-year survival rate below 12%, primarily due to late-stage diagnosis and a lack of specific tumor biomarkers. In this study, we present a rigorous second-generation (v2) data-driven computational pipeline to identify optimal candidate gene pairs for a synthetic biology AND-gate biosensor designed to discriminate PDAC from normal tissue. We utilized transcriptomic data from the TCGA-PAAD (n=178 tumors) and GTEx Normal Pancreas (n=167 normal tissues) cohorts as a discovery cohort. To address cohort-specific batch effects and source-confounding in the discovery dataset, we integrated a same-cohort tumor/normal validation dataset (GSE62452, n=130) as an early filtering step to retain only cross-dataset stable genes. Model-consensus feature prioritization was performed using L1-regularized Logistic Regression, Random Forest, and XGBoost. Explainable AI (SHAP) was applied to the top consensus genes to infer expression thresholds. The optimal pair, CEACAM5 and CST1, was selected based on orthogonality, tumor activation, and normal tissue specificity. In tumors, CEACAM5 and CST1 exhibit a Pearson correlation of 0.355, indicating statistical orthogonality. Single-cell RNA-seq (Peng et al. 2019) and spatial transcriptomics validation confirmed that both CEACAM5 and CST1 are highly co-expressed in malignant ductal epithelial cells, supporting a cell-intrinsic AND-gate circuit design. Simulating the dual-input Hill-equation AND-gate model yielded an AUC of 0.984 (sensitivity 92.1%, specificity 100.0%) in the discovery cohort, an AUC of 0.873 (sensitivity 59.4%, specificity 93.4%) in same-cohort validation, and an AUC of 0.896 (sensitivity 64.4%, specificity 93.3%) on an independent external validation dataset (GSE28735, n=90), overcoming the sensitivity collapse observed in the first-generation design (UBE2S + CCR6 validation sensitivity of 4.3%). Our pipeline provides a robust framework for logic-gated synthetic sensor design, bridging the gap between bioinformatics and cell-intrinsic wet-lab implementation.</w:t>
      </w:r>
    </w:p>
    <w:p>
      <w:pPr>
        <w:sectPr>
          <w:pgSz w:w="12240" w:h="15840"/>
          <w:pgMar w:top="1440" w:right="1440" w:bottom="1440" w:left="1440" w:header="720" w:footer="720" w:gutter="0"/>
          <w:cols w:space="720"/>
          <w:docGrid w:linePitch="360"/>
        </w:sectPr>
      </w:pPr>
    </w:p>
    <w:p>
      <w:pPr>
        <w:spacing w:before="240" w:after="120"/>
      </w:pPr>
      <w:r>
        <w:rPr>
          <w:rFonts w:ascii="Arial" w:hAnsi="Arial"/>
          <w:b/>
          <w:sz w:val="28"/>
        </w:rPr>
        <w:t>I. Introduction</w:t>
      </w:r>
    </w:p>
    <w:p>
      <w:pPr>
        <w:spacing w:after="120" w:line="276" w:lineRule="auto"/>
      </w:pPr>
      <w:r>
        <w:rPr>
          <w:rFonts w:ascii="Times New Roman" w:hAnsi="Times New Roman"/>
          <w:sz w:val="22"/>
        </w:rPr>
        <w:t>Pancreatic ductal adenocarcinoma (PDAC) is characterized by a silent progression, aggressive metastatic potential, and a dense desmoplastic tumor microenvironment (TME) that acts as a physical and immunological barrier. Consequently, traditional systemic chemotherapies and emerging targeted immunotherapies, such as chimeric antigen receptor (CAR) T-cell therapy, face severe limitations. One of the main hurdles is the lack of single antigens that are uniquely expressed on cancer cells without causing off-target toxicity in healthy organs. Synthetic biology provides a powerful paradigm to address this challenge by engineering logic-gated genetic circuits. An AND-gate biosensor requires the simultaneous presence of two inputs to trigger a downstream reporter or therapeutic output. By selecting two orthogonal biomarkers, we can dramatically increase the safety and specificity of targeted therapies, ensuring activation only within the tumor microenvironment. This study develops a computational framework for the design of such logic-gated circuits using unbiased, genome-wide transcriptomic profiling.</w:t>
      </w:r>
    </w:p>
    <w:p>
      <w:pPr>
        <w:spacing w:before="240" w:after="120"/>
      </w:pPr>
      <w:r>
        <w:rPr>
          <w:rFonts w:ascii="Arial" w:hAnsi="Arial"/>
          <w:b/>
          <w:sz w:val="28"/>
        </w:rPr>
        <w:t>II. Scientific Rationale and Cohort Selection Upgrade</w:t>
      </w:r>
    </w:p>
    <w:p>
      <w:pPr>
        <w:spacing w:after="120" w:line="276" w:lineRule="auto"/>
      </w:pPr>
      <w:r>
        <w:rPr>
          <w:rFonts w:ascii="Times New Roman" w:hAnsi="Times New Roman"/>
          <w:sz w:val="22"/>
        </w:rPr>
        <w:t>The desmoplastic stroma of PDAC contains diverse cell populations, including cancer-associated fibroblasts (CAFs), extracellular matrix components, and infiltrating immune cells, which collectively modulate tumor progression and therapy resistance. Conventional targeting strategies often focus on highly overexpressed single proteins (e.g., mesothelin or CEA), which are frequently present at lower levels in normal tissues, leading to 'on-target, off-tumor' toxicity. The AND-gate logic circuit solves this issue by requiring two distinct biological inputs (Input A and Input B) to be active. If only one input is present, the gate remains closed (OFF). This requirement ensures that tissues expressing only one of the markers remain unaffected. To maximize safety, the two inputs must be orthogonal—meaning they operate through distinct physiological pathways, minimizing the likelihood of simultaneous upregulation in healthy tissues under stress or inflammatory conditions.</w:t>
        <w:br/>
        <w:br/>
        <w:t>The first-generation pipeline (v1) utilized TCGA-PAAD tumor samples and GTEx normal pancreas samples as a discovery cohort. While useful for large-scale screening, this design was fundamentally source-confounded: all tumor samples came from TCGA, while all normal samples came from GTEx. A classifier trained on this boundary risked learning batch-specific technical differences rather than cancer biology. Indeed, the selected v1 pair (UBE2S + CCR6) achieved near-perfect performance in discovery but collapsed in external validation on GSE62452, showing a sensitivity of only 4.3%. To address this scale mismatch and batch confounding, the second-generation pipeline (v2) introduces same-cohort validation using GSE62452 (which contains matched tumor and adjacent normal samples from the same study) as an early filtering step, retaining only genes whose differential expression is stable across both datasets.</w:t>
      </w:r>
    </w:p>
    <w:p>
      <w:pPr>
        <w:spacing w:before="240" w:after="120"/>
      </w:pPr>
      <w:r>
        <w:rPr>
          <w:rFonts w:ascii="Arial" w:hAnsi="Arial"/>
          <w:b/>
          <w:sz w:val="28"/>
        </w:rPr>
        <w:t>III. Data Sources and Preprocessing</w:t>
      </w:r>
    </w:p>
    <w:p>
      <w:pPr>
        <w:spacing w:after="120" w:line="276" w:lineRule="auto"/>
      </w:pPr>
      <w:r>
        <w:rPr>
          <w:rFonts w:ascii="Times New Roman" w:hAnsi="Times New Roman"/>
          <w:sz w:val="22"/>
        </w:rPr>
        <w:t>To establish a robust discovery cohort, we integrated transcriptomic data from two primary public sources: the Cancer Genome Atlas (TCGA-PAAD, representing primary pancreatic tumors, n=178) and the Genotype-Tissue Expression (GTEx, representing healthy normal pancreas tissue, n=167). The raw expression values were processed as RSEM Transcripts Per Million (TPM) and harmonized via the TOIL pipeline to minimize batch effects. For same-cohort validation, we utilized the GSE62452 dataset from the Gene Expression Omnibus (GEO), containing 130 pancreatic tissue samples (69 tumor and 61 normal adjacent tissues) analyzed using the Affymetrix GPL6244 microarray platform. For independent final validation, we retrieved the GSE28735 dataset, containing 90 matched tumor and adjacent non-tumor pancreas tissues from 45 patients. This multi-dataset design ensures that our candidate pairs are robust across sequencing and microarray platforms.</w:t>
      </w:r>
    </w:p>
    <w:p>
      <w:pPr>
        <w:spacing w:before="240" w:after="120"/>
      </w:pPr>
      <w:r>
        <w:rPr>
          <w:rFonts w:ascii="Arial" w:hAnsi="Arial"/>
          <w:b/>
          <w:sz w:val="28"/>
        </w:rPr>
        <w:t>IV. Computational Pipeline</w:t>
      </w:r>
    </w:p>
    <w:p>
      <w:pPr>
        <w:spacing w:after="120" w:line="276" w:lineRule="auto"/>
      </w:pPr>
      <w:r>
        <w:rPr>
          <w:rFonts w:ascii="Times New Roman" w:hAnsi="Times New Roman"/>
          <w:sz w:val="22"/>
        </w:rPr>
        <w:t>The computational design pipeline was built in Python 3.13 and executed on the National Center for High-Performance Computing (NCHC) biomedical node. The workflow proceeds through nine sequential stages: (1) Data fetching and preprocessing, (2) Differential expression analysis in the discovery cohort (TCGA+GTEx), (3) Same-cohort validation using GSE62452, (4) Filtering of stable cross-dataset genes, (5) Model-consensus feature prioritization using L1-regularized Logistic Regression, Random Forest, and XGBoost, (6) SHAP-based threshold inference, (7) Pair selection with a Pearson correlation penalty, (8) Hill-equation-based mathematical simulation of the AND gate, and (9) Single-cell and spatial transcriptomic validation using public references.</w:t>
      </w:r>
    </w:p>
    <w:p>
      <w:pPr>
        <w:spacing w:before="240" w:after="120"/>
      </w:pPr>
      <w:r>
        <w:rPr>
          <w:rFonts w:ascii="Arial" w:hAnsi="Arial"/>
          <w:b/>
          <w:sz w:val="28"/>
        </w:rPr>
        <w:t>V. Quality Control and Batch-Effect Assessment</w:t>
      </w:r>
    </w:p>
    <w:p>
      <w:pPr>
        <w:spacing w:after="120" w:line="276" w:lineRule="auto"/>
      </w:pPr>
      <w:r>
        <w:rPr>
          <w:rFonts w:ascii="Times New Roman" w:hAnsi="Times New Roman"/>
          <w:sz w:val="22"/>
        </w:rPr>
        <w:t>Quality control (QC) was performed on the raw TOIL TPM matrix. Out of 60,498 annotated genes, near-zero variance genes were filtered, resulting in a clean dataset of 58,581 features. Group balances were verified to be adequate (178 tumor vs 167 normal). Principal component analysis (PCA) and density checks were conducted. Although TCGA and GTEx are distinct data sources, the TOIL pipeline harmonization successfully aligned the dynamic range of non-zero genes, rendering them comparable. Standard min-max normalization was subsequently applied to scale all expression values to the range [0, 1] for mathematical modeling of the synthetic gate.</w:t>
      </w:r>
    </w:p>
    <w:p>
      <w:pPr>
        <w:spacing w:before="240" w:after="120"/>
      </w:pPr>
      <w:r>
        <w:rPr>
          <w:rFonts w:ascii="Arial" w:hAnsi="Arial"/>
          <w:b/>
          <w:sz w:val="28"/>
        </w:rPr>
        <w:t>VI. Differential Expression Analysis</w:t>
      </w:r>
    </w:p>
    <w:p>
      <w:pPr>
        <w:spacing w:after="120" w:line="276" w:lineRule="auto"/>
      </w:pPr>
      <w:r>
        <w:rPr>
          <w:rFonts w:ascii="Times New Roman" w:hAnsi="Times New Roman"/>
          <w:sz w:val="22"/>
        </w:rPr>
        <w:t>We performed differential expression (DE) analysis comparing the 178 PDAC tumor samples against the 167 normal pancreas samples. For each of the 58,581 genes, we computed the log2 fold change (log2FC) and Welch's t-test p-value, applying Benjamini-Hochberg FDR correction. Additionally, a single-gene ROC-AUC score was calculated for each feature. Tumor-high genes in the discovery cohort were defined using the thresholds: log2FC &gt;= 1.0, FDR &lt; 0.05, and AUC &gt;= 0.80, identifying 13,413 candidates. These genes were then crossed with the same-cohort validation dataset (GSE62452), requiring log2FC &gt;= 0.5, FDR &lt; 0.05, and AUC &gt;= 0.70 in GSE62452. A total of 888 genes met these strict cross-dataset stability criteria and were retained for machine learning selection.</w:t>
      </w:r>
    </w:p>
    <w:p>
      <w:pPr>
        <w:spacing w:before="240" w:after="120"/>
      </w:pPr>
      <w:r>
        <w:rPr>
          <w:rFonts w:ascii="Arial" w:hAnsi="Arial"/>
          <w:b/>
          <w:sz w:val="28"/>
        </w:rPr>
        <w:t>VII. Machine Learning Classifier Performance</w:t>
      </w:r>
    </w:p>
    <w:p>
      <w:pPr>
        <w:spacing w:after="120" w:line="276" w:lineRule="auto"/>
      </w:pPr>
      <w:r>
        <w:rPr>
          <w:rFonts w:ascii="Times New Roman" w:hAnsi="Times New Roman"/>
          <w:sz w:val="22"/>
        </w:rPr>
        <w:t>To prioritize the most predictive genes, we trained three classifiers on the 888 cross-dataset stable genes: L1-regularized Logistic Regression (Lasso), Random Forest (100 estimators), and XGBoost. All three models achieved perfect classification performance on the training split, with an AUC of 1.000, accuracy of 100.0%, sensitivity of 100.0%, and specificity of 100.0%. Feature importance rankings were extracted from all three models: absolute coefficient weights for L1 Logistic Regression, Gini impurity for Random Forest, and gain-based feature importances for XGBoost. A composite model-consensus score was calculated by averaging the normalized feature rankings of the three models, combined with their cross-dataset stability score. This avoids single-model selection bias and prioritizes features that are robust across linear and non-linear classifiers.</w:t>
      </w:r>
    </w:p>
    <w:p>
      <w:pPr>
        <w:spacing w:before="240" w:after="120"/>
      </w:pPr>
      <w:r>
        <w:rPr>
          <w:rFonts w:ascii="Arial" w:hAnsi="Arial"/>
          <w:b/>
          <w:sz w:val="28"/>
        </w:rPr>
        <w:t>VIII. SHAP-Based Explainable AI Analysis</w:t>
      </w:r>
    </w:p>
    <w:p>
      <w:pPr>
        <w:spacing w:after="120" w:line="276" w:lineRule="auto"/>
      </w:pPr>
      <w:r>
        <w:rPr>
          <w:rFonts w:ascii="Times New Roman" w:hAnsi="Times New Roman"/>
          <w:sz w:val="22"/>
        </w:rPr>
        <w:t>We applied SHAP (SHapley Additive exPlanations) to interpret the model predictions on the top consensus-prioritized genes. SHAP summary plots show feature importances, and SHAP dependence plots were analyzed to infer activation thresholds. The threshold was defined as the expression level where the SHAP value transitions from negative (normal-associated) to positive (tumor-associated). Confidence intervals (95%) were calculated via 50 bootstrap iterations. This data-driven thresholding replaces arbitrary statistical cutoffs with functional, classifier-derived inflection points.</w:t>
      </w:r>
    </w:p>
    <w:p>
      <w:pPr>
        <w:spacing w:before="240" w:after="120"/>
      </w:pPr>
      <w:r>
        <w:rPr>
          <w:rFonts w:ascii="Arial" w:hAnsi="Arial"/>
          <w:b/>
          <w:sz w:val="28"/>
        </w:rPr>
        <w:t>IX. Candidate Gene Pair Selection</w:t>
      </w:r>
    </w:p>
    <w:p>
      <w:pPr>
        <w:spacing w:after="120" w:line="276" w:lineRule="auto"/>
      </w:pPr>
      <w:r>
        <w:rPr>
          <w:rFonts w:ascii="Times New Roman" w:hAnsi="Times New Roman"/>
          <w:sz w:val="22"/>
        </w:rPr>
        <w:t>To select the optimal input pair from the consensus-prioritized genes, we computed a composite Pair Score for all pairwise combinations. The formula integrates tumor AND activation, normal AND specificity, and a Pearson correlation penalty: Pair Score = tumor_AND_activation * AND_specificity * (1 - abs_correlation). The pair CEACAM5 (Carcinoembryonic Antigen-Related Cell Adhesion Molecule 5) and CST1 (Cystatin SN) achieved the highest overall score (0.662), exhibiting a low Pearson correlation of 0.355 in tumors, indicating statistical orthogonality.</w:t>
        <w:br/>
        <w:br/>
        <w:t>We compared this new v2 pair against the original v1 pair (UBE2S + CCR6). UBE2S and CCR6 showed high correlation (r = 0.714) in tumors, suggesting redundancy. Most importantly, while the v1 pair collapsed to 4.3% sensitivity in GSE62452 validation and 0.0% in GSE28735 validation, the v2 pair CEACAM5 + CST1 retained robust sensitivity: 59.4% in GSE62452 and 64.4% in GSE28735, with specificities of 93.4% and 93.3% respectively. This confirms that the cross-dataset stability filter successfully resolved the cross-platform sensitivity collapse.</w:t>
      </w:r>
    </w:p>
    <w:p>
      <w:pPr>
        <w:spacing w:before="240" w:after="120"/>
      </w:pPr>
      <w:r>
        <w:rPr>
          <w:rFonts w:ascii="Arial" w:hAnsi="Arial"/>
          <w:b/>
          <w:sz w:val="28"/>
        </w:rPr>
        <w:t>X. Single-Cell and Spatial Transcriptomics Validation</w:t>
      </w:r>
    </w:p>
    <w:p>
      <w:pPr>
        <w:spacing w:after="120" w:line="276" w:lineRule="auto"/>
      </w:pPr>
      <w:r>
        <w:rPr>
          <w:rFonts w:ascii="Times New Roman" w:hAnsi="Times New Roman"/>
          <w:sz w:val="22"/>
        </w:rPr>
        <w:t>To identify the cell-type source of the final candidate genes, we performed scRNA-seq and spatial transcriptomics validation. Analysis of public single-cell datasets (Peng et al. 2019) revealed that both CEACAM5 and CST1 are highly and specifically expressed in malignant ductal epithelial cells, and show significant co-expression within individual tumor cells. This supports a cell-intrinsic AND-gate circuit design, where both inputs can be integrated within a single cancer cell to drive expression. In contrast, the v1 pair UBE2S and CCR6 show a microenvironmental compartmentalization: UBE2S is highly expressed in cycling tumor cells, whereas CCR6 is localized in regulatory T cells (Tregs) in the stroma. At the single-cell level, UBE2S and CCR6 have near-zero co-expression, meaning a cell-intrinsic circuit using the v1 pair would fail, and it operates strictly as a tissue-level multicellular diagnostic signature. This biology-level difference highlights the superiority of the v2 design for cell-targeted therapies.</w:t>
      </w:r>
    </w:p>
    <w:p>
      <w:pPr>
        <w:spacing w:before="240" w:after="120"/>
      </w:pPr>
      <w:r>
        <w:rPr>
          <w:rFonts w:ascii="Arial" w:hAnsi="Arial"/>
          <w:b/>
          <w:sz w:val="28"/>
        </w:rPr>
        <w:t>XI. Hill-Equation-Based AND Gate Modeling</w:t>
      </w:r>
    </w:p>
    <w:p>
      <w:pPr>
        <w:spacing w:after="120" w:line="276" w:lineRule="auto"/>
      </w:pPr>
      <w:r>
        <w:rPr>
          <w:rFonts w:ascii="Times New Roman" w:hAnsi="Times New Roman"/>
          <w:sz w:val="22"/>
        </w:rPr>
        <w:t>The logic gate's response was modeled using a dual-input Hill equation:</w:t>
        <w:br/>
        <w:br/>
        <w:t>\[</w:t>
        <w:br/>
        <w:t>Output = P_{\text{basal}} + V_{\max} \left( \frac{[A]^n}{K_A^n + [A]^n} \right) \left( \frac{[B]^n}{K_B^n + [B]^n} \right)</w:t>
        <w:br/>
        <w:t>\]</w:t>
        <w:br/>
        <w:br/>
        <w:t>where [A] and [B] are the min-max scaled expressions of CEACAM5 and CST1, $K_A$ and $K_B$ are the SHAP-inferred activation thresholds ($K_A = 0.407, K_B = 0.361$), $n$ is the Hill coefficient (steepness), and $P_{\text{basal}}$ is the leakiness. Parameter optimization via grid search determined that a cooperativity of $n = 1$ and basal leakiness of $P_{\text{basal}} = 0.01$ achieved optimal performance. The output decision threshold was set to 0.25 to maximize AUC and classification accuracy. Sensitivity sweeps of K parameters by +-50% confirmed that the AND-gate AUC remains highly robust (&gt;0.99) to parameter perturbations.</w:t>
      </w:r>
    </w:p>
    <w:p>
      <w:pPr>
        <w:spacing w:before="240" w:after="120"/>
      </w:pPr>
      <w:r>
        <w:rPr>
          <w:rFonts w:ascii="Arial" w:hAnsi="Arial"/>
          <w:b/>
          <w:sz w:val="28"/>
        </w:rPr>
        <w:t>XII. In Silico Validation</w:t>
      </w:r>
    </w:p>
    <w:p>
      <w:pPr>
        <w:spacing w:after="120" w:line="276" w:lineRule="auto"/>
      </w:pPr>
      <w:r>
        <w:rPr>
          <w:rFonts w:ascii="Times New Roman" w:hAnsi="Times New Roman"/>
          <w:sz w:val="22"/>
        </w:rPr>
        <w:t>Simulating the optimized Hill equation AND gate yielded excellent classification performance across all datasets. In the discovery cohort (TCGA+GTEx), the AND gate achieved an AUC of 0.984 with 92.1% sensitivity and 100.0% specificity. In the same-cohort validation cohort (GSE62452), it achieved an AUC of 0.873 with 59.4% sensitivity and 93.4% specificity. In the final independent external validation cohort (GSE28735), it achieved an AUC of 0.896 with 64.4% sensitivity and 93.3% specificity. This performance demonstrates that the v2 pair retains robust diagnostic capability across sequencing and microarray platforms, significantly outperforming the v1 design in cross-platform transferability.</w:t>
      </w:r>
    </w:p>
    <w:p>
      <w:pPr>
        <w:spacing w:before="240" w:after="120"/>
      </w:pPr>
      <w:r>
        <w:rPr>
          <w:rFonts w:ascii="Arial" w:hAnsi="Arial"/>
          <w:b/>
          <w:sz w:val="28"/>
        </w:rPr>
        <w:t>XIII. Robustness and Controls</w:t>
      </w:r>
    </w:p>
    <w:p>
      <w:pPr>
        <w:spacing w:after="120" w:line="276" w:lineRule="auto"/>
      </w:pPr>
      <w:r>
        <w:rPr>
          <w:rFonts w:ascii="Times New Roman" w:hAnsi="Times New Roman"/>
          <w:sz w:val="22"/>
        </w:rPr>
        <w:t>We performed two negative controls to validate the CEACAM5 + CST1 AND gate. First, we ran the simulation on 1,000 randomly selected gene pairs, which yielded a mean AUC of 0.594. The selected pair's AUC is significantly higher than the random distribution (empirical p &lt; 0.0001). Second, we perturbed the thresholds $K_A$ and $K_B$ by up to +-50% and observed that the AUC remained robust, indicating that the classification capability is highly robust to variations in sensor binding affinities.</w:t>
      </w:r>
    </w:p>
    <w:p>
      <w:pPr>
        <w:spacing w:before="240" w:after="120"/>
      </w:pPr>
      <w:r>
        <w:rPr>
          <w:rFonts w:ascii="Arial" w:hAnsi="Arial"/>
          <w:b/>
          <w:sz w:val="28"/>
        </w:rPr>
        <w:t>XIV. Limitations</w:t>
      </w:r>
    </w:p>
    <w:p>
      <w:pPr>
        <w:spacing w:after="120" w:line="276" w:lineRule="auto"/>
      </w:pPr>
      <w:r>
        <w:rPr>
          <w:rFonts w:ascii="Times New Roman" w:hAnsi="Times New Roman"/>
          <w:sz w:val="22"/>
        </w:rPr>
        <w:t>Several critical technical limitations must be acknowledged. First, this study constitutes an in silico proof-of-concept, and actual biochemically engineered circuits may display fundamentally different kinetics. Second, the SHAP-inferred thresholds represent statistical inflection points derived from classifier behavior and do not directly map to physical biochemical dissociation constants. Third, bulk RNA-seq data reflects averaged cell populations and is heavily influenced by tumor purity, stromal density, and immune cell infiltration, potentially masking cell-type-specific expression patterns. Fourth, despite TOIL harmonization, the comparison between TCGA tumor samples and GTEx normal tissues may still harbor residual batch effects. Fifth, the external validation cohorts showed moderate sensitivity (59.4% and 64.4%), reflecting a significant challenge in cross-platform threshold transfer from RNA-seq to microarray data. Sixth, the selected candidate pair is statistically orthogonal (r = 0.355), but transcriptomic abundance does not guarantee equivalent sensor accessibility or protein-level expression. Seventh, translating these candidates into a functional synthetic circuit requires promoter engineering or RNA-based sensor design, each introducing additional layers of design complexity. Finally, any diagnostic or therapeutic application will require extensive wet-lab validation and safety testing in appropriate model organisms before clinical translation can be considered.</w:t>
      </w:r>
    </w:p>
    <w:p>
      <w:pPr>
        <w:spacing w:before="240" w:after="120"/>
      </w:pPr>
      <w:r>
        <w:rPr>
          <w:rFonts w:ascii="Arial" w:hAnsi="Arial"/>
          <w:b/>
          <w:sz w:val="28"/>
        </w:rPr>
        <w:t>XV. Future Experimental Directions</w:t>
      </w:r>
    </w:p>
    <w:p>
      <w:pPr>
        <w:spacing w:after="120" w:line="276" w:lineRule="auto"/>
      </w:pPr>
      <w:r>
        <w:rPr>
          <w:rFonts w:ascii="Times New Roman" w:hAnsi="Times New Roman"/>
          <w:sz w:val="22"/>
        </w:rPr>
        <w:t>Several experimental avenues merit exploration to translate the computational findings of this study into functional synthetic biology constructs. One promising direction involves the engineering of synthetic promoter systems, wherein the upstream regulatory regions of CEACAM5 and CST1 would be cloned to drive orthogonal transcription factors in a split-transactivator configuration, enabling AND-gate logic at the transcriptional level. An alternative approach would employ synthetic Notch (synNotch) receptor circuits, in which cell-surface recognition of tumor-associated ligands triggers intracellular release of custom transcription factors. Additionally, RNA-based sensor designs using toehold switches or ribocomputing devices could detect endogenous mRNA levels of the target genes without requiring promoter engineering. Functional validation should be conducted in PDAC cell lines (e.g., PANC-1, MIA PaCa-2) as positive controls and normal human pancreatic duct epithelial cells (HPDE) as negative controls, followed by dose-response characterization in co-culture systems. Longer-term directions include in vivo validation using patient-derived xenograft (PDX) mouse models, assessment of circuit stability under metabolic stress, and exploration of multi-input logic gates to further improve tumor specificity and reduce off-target activation.</w:t>
      </w:r>
    </w:p>
    <w:p>
      <w:pPr>
        <w:spacing w:before="240" w:after="120"/>
      </w:pPr>
      <w:r>
        <w:rPr>
          <w:rFonts w:ascii="Arial" w:hAnsi="Arial"/>
          <w:b/>
          <w:sz w:val="28"/>
        </w:rPr>
        <w:t>XVI. Conclusion</w:t>
      </w:r>
    </w:p>
    <w:p>
      <w:pPr>
        <w:spacing w:after="120" w:line="276" w:lineRule="auto"/>
      </w:pPr>
      <w:r>
        <w:rPr>
          <w:rFonts w:ascii="Times New Roman" w:hAnsi="Times New Roman"/>
          <w:sz w:val="22"/>
        </w:rPr>
        <w:t>In conclusion, we have developed a data-driven computational framework for the selection of input gene pairs for a synthetic biology AND-gate biosensor in pancreatic cancer. By combining differential expression, machine learning, explainable AI, and mathematical modeling, we selected CEACAM5 and CST1 as the optimal pair. This combination achieves excellent classification performance and robustness in silico, while capturing distinct biological hallmarks of PDAC (mitotic progression and cell adhesion pathways). The pipeline is fully reproducible and can be adapted to other cancers or complex logic gates.</w:t>
      </w:r>
    </w:p>
    <w:sectPr w:rsidR="00FC693F" w:rsidRPr="0006063C" w:rsidSect="00034616">
      <w:pgSz w:w="12240" w:h="15840"/>
      <w:pgMar w:top="1152" w:right="1152" w:bottom="1152" w:left="1152" w:header="720" w:footer="720" w:gutter="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