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00000001">
      <w:pPr>
        <w:spacing w:before="0" w:after="240" w:line="384"/>
        <w:ind w:left="0" w:right="0"/>
        <w:rPr>
          <w:color w:val="1565c0"/>
        </w:rPr>
      </w:pPr>
      <w:r>
        <w:rPr>
          <w:rFonts w:hint="eastAsia" w:ascii="黑体" w:hAnsi="黑体" w:eastAsia="黑体" w:cs="黑体"/>
          <w:b w:val="1"/>
          <w:color w:val="1565c0"/>
          <w:spacing w:val="36"/>
          <w:sz w:val="28"/>
        </w:rPr>
        <w:t>技术架构设计方案</w:t>
      </w:r>
    </w:p>
    <w:p w14:paraId="00000002">
      <w:pPr>
        <w:spacing w:before="0" w:after="192" w:line="336"/>
        <w:ind w:left="0" w:right="0"/>
        <w:rPr>
          <w:color w:val="1a237e"/>
        </w:rPr>
      </w:pPr>
      <w:r>
        <w:rPr>
          <w:rFonts w:hint="eastAsia" w:ascii="黑体" w:hAnsi="黑体" w:eastAsia="黑体" w:cs="黑体"/>
          <w:b w:val="1"/>
          <w:color w:val="1a237e"/>
          <w:sz w:val="44"/>
        </w:rPr>
        <w:t>门店补货与库存协同</w:t>
      </w:r>
      <w:r>
        <w:br w:type="textWrapping"/>
      </w:r>
      <w:r>
        <w:rPr>
          <w:rFonts w:hint="eastAsia" w:ascii="黑体" w:hAnsi="黑体" w:eastAsia="黑体" w:cs="黑体"/>
          <w:b w:val="1"/>
          <w:color w:val="1a237e"/>
          <w:sz w:val="44"/>
        </w:rPr>
        <w:t>智能体系统 · 技术架构设计</w:t>
      </w:r>
    </w:p>
    <w:p w14:paraId="00000003">
      <w:pPr>
        <w:spacing w:before="0" w:after="720" w:line="384"/>
        <w:ind w:left="0" w:right="0"/>
        <w:rPr>
          <w:color w:val="616161"/>
        </w:rPr>
      </w:pPr>
      <w:r>
        <w:rPr>
          <w:rFonts w:hint="eastAsia" w:ascii="宋体" w:hAnsi="宋体" w:eastAsia="宋体" w:cs="宋体"/>
          <w:color w:val="616161"/>
          <w:sz w:val="28"/>
        </w:rPr>
        <w:t>FastAPI 异步后端 × 可替换 LLM 网关 × 制度知识库 RAG × 数据口径显式校验</w:t>
      </w:r>
    </w:p>
    <w:p w14:paraId="00000004">
      <w:pPr>
        <w:pBdr>
          <w:top w:val="single" w:color="e0e0e0" w:sz="6" w:space="12"/>
        </w:pBdr>
        <w:spacing w:before="0" w:after="0" w:line="384"/>
        <w:ind w:left="0" w:right="0"/>
        <w:rPr>
          <w:color w:val="616161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宋体" w:hAnsi="宋体" w:eastAsia="宋体" w:cs="宋体"/>
          <w:color w:val="616161"/>
          <w:sz w:val="20"/>
        </w:rPr>
        <w:t>版本 V1.0　|　2026 年 10 月 30 日　|　密级：内部资料</w:t>
      </w:r>
    </w:p>
    <w:p w14:paraId="00000005">
      <w:pPr>
        <w:spacing w:before="240" w:after="120"/>
      </w:pPr>
      <w:r>
        <w:rPr>
          <w:rFonts w:hint="eastAsia"/>
          <w:b w:val="1"/>
        </w:rPr>
        <w:t>目　录</w:t>
      </w:r>
    </w:p>
    <w:p w14:paraId="00000006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"1-2"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一、文档概述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7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"section-1-1" </w:instrText>
      </w:r>
      <w:r>
        <w:fldChar w:fldCharType="separate" w:fldLock="0" w:dirty="0"/>
      </w:r>
      <w:r>
        <w:rPr>
          <w:rFonts w:hint="eastAsia"/>
        </w:rPr>
        <w:t>1.1 设计背景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8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"section-1-2" </w:instrText>
      </w:r>
      <w:r>
        <w:fldChar w:fldCharType="separate" w:fldLock="0" w:dirty="0"/>
      </w:r>
      <w:r>
        <w:rPr>
          <w:rFonts w:hint="eastAsia"/>
        </w:rPr>
        <w:t>1.2 设计原则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9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"section-1-3" </w:instrText>
      </w:r>
      <w:r>
        <w:fldChar w:fldCharType="separate" w:fldLock="0" w:dirty="0"/>
      </w:r>
      <w:r>
        <w:rPr>
          <w:rFonts w:hint="eastAsia"/>
        </w:rPr>
        <w:t>1.3 技术栈约束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A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二、四层架构设计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B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"section-2-1" </w:instrText>
      </w:r>
      <w:r>
        <w:fldChar w:fldCharType="separate" w:fldLock="0" w:dirty="0"/>
      </w:r>
      <w:r>
        <w:rPr>
          <w:rFonts w:hint="eastAsia"/>
        </w:rPr>
        <w:t>2.1 总体架构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C">
      <w:pPr>
        <w:pStyle w:val="000001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"section-2-2" </w:instrText>
      </w:r>
      <w:r>
        <w:fldChar w:fldCharType="separate" w:fldLock="0" w:dirty="0"/>
      </w:r>
      <w:r>
        <w:rPr>
          <w:rFonts w:hint="eastAsia"/>
        </w:rPr>
        <w:t>2.2 三项针对痛点的关键设计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D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三、推荐目录结构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E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四、数据库表设计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F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五、第一周最小验证目标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0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六、风险与后续演进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00000011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00000012">
      <w:pPr>
        <w:pBdr>
          <w:left w:val="single" w:color="1565c0" w:sz="24"/>
        </w:pBdr>
        <w:shd w:val="clear" w:fill="f5f7fa"/>
        <w:spacing w:before="480" w:after="192" w:line="384"/>
        <w:ind w:left="0" w:right="0"/>
        <w:rPr>
          <w:color w:val="1a237e"/>
        </w:rPr>
      </w:pPr>
      <w:r>
        <w:rPr>
          <w:rFonts w:hint="eastAsia" w:ascii="黑体" w:hAnsi="黑体" w:eastAsia="黑体" w:cs="黑体"/>
          <w:b w:val="1"/>
          <w:color w:val="1a237e"/>
          <w:sz w:val="28"/>
        </w:rPr>
        <w:t xml:space="preserve">执行摘要 </w:t>
      </w:r>
      <w:r>
        <w:rPr>
          <w:rFonts w:ascii="黑体" w:hAnsi="黑体" w:eastAsia="黑体" w:cs="黑体"/>
          <w:b w:val="1"/>
          <w:i w:val="1"/>
          <w:color w:val="616161"/>
          <w:sz w:val="20"/>
        </w:rPr>
        <w:t>Executive Summary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333333" w:sz="18"/>
              <w:left w:val="none" w:sz="8"/>
              <w:bottom w:val="none" w:sz="8"/>
              <w:right w:val="none" w:sz="8"/>
            </w:tcBorders>
            <w:shd w:val="clear" w:fill="ffffff"/>
            <w:tcMar>
              <w:top w:w="192" w:type="dxa"/>
              <w:left w:w="288" w:type="dxa"/>
              <w:bottom w:w="192" w:type="dxa"/>
              <w:right w:w="288" w:type="dxa"/>
            </w:tcMar>
            <w:vAlign w:val="center"/>
          </w:tcPr>
          <w:p w14:paraId="00000013">
            <w:pPr>
              <w:pBdr>
                <w:left w:val="single" w:color="1565c0" w:sz="24"/>
              </w:pBdr>
              <w:shd w:val="clear" w:fill="f5f7fa"/>
              <w:spacing w:before="480" w:after="288" w:line="384"/>
              <w:ind w:left="0" w:right="0"/>
              <w:jc w:val="center"/>
              <w:rPr>
                <w:color w:val="212121"/>
              </w:rPr>
            </w:pPr>
            <w:r>
              <w:rPr>
                <w:rFonts w:hint="eastAsia"/>
                <w:color w:val="666666"/>
                <w:sz w:val="18"/>
              </w:rPr>
              <w:t>账实差异</w:t>
            </w:r>
          </w:p>
          <w:p w14:paraId="00000014">
            <w:pPr>
              <w:pBdr>
                <w:left w:val="single" w:color="1565c0" w:sz="24"/>
              </w:pBdr>
              <w:shd w:val="clear" w:fill="f5f7fa"/>
              <w:spacing w:before="480" w:after="288" w:line="384"/>
              <w:ind w:left="0" w:right="0"/>
              <w:jc w:val="center"/>
              <w:rPr>
                <w:color w:val="212121"/>
              </w:rPr>
            </w:pPr>
            <w:r>
              <w:rPr>
                <w:b w:val="1"/>
                <w:color w:val="111827"/>
                <w:sz w:val="36"/>
              </w:rPr>
              <w:t>8%</w:t>
            </w:r>
          </w:p>
          <w:p w14:paraId="00000015">
            <w:pPr>
              <w:pBdr>
                <w:left w:val="single" w:color="1565c0" w:sz="24"/>
              </w:pBdr>
              <w:shd w:val="clear" w:fill="f5f7fa"/>
              <w:spacing w:before="480" w:after="288" w:line="384"/>
              <w:ind w:left="0" w:right="0"/>
              <w:jc w:val="center"/>
              <w:rPr>
                <w:color w:val="212121"/>
              </w:rPr>
            </w:pPr>
            <w:r>
              <w:rPr>
                <w:rFonts w:hint="eastAsia"/>
                <w:color w:val="666666"/>
                <w:sz w:val="18"/>
              </w:rPr>
              <w:t>现状账实差异率（目标收敛）</w:t>
            </w:r>
          </w:p>
        </w:tc>
      </w:tr>
    </w:tbl>
    <w:p w14:paraId="00000016">
      <w:pPr>
        <w:pBdr>
          <w:left w:val="single" w:color="1565c0" w:sz="24"/>
        </w:pBdr>
        <w:shd w:val="clear" w:fill="f5f7fa"/>
        <w:spacing w:before="480" w:after="288" w:line="240"/>
        <w:ind w:left="0" w:right="0"/>
        <w:rPr>
          <w:color w:val="212121"/>
        </w:rPr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333333" w:sz="18"/>
              <w:left w:val="none" w:sz="8"/>
              <w:bottom w:val="none" w:sz="8"/>
              <w:right w:val="none" w:sz="8"/>
            </w:tcBorders>
            <w:shd w:val="clear" w:fill="ffffff"/>
            <w:tcMar>
              <w:top w:w="192" w:type="dxa"/>
              <w:left w:w="288" w:type="dxa"/>
              <w:bottom w:w="192" w:type="dxa"/>
              <w:right w:w="288" w:type="dxa"/>
            </w:tcMar>
            <w:vAlign w:val="center"/>
          </w:tcPr>
          <w:p w14:paraId="00000017">
            <w:pPr>
              <w:pBdr>
                <w:left w:val="single" w:color="1565c0" w:sz="24"/>
              </w:pBdr>
              <w:shd w:val="clear" w:fill="f5f7fa"/>
              <w:spacing w:before="480" w:after="288" w:line="384"/>
              <w:ind w:left="0" w:right="0"/>
              <w:jc w:val="center"/>
              <w:rPr>
                <w:color w:val="212121"/>
              </w:rPr>
            </w:pPr>
            <w:r>
              <w:rPr>
                <w:rFonts w:hint="eastAsia"/>
                <w:color w:val="666666"/>
                <w:sz w:val="18"/>
              </w:rPr>
              <w:t>补货延迟</w:t>
            </w:r>
          </w:p>
          <w:p w14:paraId="00000018">
            <w:pPr>
              <w:pBdr>
                <w:left w:val="single" w:color="1565c0" w:sz="24"/>
              </w:pBdr>
              <w:shd w:val="clear" w:fill="f5f7fa"/>
              <w:spacing w:before="480" w:after="288" w:line="384"/>
              <w:ind w:left="0" w:right="0"/>
              <w:jc w:val="center"/>
              <w:rPr>
                <w:color w:val="212121"/>
              </w:rPr>
            </w:pPr>
            <w:r>
              <w:rPr>
                <w:b w:val="1"/>
                <w:color w:val="111827"/>
                <w:sz w:val="36"/>
              </w:rPr>
              <w:t>30%</w:t>
            </w:r>
          </w:p>
          <w:p w14:paraId="00000019">
            <w:pPr>
              <w:pBdr>
                <w:left w:val="single" w:color="1565c0" w:sz="24"/>
              </w:pBdr>
              <w:shd w:val="clear" w:fill="f5f7fa"/>
              <w:spacing w:before="480" w:after="288" w:line="384"/>
              <w:ind w:left="0" w:right="0"/>
              <w:jc w:val="center"/>
              <w:rPr>
                <w:color w:val="212121"/>
              </w:rPr>
            </w:pPr>
            <w:r>
              <w:rPr>
                <w:rFonts w:hint="eastAsia"/>
                <w:color w:val="666666"/>
                <w:sz w:val="18"/>
              </w:rPr>
              <w:t>现状补货延迟（源于配送排队）</w:t>
            </w:r>
          </w:p>
        </w:tc>
      </w:tr>
    </w:tbl>
    <w:p w14:paraId="0000001A">
      <w:pPr>
        <w:pBdr>
          <w:left w:val="single" w:color="1565c0" w:sz="24"/>
        </w:pBdr>
        <w:shd w:val="clear" w:fill="f5f7fa"/>
        <w:spacing w:before="480" w:after="288" w:line="240"/>
        <w:ind w:left="0" w:right="0"/>
        <w:rPr>
          <w:color w:val="212121"/>
        </w:rPr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333333" w:sz="18"/>
              <w:left w:val="none" w:sz="8"/>
              <w:bottom w:val="none" w:sz="8"/>
              <w:right w:val="none" w:sz="8"/>
            </w:tcBorders>
            <w:shd w:val="clear" w:fill="ffffff"/>
            <w:tcMar>
              <w:top w:w="192" w:type="dxa"/>
              <w:left w:w="288" w:type="dxa"/>
              <w:bottom w:w="192" w:type="dxa"/>
              <w:right w:w="288" w:type="dxa"/>
            </w:tcMar>
            <w:vAlign w:val="center"/>
          </w:tcPr>
          <w:p w14:paraId="0000001B">
            <w:pPr>
              <w:pBdr>
                <w:left w:val="single" w:color="1565c0" w:sz="24"/>
              </w:pBdr>
              <w:shd w:val="clear" w:fill="f5f7fa"/>
              <w:spacing w:before="480" w:after="288" w:line="384"/>
              <w:ind w:left="0" w:right="0"/>
              <w:jc w:val="center"/>
              <w:rPr>
                <w:color w:val="212121"/>
              </w:rPr>
            </w:pPr>
            <w:r>
              <w:rPr>
                <w:rFonts w:hint="eastAsia"/>
                <w:color w:val="666666"/>
                <w:sz w:val="18"/>
              </w:rPr>
              <w:t>四层架构</w:t>
            </w:r>
          </w:p>
          <w:p w14:paraId="0000001C">
            <w:pPr>
              <w:pBdr>
                <w:left w:val="single" w:color="1565c0" w:sz="24"/>
              </w:pBdr>
              <w:shd w:val="clear" w:fill="f5f7fa"/>
              <w:spacing w:before="480" w:after="288" w:line="384"/>
              <w:ind w:left="0" w:right="0"/>
              <w:jc w:val="center"/>
              <w:rPr>
                <w:color w:val="212121"/>
              </w:rPr>
            </w:pPr>
            <w:r>
              <w:rPr>
                <w:rFonts w:hint="eastAsia"/>
                <w:b w:val="1"/>
                <w:color w:val="111827"/>
                <w:sz w:val="36"/>
              </w:rPr>
              <w:t>4 层</w:t>
            </w:r>
          </w:p>
          <w:p w14:paraId="0000001D">
            <w:pPr>
              <w:pBdr>
                <w:left w:val="single" w:color="1565c0" w:sz="24"/>
              </w:pBdr>
              <w:shd w:val="clear" w:fill="f5f7fa"/>
              <w:spacing w:before="480" w:after="288" w:line="384"/>
              <w:ind w:left="0" w:right="0"/>
              <w:jc w:val="center"/>
              <w:rPr>
                <w:color w:val="212121"/>
              </w:rPr>
            </w:pPr>
            <w:r>
              <w:rPr>
                <w:rFonts w:hint="eastAsia"/>
                <w:color w:val="666666"/>
                <w:sz w:val="18"/>
              </w:rPr>
              <w:t>入口 / 服务 / 编排 / 数据</w:t>
            </w:r>
          </w:p>
        </w:tc>
      </w:tr>
    </w:tbl>
    <w:p w14:paraId="0000001E">
      <w:pPr>
        <w:pBdr>
          <w:left w:val="single" w:color="1565c0" w:sz="24"/>
        </w:pBdr>
        <w:shd w:val="clear" w:fill="f5f7fa"/>
        <w:spacing w:before="480" w:after="288" w:line="240"/>
        <w:ind w:left="0" w:right="0"/>
        <w:rPr>
          <w:color w:val="212121"/>
        </w:rPr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333333" w:sz="18"/>
              <w:left w:val="none" w:sz="8"/>
              <w:bottom w:val="none" w:sz="8"/>
              <w:right w:val="none" w:sz="8"/>
            </w:tcBorders>
            <w:shd w:val="clear" w:fill="ffffff"/>
            <w:tcMar>
              <w:top w:w="192" w:type="dxa"/>
              <w:left w:w="288" w:type="dxa"/>
              <w:bottom w:w="192" w:type="dxa"/>
              <w:right w:w="288" w:type="dxa"/>
            </w:tcMar>
            <w:vAlign w:val="center"/>
          </w:tcPr>
          <w:p w14:paraId="0000001F">
            <w:pPr>
              <w:pBdr>
                <w:left w:val="single" w:color="1565c0" w:sz="24"/>
              </w:pBdr>
              <w:shd w:val="clear" w:fill="f5f7fa"/>
              <w:spacing w:before="480" w:after="288" w:line="384"/>
              <w:ind w:left="0" w:right="0"/>
              <w:jc w:val="center"/>
              <w:rPr>
                <w:color w:val="212121"/>
              </w:rPr>
            </w:pPr>
            <w:r>
              <w:rPr>
                <w:rFonts w:hint="eastAsia"/>
                <w:color w:val="666666"/>
                <w:sz w:val="18"/>
              </w:rPr>
              <w:t>核心表</w:t>
            </w:r>
          </w:p>
          <w:p w14:paraId="00000020">
            <w:pPr>
              <w:pBdr>
                <w:left w:val="single" w:color="1565c0" w:sz="24"/>
              </w:pBdr>
              <w:shd w:val="clear" w:fill="f5f7fa"/>
              <w:spacing w:before="480" w:after="288" w:line="384"/>
              <w:ind w:left="0" w:right="0"/>
              <w:jc w:val="center"/>
              <w:rPr>
                <w:color w:val="212121"/>
              </w:rPr>
            </w:pPr>
            <w:r>
              <w:rPr>
                <w:rFonts w:hint="eastAsia"/>
                <w:b w:val="1"/>
                <w:color w:val="111827"/>
                <w:sz w:val="36"/>
              </w:rPr>
              <w:t>6 张</w:t>
            </w:r>
          </w:p>
          <w:p w14:paraId="00000021">
            <w:pPr>
              <w:pBdr>
                <w:left w:val="single" w:color="1565c0" w:sz="24"/>
              </w:pBdr>
              <w:shd w:val="clear" w:fill="f5f7fa"/>
              <w:spacing w:before="480" w:after="288" w:line="384"/>
              <w:ind w:left="0" w:right="0"/>
              <w:jc w:val="center"/>
              <w:rPr>
                <w:color w:val="212121"/>
              </w:rPr>
            </w:pPr>
            <w:r>
              <w:rPr>
                <w:rFonts w:hint="eastAsia"/>
                <w:color w:val="666666"/>
                <w:sz w:val="18"/>
              </w:rPr>
              <w:t>对话链路 + 知识库 + 草稿单</w:t>
            </w:r>
          </w:p>
        </w:tc>
      </w:tr>
    </w:tbl>
    <w:p w14:paraId="00000022">
      <w:pPr>
        <w:pBdr>
          <w:left w:val="single" w:color="1565c0" w:sz="24"/>
        </w:pBdr>
        <w:shd w:val="clear" w:fill="f5f7fa"/>
        <w:spacing w:before="480" w:after="120" w:line="384"/>
        <w:ind w:left="0" w:right="0" w:firstLine="4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0"/>
        </w:rPr>
        <w:t>本方案为「门店补货与库存协同智能体系统」的技术架构设计：以 FastAPI 异步后端为骨架，通过可替换的 LLM 网关接入大模型承担意图理解与回答组织，建议量计算、口径校验等业务逻辑全部由确定性代码实现；制度知识库经向量化支撑问答检索，补货申请一律以草稿-确认制落地。</w:t>
      </w:r>
    </w:p>
    <w:p w14:paraId="00000023">
      <w:pPr>
        <w:pBdr>
          <w:left w:val="single" w:color="1565c0" w:sz="24"/>
        </w:pBdr>
        <w:shd w:val="clear" w:fill="f5f7fa"/>
        <w:spacing w:before="480" w:after="120" w:line="384"/>
        <w:ind w:left="0" w:right="0" w:firstLine="4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0"/>
        </w:rPr>
        <w:t>第一周最小验证目标为打穿「问 → 算 → 校 → 存」单店端到端链路，验证「编排器 + 工具 + 校验 + RAG」骨架成立性。</w:t>
      </w:r>
    </w:p>
    <w:p w14:paraId="00000024">
      <w:pPr>
        <w:pStyle w:val="000004"/>
        <w:keepNext w:val="1"/>
        <w:keepLines w:val="1"/>
        <w:pBdr>
          <w:left w:val="single" w:color="1565c0" w:sz="24" w:space="7"/>
        </w:pBdr>
        <w:spacing w:before="600" w:beforeAutospacing="1" w:after="240" w:afterAutospacing="1" w:line="384"/>
        <w:ind w:left="0" w:right="0"/>
        <w:outlineLvl w:val="1"/>
        <w:rPr>
          <w:color w:val="1a237e"/>
          <w:sz w:val="32"/>
          <w:szCs w:val="32"/>
        </w:rPr>
      </w:pPr>
      <w:bookmarkStart w:id="1" w:name="section-1"/>
      <w:r>
        <w:rPr>
          <w:rFonts w:hint="eastAsia" w:ascii="黑体" w:hAnsi="黑体" w:eastAsia="黑体" w:cs="黑体"/>
          <w:b w:val="1"/>
          <w:color w:val="1a237e"/>
          <w:sz w:val="36"/>
        </w:rPr>
        <w:t>一、文档概述</w:t>
      </w:r>
      <w:bookmarkEnd w:id="1"/>
    </w:p>
    <w:p w14:paraId="00000025">
      <w:pPr>
        <w:spacing w:before="0" w:after="180" w:line="384"/>
        <w:ind w:left="0" w:right="0" w:firstLine="4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本章界定设计背景、核心设计原则与技术栈约束，作为后续架构决策的前提依据。</w:t>
      </w:r>
    </w:p>
    <w:p w14:paraId="00000026">
      <w:pPr>
        <w:pStyle w:val="000005"/>
        <w:keepNext w:val="1"/>
        <w:keepLines w:val="1"/>
        <w:spacing w:before="360" w:beforeAutospacing="1" w:after="144" w:afterAutospacing="1" w:line="384"/>
        <w:ind w:left="0" w:right="0"/>
        <w:outlineLvl w:val="2"/>
        <w:rPr>
          <w:color w:val="1565c0"/>
          <w:sz w:val="32"/>
          <w:szCs w:val="32"/>
        </w:rPr>
      </w:pPr>
      <w:bookmarkStart w:id="2" w:name="section-1-1"/>
      <w:r>
        <w:rPr>
          <w:rFonts w:hint="eastAsia" w:ascii="黑体" w:hAnsi="黑体" w:eastAsia="黑体" w:cs="黑体"/>
          <w:b w:val="1"/>
          <w:color w:val="1565c0"/>
          <w:sz w:val="28"/>
        </w:rPr>
        <w:t>1.1 设计背景</w:t>
      </w:r>
      <w:bookmarkEnd w:id="2"/>
    </w:p>
    <w:p w14:paraId="00000027">
      <w:pPr>
        <w:spacing w:before="0" w:after="180" w:line="384"/>
        <w:ind w:left="0" w:right="0" w:firstLine="4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本项目面向社区连锁超市的「门店补货与库存协同」场景，目标用户为门店店长与总部管理员。现状业务依赖门店报数、总部人工换算建议量、仓库按固定配送日发运，存在三项核心痛点：</w:t>
      </w:r>
    </w:p>
    <w:tbl>
      <w:tblPr>
        <w:tblW w:w="8306" w:type="dxa"/>
        <w:shd w:color="21212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27"/>
        <w:gridCol w:w="6479"/>
      </w:tblGrid>
      <w:tr>
        <w:trPr>
          <w:tblHeader w:val="1"/>
        </w:trPr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00002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痛点</w:t>
            </w:r>
          </w:p>
        </w:tc>
        <w:tc>
          <w:tcPr>
            <w:tcW w:w="647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000029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现状量化</w:t>
            </w:r>
          </w:p>
        </w:tc>
      </w:tr>
      <w:tr>
        <w:trPr/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2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账实差异</w:t>
            </w:r>
          </w:p>
        </w:tc>
        <w:tc>
          <w:tcPr>
            <w:tcW w:w="647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2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约 </w:t>
            </w:r>
            <w:r>
              <w:rPr>
                <w:rFonts w:ascii="宋体" w:hAnsi="宋体" w:eastAsia="宋体" w:cs="宋体"/>
                <w:b w:val="1"/>
                <w:color w:val="c62828"/>
                <w:sz w:val="20"/>
              </w:rPr>
              <w:t>8%</w:t>
            </w:r>
          </w:p>
        </w:tc>
      </w:tr>
      <w:tr>
        <w:trPr/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2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补货延迟</w:t>
            </w:r>
          </w:p>
        </w:tc>
        <w:tc>
          <w:tcPr>
            <w:tcW w:w="647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2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约 </w:t>
            </w:r>
            <w:r>
              <w:rPr>
                <w:rFonts w:ascii="宋体" w:hAnsi="宋体" w:eastAsia="宋体" w:cs="宋体"/>
                <w:b w:val="1"/>
                <w:color w:val="c62828"/>
                <w:sz w:val="20"/>
              </w:rPr>
              <w:t>30%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>（主要源于配送排队）</w:t>
            </w:r>
          </w:p>
        </w:tc>
      </w:tr>
      <w:tr>
        <w:trPr/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2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口径混乱</w:t>
            </w:r>
          </w:p>
        </w:tc>
        <w:tc>
          <w:tcPr>
            <w:tcW w:w="647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2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系统库存 ≠ 可售库存，缺货判定口径不一致</w:t>
            </w:r>
          </w:p>
        </w:tc>
      </w:tr>
    </w:tbl>
    <w:p w14:paraId="00000030">
      <w:pPr>
        <w:pStyle w:val="000005"/>
        <w:keepNext w:val="1"/>
        <w:keepLines w:val="1"/>
        <w:spacing w:before="360" w:beforeAutospacing="1" w:after="144" w:afterAutospacing="1" w:line="384"/>
        <w:ind w:left="0" w:right="0"/>
        <w:outlineLvl w:val="2"/>
        <w:rPr>
          <w:color w:val="1565c0"/>
          <w:sz w:val="32"/>
          <w:szCs w:val="32"/>
        </w:rPr>
      </w:pPr>
      <w:bookmarkStart w:id="3" w:name="section-1-2"/>
      <w:r>
        <w:rPr>
          <w:rFonts w:hint="eastAsia" w:ascii="黑体" w:hAnsi="黑体" w:eastAsia="黑体" w:cs="黑体"/>
          <w:b w:val="1"/>
          <w:color w:val="1565c0"/>
          <w:sz w:val="28"/>
        </w:rPr>
        <w:t>1.2 设计原则</w:t>
      </w:r>
      <w:bookmarkEnd w:id="3"/>
    </w:p>
    <w:p w14:paraId="00000031">
      <w:pPr>
        <w:spacing w:before="0" w:after="180" w:line="384"/>
        <w:ind w:left="0" w:right="0" w:firstLine="480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LLM 只负责理解意图和组织语言，所有计算与口径判断走确定性代码。</w:t>
      </w:r>
      <w:r>
        <w:rPr>
          <w:rFonts w:hint="eastAsia" w:ascii="宋体" w:hAnsi="宋体" w:eastAsia="宋体" w:cs="宋体"/>
          <w:color w:val="212121"/>
          <w:sz w:val="24"/>
        </w:rPr>
        <w:t>大模型在本系统中承担「翻译官」与「导航员」角色；建议量计算、最小起订量换算、整箱规格约束、配送容量校验等业务逻辑全部由确定性代码实现，从根本上规避大模型幻觉对业务数字的污染。</w:t>
      </w:r>
    </w:p>
    <w:p w14:paraId="00000032">
      <w:pPr>
        <w:pStyle w:val="000005"/>
        <w:keepNext w:val="1"/>
        <w:keepLines w:val="1"/>
        <w:spacing w:before="360" w:beforeAutospacing="1" w:after="144" w:afterAutospacing="1" w:line="384"/>
        <w:ind w:left="0" w:right="0"/>
        <w:outlineLvl w:val="2"/>
        <w:rPr>
          <w:color w:val="1565c0"/>
          <w:sz w:val="32"/>
          <w:szCs w:val="32"/>
        </w:rPr>
      </w:pPr>
      <w:bookmarkStart w:id="4" w:name="section-1-3"/>
      <w:r>
        <w:rPr>
          <w:rFonts w:hint="eastAsia" w:ascii="黑体" w:hAnsi="黑体" w:eastAsia="黑体" w:cs="黑体"/>
          <w:b w:val="1"/>
          <w:color w:val="1565c0"/>
          <w:sz w:val="28"/>
        </w:rPr>
        <w:t>1.3 技术栈约束</w:t>
      </w:r>
      <w:bookmarkEnd w:id="4"/>
    </w:p>
    <w:tbl>
      <w:tblPr>
        <w:tblW w:w="8306" w:type="dxa"/>
        <w:shd w:color="21212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95"/>
        <w:gridCol w:w="3156"/>
        <w:gridCol w:w="3655"/>
      </w:tblGrid>
      <w:tr>
        <w:trPr>
          <w:tblHeader w:val="1"/>
        </w:trPr>
        <w:tc>
          <w:tcPr>
            <w:tcW w:w="149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000033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层面</w:t>
            </w:r>
          </w:p>
        </w:tc>
        <w:tc>
          <w:tcPr>
            <w:tcW w:w="315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000034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选型</w:t>
            </w:r>
          </w:p>
        </w:tc>
        <w:tc>
          <w:tcPr>
            <w:tcW w:w="365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000035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说明</w:t>
            </w:r>
          </w:p>
        </w:tc>
      </w:tr>
      <w:tr>
        <w:trPr/>
        <w:tc>
          <w:tcPr>
            <w:tcW w:w="149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3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后端框架</w:t>
            </w:r>
          </w:p>
        </w:tc>
        <w:tc>
          <w:tcPr>
            <w:tcW w:w="315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3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FastAPI（异步），Python 3.11+</w:t>
            </w:r>
          </w:p>
        </w:tc>
        <w:tc>
          <w:tcPr>
            <w:tcW w:w="365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3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原生 async 支持，适合 LLM 流式调用与高并发 IO</w:t>
            </w:r>
          </w:p>
        </w:tc>
      </w:tr>
      <w:tr>
        <w:trPr/>
        <w:tc>
          <w:tcPr>
            <w:tcW w:w="149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3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大模型</w:t>
            </w:r>
          </w:p>
        </w:tc>
        <w:tc>
          <w:tcPr>
            <w:tcW w:w="315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3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API 调用，供应商可替换</w:t>
            </w:r>
          </w:p>
        </w:tc>
        <w:tc>
          <w:tcPr>
            <w:tcW w:w="365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3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统一 Adapter 网关，以 OpenAI 兼容协议为基准</w:t>
            </w:r>
          </w:p>
        </w:tc>
      </w:tr>
      <w:tr>
        <w:trPr/>
        <w:tc>
          <w:tcPr>
            <w:tcW w:w="149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3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知识库</w:t>
            </w:r>
          </w:p>
        </w:tc>
        <w:tc>
          <w:tcPr>
            <w:tcW w:w="315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3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制度文档向量化检索</w:t>
            </w:r>
          </w:p>
        </w:tc>
        <w:tc>
          <w:tcPr>
            <w:tcW w:w="365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3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覆盖最小起订量、整箱规格、分配上限、配送日历与线路容量、促销与变价规则、缺货判定口径、审批与调拨流程</w:t>
            </w:r>
          </w:p>
        </w:tc>
      </w:tr>
      <w:tr>
        <w:trPr/>
        <w:tc>
          <w:tcPr>
            <w:tcW w:w="149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3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数据层</w:t>
            </w:r>
          </w:p>
        </w:tc>
        <w:tc>
          <w:tcPr>
            <w:tcW w:w="315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4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PostgreSQL（含 pgvector）+ Redis</w:t>
            </w:r>
          </w:p>
        </w:tc>
        <w:tc>
          <w:tcPr>
            <w:tcW w:w="365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4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关系数据与向量检索同库，降低运维面</w:t>
            </w:r>
          </w:p>
        </w:tc>
      </w:tr>
    </w:tbl>
    <w:p w14:paraId="00000042">
      <w:pPr>
        <w:pStyle w:val="000004"/>
        <w:keepNext w:val="1"/>
        <w:keepLines w:val="1"/>
        <w:pBdr>
          <w:left w:val="single" w:color="1565c0" w:sz="24" w:space="7"/>
        </w:pBdr>
        <w:spacing w:before="600" w:beforeAutospacing="1" w:after="240" w:afterAutospacing="1" w:line="384"/>
        <w:ind w:left="0" w:right="0"/>
        <w:outlineLvl w:val="1"/>
        <w:rPr>
          <w:color w:val="1a237e"/>
          <w:sz w:val="32"/>
          <w:szCs w:val="32"/>
        </w:rPr>
      </w:pPr>
      <w:bookmarkStart w:id="5" w:name="section-2"/>
      <w:r>
        <w:rPr>
          <w:rFonts w:hint="eastAsia" w:ascii="黑体" w:hAnsi="黑体" w:eastAsia="黑体" w:cs="黑体"/>
          <w:b w:val="1"/>
          <w:color w:val="1a237e"/>
          <w:sz w:val="36"/>
        </w:rPr>
        <w:t>二、四层架构设计</w:t>
      </w:r>
      <w:bookmarkEnd w:id="5"/>
    </w:p>
    <w:p w14:paraId="00000043">
      <w:pPr>
        <w:spacing w:before="0" w:after="180" w:line="384"/>
        <w:ind w:left="0" w:right="0" w:firstLine="4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本章给出系统总体分层架构与各层职责边界，并说明针对业务痛点的三项关键设计。</w:t>
      </w:r>
    </w:p>
    <w:p w14:paraId="00000044">
      <w:pPr>
        <w:pStyle w:val="000005"/>
        <w:keepNext w:val="1"/>
        <w:keepLines w:val="1"/>
        <w:spacing w:before="360" w:beforeAutospacing="1" w:after="144" w:afterAutospacing="1" w:line="384"/>
        <w:ind w:left="0" w:right="0"/>
        <w:outlineLvl w:val="2"/>
        <w:rPr>
          <w:color w:val="1565c0"/>
          <w:sz w:val="32"/>
          <w:szCs w:val="32"/>
        </w:rPr>
      </w:pPr>
      <w:bookmarkStart w:id="6" w:name="section-2-1"/>
      <w:r>
        <w:rPr>
          <w:rFonts w:hint="eastAsia" w:ascii="黑体" w:hAnsi="黑体" w:eastAsia="黑体" w:cs="黑体"/>
          <w:b w:val="1"/>
          <w:color w:val="1565c0"/>
          <w:sz w:val="28"/>
        </w:rPr>
        <w:t>2.1 总体架构</w:t>
      </w:r>
      <w:bookmarkEnd w:id="6"/>
    </w:p>
    <w:p w14:paraId="00000045">
      <w:pPr>
        <w:spacing w:before="0" w:after="180" w:line="384"/>
        <w:ind w:left="0" w:right="0" w:firstLine="4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系统自上而下分为四层：入口层、服务层、智能体编排层、数据模型层。</w:t>
      </w:r>
    </w:p>
    <w:p w14:paraId="00000046">
      <w:pPr>
        <w:pBdr>
          <w:top w:val="single" w:color="e0e0e0" w:sz="6"/>
          <w:left w:val="single" w:color="1565c0" w:sz="24"/>
          <w:bottom w:val="single" w:color="e0e0e0" w:sz="6"/>
          <w:right w:val="single" w:color="e0e0e0" w:sz="6"/>
        </w:pBdr>
        <w:shd w:val="clear" w:fill="f5f7fa"/>
        <w:spacing w:before="0" w:after="72" w:line="384"/>
        <w:ind w:left="0" w:right="0"/>
        <w:rPr>
          <w:color w:val="1a237e"/>
        </w:rPr>
      </w:pPr>
      <w:r>
        <w:rPr>
          <w:rFonts w:hint="eastAsia" w:ascii="黑体" w:hAnsi="黑体" w:eastAsia="黑体" w:cs="黑体"/>
          <w:b w:val="1"/>
          <w:color w:val="1a237e"/>
          <w:sz w:val="20"/>
        </w:rPr>
        <w:t>第一层：入口层</w:t>
      </w:r>
    </w:p>
    <w:p w14:paraId="00000047">
      <w:pPr>
        <w:pBdr>
          <w:top w:val="single" w:color="e0e0e0" w:sz="6"/>
          <w:left w:val="single" w:color="1565c0" w:sz="24"/>
          <w:bottom w:val="single" w:color="e0e0e0" w:sz="6"/>
          <w:right w:val="single" w:color="e0e0e0" w:sz="6"/>
        </w:pBdr>
        <w:shd w:val="clear" w:fill="f5f7fa"/>
        <w:spacing w:before="0" w:after="192" w:line="384"/>
        <w:ind w:left="0" w:right="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0"/>
        </w:rPr>
        <w:t>店长端（微信小程序 / 移动 H5）：日常问答与发起补货申请，可查看分配依据、预计到货与未满足数量。总部管理端（PC Web）：制度知识库维护、全部门店记录与分配结果查看。统一通过 HTTPS + JWT 认证接入服务层。</w:t>
      </w:r>
    </w:p>
    <w:p w14:paraId="00000048">
      <w:pPr>
        <w:pBdr>
          <w:top w:val="single" w:color="e0e0e0" w:sz="6"/>
          <w:left w:val="single" w:color="1565c0" w:sz="24"/>
          <w:bottom w:val="single" w:color="e0e0e0" w:sz="6"/>
          <w:right w:val="single" w:color="e0e0e0" w:sz="6"/>
        </w:pBdr>
        <w:shd w:val="clear" w:fill="f5f7fa"/>
        <w:spacing w:before="0" w:after="72" w:line="384"/>
        <w:ind w:left="0" w:right="0"/>
        <w:rPr>
          <w:color w:val="1a237e"/>
        </w:rPr>
      </w:pPr>
      <w:r>
        <w:rPr>
          <w:rFonts w:hint="eastAsia" w:ascii="黑体" w:hAnsi="黑体" w:eastAsia="黑体" w:cs="黑体"/>
          <w:b w:val="1"/>
          <w:color w:val="1a237e"/>
          <w:sz w:val="20"/>
        </w:rPr>
        <w:t>第二层：服务层（FastAPI 异步）</w:t>
      </w:r>
    </w:p>
    <w:p w14:paraId="00000049">
      <w:pPr>
        <w:pBdr>
          <w:top w:val="single" w:color="e0e0e0" w:sz="6"/>
          <w:left w:val="single" w:color="1565c0" w:sz="24"/>
          <w:bottom w:val="single" w:color="e0e0e0" w:sz="6"/>
          <w:right w:val="single" w:color="e0e0e0" w:sz="6"/>
        </w:pBdr>
        <w:shd w:val="clear" w:fill="f5f7fa"/>
        <w:spacing w:before="0" w:after="192" w:line="384"/>
        <w:ind w:left="0" w:right="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0"/>
        </w:rPr>
        <w:t>认证鉴权（RBAC：店长 / 管理员）、会话管理（多轮上下文持久化）、补货申请单服务（草稿 → 提交 → 分配结果回写）、制度知识库管理（文档上传、版本化、发布）、分配结果查询与审计日志。</w:t>
      </w:r>
    </w:p>
    <w:p w14:paraId="0000004A">
      <w:pPr>
        <w:pBdr>
          <w:top w:val="single" w:color="e0e0e0" w:sz="6"/>
          <w:left w:val="single" w:color="1565c0" w:sz="24"/>
          <w:bottom w:val="single" w:color="e0e0e0" w:sz="6"/>
          <w:right w:val="single" w:color="e0e0e0" w:sz="6"/>
        </w:pBdr>
        <w:shd w:val="clear" w:fill="f5f7fa"/>
        <w:spacing w:before="0" w:after="72" w:line="384"/>
        <w:ind w:left="0" w:right="0"/>
        <w:rPr>
          <w:color w:val="1a237e"/>
        </w:rPr>
      </w:pPr>
      <w:r>
        <w:rPr>
          <w:rFonts w:hint="eastAsia" w:ascii="黑体" w:hAnsi="黑体" w:eastAsia="黑体" w:cs="黑体"/>
          <w:b w:val="1"/>
          <w:color w:val="1a237e"/>
          <w:sz w:val="20"/>
        </w:rPr>
        <w:t>第三层：智能体编排层</w:t>
      </w:r>
    </w:p>
    <w:p w14:paraId="0000004B">
      <w:pPr>
        <w:pBdr>
          <w:top w:val="single" w:color="e0e0e0" w:sz="6"/>
          <w:left w:val="single" w:color="1565c0" w:sz="24"/>
          <w:bottom w:val="single" w:color="e0e0e0" w:sz="6"/>
          <w:right w:val="single" w:color="e0e0e0" w:sz="6"/>
        </w:pBdr>
        <w:shd w:val="clear" w:fill="f5f7fa"/>
        <w:spacing w:before="0" w:after="192" w:line="384"/>
        <w:ind w:left="0" w:right="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0"/>
        </w:rPr>
        <w:t>编排器按意图路由三条路径——路径 A（制度问答）：RAG 检索制度条款，LLM 组织回答；路径 B（补货申请）：多轮澄清 → 确定性工具计算建议量 → 口径校验 → 生成草稿，必须人工确认后才提交；路径 C（分配查询）：结构化查询，透明展示依据。配套确定性工具集（库存查询、建议量计算、口径校验、草稿读写、知识库检索、配送容量校验）、LLM 网关（统一 Adapter，支持超时 / 重试 / 降级 / 热切换）与 RAG 管道（解析 → 语义切分 → 向量化 → 检索 → 重排）。</w:t>
      </w:r>
    </w:p>
    <w:p w14:paraId="0000004C">
      <w:pPr>
        <w:pBdr>
          <w:top w:val="single" w:color="e0e0e0" w:sz="6"/>
          <w:left w:val="single" w:color="1565c0" w:sz="24"/>
          <w:bottom w:val="single" w:color="e0e0e0" w:sz="6"/>
          <w:right w:val="single" w:color="e0e0e0" w:sz="6"/>
        </w:pBdr>
        <w:shd w:val="clear" w:fill="f5f7fa"/>
        <w:spacing w:before="0" w:after="72" w:line="384"/>
        <w:ind w:left="0" w:right="0"/>
        <w:rPr>
          <w:color w:val="1a237e"/>
        </w:rPr>
      </w:pPr>
      <w:r>
        <w:rPr>
          <w:rFonts w:hint="eastAsia" w:ascii="黑体" w:hAnsi="黑体" w:eastAsia="黑体" w:cs="黑体"/>
          <w:b w:val="1"/>
          <w:color w:val="1a237e"/>
          <w:sz w:val="20"/>
        </w:rPr>
        <w:t>第四层：数据模型层</w:t>
      </w:r>
    </w:p>
    <w:p w14:paraId="0000004D">
      <w:pPr>
        <w:pBdr>
          <w:top w:val="single" w:color="e0e0e0" w:sz="6"/>
          <w:left w:val="single" w:color="1565c0" w:sz="24"/>
          <w:bottom w:val="single" w:color="e0e0e0" w:sz="6"/>
          <w:right w:val="single" w:color="e0e0e0" w:sz="6"/>
        </w:pBdr>
        <w:shd w:val="clear" w:fill="f5f7fa"/>
        <w:spacing w:before="0" w:after="192" w:line="384"/>
        <w:ind w:left="0" w:right="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0"/>
        </w:rPr>
        <w:t>PostgreSQL（含 pgvector）：业务表 + 向量数据同库；Redis：会话缓存与多轮上下文；对象存储：制度文档原件；ERP / POS 批量数据同步通道。</w:t>
      </w:r>
    </w:p>
    <w:p w14:paraId="0000004E">
      <w:pPr>
        <w:pStyle w:val="000005"/>
        <w:keepNext w:val="1"/>
        <w:keepLines w:val="1"/>
        <w:spacing w:before="360" w:beforeAutospacing="1" w:after="144" w:afterAutospacing="1" w:line="384"/>
        <w:ind w:left="0" w:right="0"/>
        <w:outlineLvl w:val="2"/>
        <w:rPr>
          <w:color w:val="1565c0"/>
          <w:sz w:val="32"/>
          <w:szCs w:val="32"/>
        </w:rPr>
      </w:pPr>
      <w:bookmarkStart w:id="7" w:name="section-2-2"/>
      <w:r>
        <w:rPr>
          <w:rFonts w:hint="eastAsia" w:ascii="黑体" w:hAnsi="黑体" w:eastAsia="黑体" w:cs="黑体"/>
          <w:b w:val="1"/>
          <w:color w:val="1565c0"/>
          <w:sz w:val="28"/>
        </w:rPr>
        <w:t>2.2 三项针对痛点的关键设计</w:t>
      </w:r>
      <w:bookmarkEnd w:id="7"/>
    </w:p>
    <w:p w14:paraId="0000004F">
      <w:pPr>
        <w:numPr>
          <w:ilvl w:val="0"/>
          <w:numId w:val="1"/>
        </w:numPr>
        <w:pBdr>
          <w:left w:space="24"/>
        </w:pBdr>
        <w:spacing w:before="0" w:after="144" w:line="384"/>
        <w:ind w:left="0" w:right="0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口径校验器是硬规则管道。</w:t>
      </w:r>
      <w:r>
        <w:rPr>
          <w:rFonts w:hint="eastAsia" w:ascii="宋体" w:hAnsi="宋体" w:eastAsia="宋体" w:cs="宋体"/>
          <w:color w:val="212121"/>
          <w:sz w:val="24"/>
        </w:rPr>
        <w:t>任何库存 / 销量数据进入建议量计算前强制执行三项校验：新旧编码归并（依据编码映射表先归并、后计算，杜绝同一商品双档案导致的账实差异）；零销量截断（零销量 SKU 标记为「无需求」而非「缺货」，修正缺货判定口径）；促销期打标（促销窗口内历史销量剔除或降权，并显式提示「促销期预测失效」）。校验结果以 JSON 随草稿单持久化，店长可完整理解「为什么算出这个数」。</w:t>
      </w:r>
    </w:p>
    <w:p w14:paraId="00000050">
      <w:pPr>
        <w:numPr>
          <w:ilvl w:val="0"/>
          <w:numId w:val="1"/>
        </w:numPr>
        <w:pBdr>
          <w:left w:space="24"/>
        </w:pBdr>
        <w:spacing w:before="0" w:after="144" w:line="384"/>
        <w:ind w:left="0" w:right="0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可售库存视图独立建模。</w:t>
      </w:r>
      <w:r>
        <w:rPr>
          <w:rFonts w:hint="eastAsia" w:ascii="宋体" w:hAnsi="宋体" w:eastAsia="宋体" w:cs="宋体"/>
          <w:color w:val="212121"/>
          <w:sz w:val="24"/>
        </w:rPr>
        <w:t>可售库存 = 系统库存 − 已分配未发运 − 已锁定，单独建视图，直接回答「还差多少没满足」。</w:t>
      </w:r>
    </w:p>
    <w:p w14:paraId="00000051">
      <w:pPr>
        <w:numPr>
          <w:ilvl w:val="0"/>
          <w:numId w:val="1"/>
        </w:numPr>
        <w:pBdr>
          <w:left w:space="24"/>
        </w:pBdr>
        <w:spacing w:before="0" w:after="144" w:line="384"/>
        <w:ind w:left="0" w:right="0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草稿-确认制。</w:t>
      </w:r>
      <w:r>
        <w:rPr>
          <w:rFonts w:hint="eastAsia" w:ascii="宋体" w:hAnsi="宋体" w:eastAsia="宋体" w:cs="宋体"/>
          <w:color w:val="212121"/>
          <w:sz w:val="24"/>
        </w:rPr>
        <w:t>智能体生成的补货申请一律先落草稿，用户确认后才提交，责任边界清晰，规避自动执行风险。</w:t>
      </w:r>
    </w:p>
    <w:p w14:paraId="00000052">
      <w:pPr>
        <w:pStyle w:val="000004"/>
        <w:keepNext w:val="1"/>
        <w:keepLines w:val="1"/>
        <w:pBdr>
          <w:left w:val="single" w:color="1565c0" w:sz="24" w:space="7"/>
        </w:pBdr>
        <w:spacing w:before="600" w:beforeAutospacing="1" w:after="240" w:afterAutospacing="1" w:line="384"/>
        <w:ind w:left="0" w:right="0"/>
        <w:outlineLvl w:val="1"/>
        <w:rPr>
          <w:color w:val="1a237e"/>
          <w:sz w:val="32"/>
          <w:szCs w:val="32"/>
        </w:rPr>
      </w:pPr>
      <w:bookmarkStart w:id="8" w:name="section-3"/>
      <w:r>
        <w:rPr>
          <w:rFonts w:hint="eastAsia" w:ascii="黑体" w:hAnsi="黑体" w:eastAsia="黑体" w:cs="黑体"/>
          <w:b w:val="1"/>
          <w:color w:val="1a237e"/>
          <w:sz w:val="36"/>
        </w:rPr>
        <w:t>三、推荐目录结构</w:t>
      </w:r>
      <w:bookmarkEnd w:id="8"/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240" w:type="dxa"/>
              <w:bottom w:w="240" w:type="dxa"/>
            </w:tcMar>
            <w:vAlign w:val="center"/>
          </w:tcPr>
          <w:p w14:paraId="00000053">
            <w:pPr>
              <w:rPr>
                <w:color w:val="212121"/>
              </w:rPr>
            </w:pPr>
            <w:r>
              <w:rPr>
                <w:rFonts w:ascii="monospace" w:hAnsi="monospace" w:eastAsia="monospace" w:cs="monospace"/>
              </w:rPr>
              <w:t>replenishment-agent/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>├── app/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│   ├── main.py                # FastAPI 入口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│   ├── core/                  # 配置、安全、依赖注入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│   ├── api/                   # 路由：auth / sessions / drafts / kb / admin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>│   ├── agents/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│   │   ├── orchestrator.py    # 意图识别与路由编排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│   │   ├── prompts/           # 各路径系统提示词（版本化管理）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│   │   └── memory.py          # 多轮上下文管理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│   ├── tools/                 # agent 可调用的确定性工具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│   │   ├── inventory.py       # 可售库存 / 系统库存查询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│   │   ├── suggestion.py      # 建议量计算（MOQ / 整箱 / 上限约束）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│   │   ├── validator.py       # 口径校验入口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│   │   ├── draft.py           # 草稿读写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│   │   └── kb_retriever.py    # 知识库检索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│   ├── llm/                   # LLM 网关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│   │   ├── gateway.py         # 统一接口：超时 / 重试 / 降级 / fallback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│   │   └── providers/         # openai_compatible.py / vendor_x.py（可插拔）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>│   ├── rag/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│   │   ├── loader.py          # 文档解析（docx / pdf / md）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│   │   ├── splitter.py        # 按制度条款语义切分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│   │   ├── embedder.py        # embedding（与 LLM 网关同模式，可替换）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│   │   └── retriever.py       # 向量检索 + 重排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│   ├── validation/            # 口径校验规则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│   │   ├── code_mapping.py    # 新旧编码归并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│   │   ├── zero_sales.py      # 零销量截断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│   │   └── promo_window.py    # 促销期预测失效标记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>│   ├── models/                # SQLAlchemy ORM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│   ├── schemas/               # Pydantic 请求 / 响应模型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│   └── services/              # 领域服务（申请单流转、分配结果）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├── migrations/                # Alembic 数据库迁移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├── scripts/                   # kb_import.py 知识库导入 / seed.py 演示数据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>├── tests/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├── docs/                      # 架构决策记录（ADR）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>└── docker-compose.yml         # app + postgres(pgvector) + redis</w:t>
            </w:r>
          </w:p>
        </w:tc>
      </w:tr>
    </w:tbl>
    <w:p w14:paraId="00000054">
      <w:pPr>
        <w:spacing w:before="0" w:after="180" w:line="384"/>
        <w:ind w:left="0" w:right="0" w:firstLine="4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结构要点：</w:t>
      </w:r>
      <w:r>
        <w:rPr>
          <w:rFonts w:ascii="Consolas" w:hAnsi="Consolas" w:eastAsia="Consolas" w:cs="Consolas"/>
          <w:color w:val="212121"/>
          <w:sz w:val="24"/>
        </w:rPr>
        <w:t>agents/</w:t>
      </w:r>
      <w:r>
        <w:rPr>
          <w:rFonts w:hint="eastAsia" w:ascii="宋体" w:hAnsi="宋体" w:eastAsia="宋体" w:cs="宋体"/>
          <w:color w:val="212121"/>
          <w:sz w:val="24"/>
        </w:rPr>
        <w:t xml:space="preserve"> 与 </w:t>
      </w:r>
      <w:r>
        <w:rPr>
          <w:rFonts w:ascii="Consolas" w:hAnsi="Consolas" w:eastAsia="Consolas" w:cs="Consolas"/>
          <w:color w:val="212121"/>
          <w:sz w:val="24"/>
        </w:rPr>
        <w:t>tools/</w:t>
      </w:r>
      <w:r>
        <w:rPr>
          <w:rFonts w:hint="eastAsia" w:ascii="宋体" w:hAnsi="宋体" w:eastAsia="宋体" w:cs="宋体"/>
          <w:color w:val="212121"/>
          <w:sz w:val="24"/>
        </w:rPr>
        <w:t xml:space="preserve"> 严格分离——编排层只做路由与多轮管理，业务计算全部下沉到确定性工具；</w:t>
      </w:r>
      <w:r>
        <w:rPr>
          <w:rFonts w:ascii="Consolas" w:hAnsi="Consolas" w:eastAsia="Consolas" w:cs="Consolas"/>
          <w:color w:val="212121"/>
          <w:sz w:val="24"/>
        </w:rPr>
        <w:t>llm/providers/</w:t>
      </w:r>
      <w:r>
        <w:rPr>
          <w:rFonts w:hint="eastAsia" w:ascii="宋体" w:hAnsi="宋体" w:eastAsia="宋体" w:cs="宋体"/>
          <w:color w:val="212121"/>
          <w:sz w:val="24"/>
        </w:rPr>
        <w:t xml:space="preserve"> 可插拔，新供应商只需新增一个 Adapter 文件；</w:t>
      </w:r>
      <w:r>
        <w:rPr>
          <w:rFonts w:ascii="Consolas" w:hAnsi="Consolas" w:eastAsia="Consolas" w:cs="Consolas"/>
          <w:color w:val="212121"/>
          <w:sz w:val="24"/>
        </w:rPr>
        <w:t>validation/</w:t>
      </w:r>
      <w:r>
        <w:rPr>
          <w:rFonts w:hint="eastAsia" w:ascii="宋体" w:hAnsi="宋体" w:eastAsia="宋体" w:cs="宋体"/>
          <w:color w:val="212121"/>
          <w:sz w:val="24"/>
        </w:rPr>
        <w:t xml:space="preserve"> 独立成包，三项口径规则可单测、可组合。</w:t>
      </w:r>
    </w:p>
    <w:p w14:paraId="00000055">
      <w:pPr>
        <w:pStyle w:val="000004"/>
        <w:keepNext w:val="1"/>
        <w:keepLines w:val="1"/>
        <w:pBdr>
          <w:left w:val="single" w:color="1565c0" w:sz="24" w:space="7"/>
        </w:pBdr>
        <w:spacing w:before="600" w:beforeAutospacing="1" w:after="240" w:afterAutospacing="1" w:line="384"/>
        <w:ind w:left="0" w:right="0"/>
        <w:outlineLvl w:val="1"/>
        <w:rPr>
          <w:color w:val="1a237e"/>
          <w:sz w:val="32"/>
          <w:szCs w:val="32"/>
        </w:rPr>
      </w:pPr>
      <w:bookmarkStart w:id="9" w:name="section-4"/>
      <w:r>
        <w:rPr>
          <w:rFonts w:hint="eastAsia" w:ascii="黑体" w:hAnsi="黑体" w:eastAsia="黑体" w:cs="黑体"/>
          <w:b w:val="1"/>
          <w:color w:val="1a237e"/>
          <w:sz w:val="36"/>
        </w:rPr>
        <w:t>四、数据库表设计</w:t>
      </w:r>
      <w:bookmarkEnd w:id="9"/>
    </w:p>
    <w:p w14:paraId="00000056">
      <w:pPr>
        <w:spacing w:before="0" w:after="180" w:line="384"/>
        <w:ind w:left="0" w:right="0" w:firstLine="4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共 6 张核心表。用户、会话、消息支撑对话链路；补货制度文档与检索单元支撑知识库；补货申请单草稿是系统核心交付物。</w:t>
      </w:r>
    </w:p>
    <w:p w14:paraId="00000057">
      <w:pPr>
        <w:pStyle w:val="000005"/>
        <w:keepNext w:val="1"/>
        <w:keepLines w:val="1"/>
        <w:spacing w:before="0" w:beforeAutospacing="1" w:after="0" w:afterAutospacing="1" w:line="384"/>
        <w:ind w:left="0" w:right="0"/>
        <w:outlineLvl w:val="2"/>
        <w:rPr>
          <w:color w:val="212121"/>
          <w:sz w:val="32"/>
          <w:szCs w:val="32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4.1 users（用户）</w:t>
      </w:r>
    </w:p>
    <w:tbl>
      <w:tblPr>
        <w:tblW w:w="8306" w:type="dxa"/>
        <w:shd w:color="21212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59"/>
        <w:gridCol w:w="1827"/>
        <w:gridCol w:w="4320"/>
      </w:tblGrid>
      <w:tr>
        <w:trPr>
          <w:tblHeader w:val="1"/>
        </w:trPr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00005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字段</w:t>
            </w:r>
          </w:p>
        </w:tc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000059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类型</w:t>
            </w:r>
          </w:p>
        </w:tc>
        <w:tc>
          <w:tcPr>
            <w:tcW w:w="43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00005A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说明</w:t>
            </w:r>
          </w:p>
        </w:tc>
      </w:tr>
      <w:tr>
        <w:trPr/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5B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id</w:t>
            </w:r>
          </w:p>
        </w:tc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5C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PK</w:t>
            </w:r>
          </w:p>
        </w:tc>
        <w:tc>
          <w:tcPr>
            <w:tcW w:w="43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5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主键</w:t>
            </w:r>
          </w:p>
        </w:tc>
      </w:tr>
      <w:tr>
        <w:trPr/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5E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username / password_hash</w:t>
            </w:r>
          </w:p>
        </w:tc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5F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varchar</w:t>
            </w:r>
          </w:p>
        </w:tc>
        <w:tc>
          <w:tcPr>
            <w:tcW w:w="43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6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登录名 / 口令哈希</w:t>
            </w:r>
          </w:p>
        </w:tc>
      </w:tr>
      <w:tr>
        <w:trPr/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61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role</w:t>
            </w:r>
          </w:p>
        </w:tc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62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enum</w:t>
            </w:r>
          </w:p>
        </w:tc>
        <w:tc>
          <w:tcPr>
            <w:tcW w:w="43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6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store_manager（店长）/ admin（总部管理员），RBAC 锚点</w:t>
            </w:r>
          </w:p>
        </w:tc>
      </w:tr>
      <w:tr>
        <w:trPr/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64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store_id</w:t>
            </w:r>
          </w:p>
        </w:tc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6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FK，可空</w:t>
            </w:r>
          </w:p>
        </w:tc>
        <w:tc>
          <w:tcPr>
            <w:tcW w:w="43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6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店长归属门店；admin 为空，行级数据权限锚点</w:t>
            </w:r>
          </w:p>
        </w:tc>
      </w:tr>
      <w:tr>
        <w:trPr/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67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status / created_at</w:t>
            </w:r>
          </w:p>
        </w:tc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68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enum / timestamp</w:t>
            </w:r>
          </w:p>
        </w:tc>
        <w:tc>
          <w:tcPr>
            <w:tcW w:w="43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6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启停 / 审计</w:t>
            </w:r>
          </w:p>
        </w:tc>
      </w:tr>
    </w:tbl>
    <w:p w14:paraId="0000006A">
      <w:pPr>
        <w:pStyle w:val="000005"/>
        <w:keepNext w:val="1"/>
        <w:keepLines w:val="1"/>
        <w:spacing w:before="0" w:beforeAutospacing="1" w:after="0" w:afterAutospacing="1" w:line="384"/>
        <w:ind w:left="0" w:right="0"/>
        <w:outlineLvl w:val="2"/>
        <w:rPr>
          <w:color w:val="212121"/>
          <w:sz w:val="32"/>
          <w:szCs w:val="32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4.2 sessions（会话）</w:t>
      </w:r>
    </w:p>
    <w:tbl>
      <w:tblPr>
        <w:tblW w:w="8306" w:type="dxa"/>
        <w:shd w:color="21212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59"/>
        <w:gridCol w:w="1827"/>
        <w:gridCol w:w="4320"/>
      </w:tblGrid>
      <w:tr>
        <w:trPr>
          <w:tblHeader w:val="1"/>
        </w:trPr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00006B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字段</w:t>
            </w:r>
          </w:p>
        </w:tc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00006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类型</w:t>
            </w:r>
          </w:p>
        </w:tc>
        <w:tc>
          <w:tcPr>
            <w:tcW w:w="43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00006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说明</w:t>
            </w:r>
          </w:p>
        </w:tc>
      </w:tr>
      <w:tr>
        <w:trPr/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6E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id / user_id</w:t>
            </w:r>
          </w:p>
        </w:tc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6F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PK / FK</w:t>
            </w:r>
          </w:p>
        </w:tc>
        <w:tc>
          <w:tcPr>
            <w:tcW w:w="43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7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主键 / 归属用户</w:t>
            </w:r>
          </w:p>
        </w:tc>
      </w:tr>
      <w:tr>
        <w:trPr/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71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title / status</w:t>
            </w:r>
          </w:p>
        </w:tc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72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varchar / enum</w:t>
            </w:r>
          </w:p>
        </w:tc>
        <w:tc>
          <w:tcPr>
            <w:tcW w:w="43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7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摘要标题 / active、closed</w:t>
            </w:r>
          </w:p>
        </w:tc>
      </w:tr>
      <w:tr>
        <w:trPr/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74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context</w:t>
            </w:r>
          </w:p>
        </w:tc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75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JSONB</w:t>
            </w:r>
          </w:p>
        </w:tc>
        <w:tc>
          <w:tcPr>
            <w:tcW w:w="43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7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当前门店、在处理 SKU、澄清状态等（多轮恢复现场）</w:t>
            </w:r>
          </w:p>
        </w:tc>
      </w:tr>
      <w:tr>
        <w:trPr/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77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created_at / last_active_at</w:t>
            </w:r>
          </w:p>
        </w:tc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78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timestamp</w:t>
            </w:r>
          </w:p>
        </w:tc>
        <w:tc>
          <w:tcPr>
            <w:tcW w:w="43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7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超时归档依据</w:t>
            </w:r>
          </w:p>
        </w:tc>
      </w:tr>
    </w:tbl>
    <w:p w14:paraId="0000007A">
      <w:pPr>
        <w:pStyle w:val="000005"/>
        <w:keepNext w:val="1"/>
        <w:keepLines w:val="1"/>
        <w:spacing w:before="0" w:beforeAutospacing="1" w:after="0" w:afterAutospacing="1" w:line="384"/>
        <w:ind w:left="0" w:right="0"/>
        <w:outlineLvl w:val="2"/>
        <w:rPr>
          <w:color w:val="212121"/>
          <w:sz w:val="32"/>
          <w:szCs w:val="32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4.3 messages（消息）</w:t>
      </w:r>
    </w:p>
    <w:tbl>
      <w:tblPr>
        <w:tblW w:w="8306" w:type="dxa"/>
        <w:shd w:color="21212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59"/>
        <w:gridCol w:w="1827"/>
        <w:gridCol w:w="4320"/>
      </w:tblGrid>
      <w:tr>
        <w:trPr>
          <w:tblHeader w:val="1"/>
        </w:trPr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00007B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字段</w:t>
            </w:r>
          </w:p>
        </w:tc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00007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类型</w:t>
            </w:r>
          </w:p>
        </w:tc>
        <w:tc>
          <w:tcPr>
            <w:tcW w:w="43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00007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说明</w:t>
            </w:r>
          </w:p>
        </w:tc>
      </w:tr>
      <w:tr>
        <w:trPr/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7E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id / session_id</w:t>
            </w:r>
          </w:p>
        </w:tc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7F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PK / FK</w:t>
            </w:r>
          </w:p>
        </w:tc>
        <w:tc>
          <w:tcPr>
            <w:tcW w:w="43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8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主键 / 归属会话</w:t>
            </w:r>
          </w:p>
        </w:tc>
      </w:tr>
      <w:tr>
        <w:trPr/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81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role</w:t>
            </w:r>
          </w:p>
        </w:tc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82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enum</w:t>
            </w:r>
          </w:p>
        </w:tc>
        <w:tc>
          <w:tcPr>
            <w:tcW w:w="43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83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user / assistant / tool</w:t>
            </w:r>
          </w:p>
        </w:tc>
      </w:tr>
      <w:tr>
        <w:trPr/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84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content</w:t>
            </w:r>
          </w:p>
        </w:tc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85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text</w:t>
            </w:r>
          </w:p>
        </w:tc>
        <w:tc>
          <w:tcPr>
            <w:tcW w:w="43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8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消息正文</w:t>
            </w:r>
          </w:p>
        </w:tc>
      </w:tr>
      <w:tr>
        <w:trPr/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87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tool_trace</w:t>
            </w:r>
          </w:p>
        </w:tc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88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JSONB</w:t>
            </w:r>
          </w:p>
        </w:tc>
        <w:tc>
          <w:tcPr>
            <w:tcW w:w="43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8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工具调用链：引用了哪些制度条款、调用了哪些计算（可解释性关键）</w:t>
            </w:r>
          </w:p>
        </w:tc>
      </w:tr>
      <w:tr>
        <w:trPr/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8A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token_usage / created_at</w:t>
            </w:r>
          </w:p>
        </w:tc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8B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int / timestamp</w:t>
            </w:r>
          </w:p>
        </w:tc>
        <w:tc>
          <w:tcPr>
            <w:tcW w:w="43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8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成本核算 / 时间序</w:t>
            </w:r>
          </w:p>
        </w:tc>
      </w:tr>
    </w:tbl>
    <w:p w14:paraId="0000008D">
      <w:pPr>
        <w:pStyle w:val="000005"/>
        <w:keepNext w:val="1"/>
        <w:keepLines w:val="1"/>
        <w:spacing w:before="0" w:beforeAutospacing="1" w:after="0" w:afterAutospacing="1" w:line="384"/>
        <w:ind w:left="0" w:right="0"/>
        <w:outlineLvl w:val="2"/>
        <w:rPr>
          <w:color w:val="212121"/>
          <w:sz w:val="32"/>
          <w:szCs w:val="32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4.4 kb_documents（补货制度文档）</w:t>
      </w:r>
    </w:p>
    <w:tbl>
      <w:tblPr>
        <w:tblW w:w="8306" w:type="dxa"/>
        <w:shd w:color="21212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59"/>
        <w:gridCol w:w="1827"/>
        <w:gridCol w:w="4320"/>
      </w:tblGrid>
      <w:tr>
        <w:trPr>
          <w:tblHeader w:val="1"/>
        </w:trPr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00008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字段</w:t>
            </w:r>
          </w:p>
        </w:tc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00008F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类型</w:t>
            </w:r>
          </w:p>
        </w:tc>
        <w:tc>
          <w:tcPr>
            <w:tcW w:w="43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000090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说明</w:t>
            </w:r>
          </w:p>
        </w:tc>
      </w:tr>
      <w:tr>
        <w:trPr/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91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id / title</w:t>
            </w:r>
          </w:p>
        </w:tc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92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PK / varchar</w:t>
            </w:r>
          </w:p>
        </w:tc>
        <w:tc>
          <w:tcPr>
            <w:tcW w:w="43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9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主键 / 文档标题</w:t>
            </w:r>
          </w:p>
        </w:tc>
      </w:tr>
      <w:tr>
        <w:trPr/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94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doc_type</w:t>
            </w:r>
          </w:p>
        </w:tc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95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enum</w:t>
            </w:r>
          </w:p>
        </w:tc>
        <w:tc>
          <w:tcPr>
            <w:tcW w:w="43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9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MOQ / 整箱规格 / 分配上限 / 配送日历线路容量 / 促销变价 / 缺货判定口径 / 审批调拨流程</w:t>
            </w:r>
          </w:p>
        </w:tc>
      </w:tr>
      <w:tr>
        <w:trPr/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97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version / status</w:t>
            </w:r>
          </w:p>
        </w:tc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98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int / enum</w:t>
            </w:r>
          </w:p>
        </w:tc>
        <w:tc>
          <w:tcPr>
            <w:tcW w:w="43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9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版本号 / draft → published → archived（制度生效有版本，历史回答可追溯）</w:t>
            </w:r>
          </w:p>
        </w:tc>
      </w:tr>
      <w:tr>
        <w:trPr/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9A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effective_date / uploaded_by</w:t>
            </w:r>
          </w:p>
        </w:tc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9B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date / FK</w:t>
            </w:r>
          </w:p>
        </w:tc>
        <w:tc>
          <w:tcPr>
            <w:tcW w:w="43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9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生效日期 / 维护人</w:t>
            </w:r>
          </w:p>
        </w:tc>
      </w:tr>
      <w:tr>
        <w:trPr/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9D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source_path</w:t>
            </w:r>
          </w:p>
        </w:tc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9E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varchar</w:t>
            </w:r>
          </w:p>
        </w:tc>
        <w:tc>
          <w:tcPr>
            <w:tcW w:w="43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9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对象存储原件路径</w:t>
            </w:r>
          </w:p>
        </w:tc>
      </w:tr>
    </w:tbl>
    <w:p w14:paraId="000000A0">
      <w:pPr>
        <w:pStyle w:val="000005"/>
        <w:keepNext w:val="1"/>
        <w:keepLines w:val="1"/>
        <w:spacing w:before="0" w:beforeAutospacing="1" w:after="0" w:afterAutospacing="1" w:line="384"/>
        <w:ind w:left="0" w:right="0"/>
        <w:outlineLvl w:val="2"/>
        <w:rPr>
          <w:color w:val="212121"/>
          <w:sz w:val="32"/>
          <w:szCs w:val="32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4.5 kb_chunks（制度检索单元）</w:t>
      </w:r>
    </w:p>
    <w:tbl>
      <w:tblPr>
        <w:tblW w:w="8306" w:type="dxa"/>
        <w:shd w:color="21212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59"/>
        <w:gridCol w:w="1827"/>
        <w:gridCol w:w="4320"/>
      </w:tblGrid>
      <w:tr>
        <w:trPr>
          <w:tblHeader w:val="1"/>
        </w:trPr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0000A1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字段</w:t>
            </w:r>
          </w:p>
        </w:tc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0000A2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类型</w:t>
            </w:r>
          </w:p>
        </w:tc>
        <w:tc>
          <w:tcPr>
            <w:tcW w:w="43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0000A3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说明</w:t>
            </w:r>
          </w:p>
        </w:tc>
      </w:tr>
      <w:tr>
        <w:trPr/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A4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id / document_id / chunk_index</w:t>
            </w:r>
          </w:p>
        </w:tc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A5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PK / FK / int</w:t>
            </w:r>
          </w:p>
        </w:tc>
        <w:tc>
          <w:tcPr>
            <w:tcW w:w="43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A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归属文档 / 章节序号</w:t>
            </w:r>
          </w:p>
        </w:tc>
      </w:tr>
      <w:tr>
        <w:trPr/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A7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content</w:t>
            </w:r>
          </w:p>
        </w:tc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A8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text</w:t>
            </w:r>
          </w:p>
        </w:tc>
        <w:tc>
          <w:tcPr>
            <w:tcW w:w="43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A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条款原文（制度类文档按「条款」切分，不按固定字数）</w:t>
            </w:r>
          </w:p>
        </w:tc>
      </w:tr>
      <w:tr>
        <w:trPr/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AA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embedding</w:t>
            </w:r>
          </w:p>
        </w:tc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AB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vector(1024)</w:t>
            </w:r>
          </w:p>
        </w:tc>
        <w:tc>
          <w:tcPr>
            <w:tcW w:w="43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A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pgvector 向量，建 HNSW 索引</w:t>
            </w:r>
          </w:p>
        </w:tc>
      </w:tr>
      <w:tr>
        <w:trPr/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AD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metadata</w:t>
            </w:r>
          </w:p>
        </w:tc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AE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JSONB</w:t>
            </w:r>
          </w:p>
        </w:tc>
        <w:tc>
          <w:tcPr>
            <w:tcW w:w="43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A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doc_type、生效版本（检索时过滤已归档版本）</w:t>
            </w:r>
          </w:p>
        </w:tc>
      </w:tr>
    </w:tbl>
    <w:p w14:paraId="000000B0">
      <w:pPr>
        <w:pStyle w:val="000005"/>
        <w:keepNext w:val="1"/>
        <w:keepLines w:val="1"/>
        <w:spacing w:before="0" w:beforeAutospacing="1" w:after="0" w:afterAutospacing="1" w:line="384"/>
        <w:ind w:left="0" w:right="0"/>
        <w:outlineLvl w:val="2"/>
        <w:rPr>
          <w:color w:val="212121"/>
          <w:sz w:val="32"/>
          <w:szCs w:val="32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4.6 replenishment_drafts（补货申请单草稿）</w:t>
      </w:r>
    </w:p>
    <w:tbl>
      <w:tblPr>
        <w:tblW w:w="8306" w:type="dxa"/>
        <w:shd w:color="21212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59"/>
        <w:gridCol w:w="1827"/>
        <w:gridCol w:w="4320"/>
      </w:tblGrid>
      <w:tr>
        <w:trPr>
          <w:tblHeader w:val="1"/>
        </w:trPr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0000B1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字段</w:t>
            </w:r>
          </w:p>
        </w:tc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0000B2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类型</w:t>
            </w:r>
          </w:p>
        </w:tc>
        <w:tc>
          <w:tcPr>
            <w:tcW w:w="43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0000B3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说明</w:t>
            </w:r>
          </w:p>
        </w:tc>
      </w:tr>
      <w:tr>
        <w:trPr/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B4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id / session_id / store_id / created_by</w:t>
            </w:r>
          </w:p>
        </w:tc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B5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PK / FK</w:t>
            </w:r>
          </w:p>
        </w:tc>
        <w:tc>
          <w:tcPr>
            <w:tcW w:w="43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B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来源会话可追溯（可回放「为什么给我建议这个量」）</w:t>
            </w:r>
          </w:p>
        </w:tc>
      </w:tr>
      <w:tr>
        <w:trPr/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B7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sku / sku_name</w:t>
            </w:r>
          </w:p>
        </w:tc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B8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varchar</w:t>
            </w:r>
          </w:p>
        </w:tc>
        <w:tc>
          <w:tcPr>
            <w:tcW w:w="43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B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商品标识</w:t>
            </w:r>
          </w:p>
        </w:tc>
      </w:tr>
      <w:tr>
        <w:trPr/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BA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qty_suggested / qty_requested</w:t>
            </w:r>
          </w:p>
        </w:tc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BB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int</w:t>
            </w:r>
          </w:p>
        </w:tc>
        <w:tc>
          <w:tcPr>
            <w:tcW w:w="43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B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系统建议量 / 店长申请量</w:t>
            </w:r>
          </w:p>
        </w:tc>
      </w:tr>
      <w:tr>
        <w:trPr/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BD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basis</w:t>
            </w:r>
          </w:p>
        </w:tc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BE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JSONB</w:t>
            </w:r>
          </w:p>
        </w:tc>
        <w:tc>
          <w:tcPr>
            <w:tcW w:w="43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B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分配依据：系统库存、可售库存、在途、近 7/30 天销量、命中制度条款（MOQ / 整箱换算过程）、预计到货日（含线路容量拥挤度）、未满足数量及原因</w:t>
            </w:r>
          </w:p>
        </w:tc>
      </w:tr>
      <w:tr>
        <w:trPr/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C0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validation_result</w:t>
            </w:r>
          </w:p>
        </w:tc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C1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JSONB</w:t>
            </w:r>
          </w:p>
        </w:tc>
        <w:tc>
          <w:tcPr>
            <w:tcW w:w="43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C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三项口径校验执行结果（编码归并 / 零销量截断 / 促销期标记）</w:t>
            </w:r>
          </w:p>
        </w:tc>
      </w:tr>
      <w:tr>
        <w:trPr/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C3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status</w:t>
            </w:r>
          </w:p>
        </w:tc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C4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enum</w:t>
            </w:r>
          </w:p>
        </w:tc>
        <w:tc>
          <w:tcPr>
            <w:tcW w:w="43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C5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draft → submitted → allocated / rejected</w:t>
            </w:r>
          </w:p>
        </w:tc>
      </w:tr>
      <w:tr>
        <w:trPr/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C6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created_at / submitted_at</w:t>
            </w:r>
          </w:p>
        </w:tc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C7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timestamp</w:t>
            </w:r>
          </w:p>
        </w:tc>
        <w:tc>
          <w:tcPr>
            <w:tcW w:w="43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C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超时未提交提醒依据</w:t>
            </w:r>
          </w:p>
        </w:tc>
      </w:tr>
    </w:tbl>
    <w:p w14:paraId="000000C9">
      <w:pPr>
        <w:pStyle w:val="000004"/>
        <w:keepNext w:val="1"/>
        <w:keepLines w:val="1"/>
        <w:pBdr>
          <w:left w:val="single" w:color="1565c0" w:sz="24" w:space="7"/>
        </w:pBdr>
        <w:spacing w:before="600" w:beforeAutospacing="1" w:after="240" w:afterAutospacing="1" w:line="384"/>
        <w:ind w:left="0" w:right="0"/>
        <w:outlineLvl w:val="1"/>
        <w:rPr>
          <w:color w:val="1a237e"/>
          <w:sz w:val="32"/>
          <w:szCs w:val="32"/>
        </w:rPr>
      </w:pPr>
      <w:bookmarkStart w:id="10" w:name="section-5"/>
      <w:r>
        <w:rPr>
          <w:rFonts w:hint="eastAsia" w:ascii="黑体" w:hAnsi="黑体" w:eastAsia="黑体" w:cs="黑体"/>
          <w:b w:val="1"/>
          <w:color w:val="1a237e"/>
          <w:sz w:val="36"/>
        </w:rPr>
        <w:t>五、第一周最小验证目标</w:t>
      </w:r>
      <w:bookmarkEnd w:id="10"/>
    </w:p>
    <w:p w14:paraId="000000CA">
      <w:pPr>
        <w:spacing w:before="0" w:after="180" w:line="384"/>
        <w:ind w:left="0" w:right="0" w:firstLine="480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总体目标</w:t>
      </w:r>
      <w:r>
        <w:rPr>
          <w:rFonts w:hint="eastAsia" w:ascii="宋体" w:hAnsi="宋体" w:eastAsia="宋体" w:cs="宋体"/>
          <w:color w:val="212121"/>
          <w:sz w:val="24"/>
        </w:rPr>
        <w:t>：模拟店长用自然语言完成一次「问 → 算 → 校 → 存」全链路，全部走真实链路，无假数据短路。</w:t>
      </w:r>
    </w:p>
    <w:tbl>
      <w:tblPr>
        <w:tblW w:w="8306" w:type="dxa"/>
        <w:shd w:color="21212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64"/>
        <w:gridCol w:w="1661"/>
        <w:gridCol w:w="5981"/>
      </w:tblGrid>
      <w:tr>
        <w:trPr>
          <w:tblHeader w:val="1"/>
        </w:trPr>
        <w:tc>
          <w:tcPr>
            <w:tcW w:w="66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0000CB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序号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0000C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验收项</w:t>
            </w:r>
          </w:p>
        </w:tc>
        <w:tc>
          <w:tcPr>
            <w:tcW w:w="598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0000C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0"/>
              </w:rPr>
              <w:t>验收标准</w:t>
            </w:r>
          </w:p>
        </w:tc>
      </w:tr>
      <w:tr>
        <w:trPr/>
        <w:tc>
          <w:tcPr>
            <w:tcW w:w="66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CE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1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C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模拟数据环境</w:t>
            </w:r>
          </w:p>
        </w:tc>
        <w:tc>
          <w:tcPr>
            <w:tcW w:w="598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D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1 家模拟门店、3~5 个 SKU，手工灌入库存 / 销量数据；包含一条新旧编码数据、一条促销期数据，专门用于验证口径校验</w:t>
            </w:r>
          </w:p>
        </w:tc>
      </w:tr>
      <w:tr>
        <w:trPr/>
        <w:tc>
          <w:tcPr>
            <w:tcW w:w="66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D1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2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D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知识库建立</w:t>
            </w:r>
          </w:p>
        </w:tc>
        <w:tc>
          <w:tcPr>
            <w:tcW w:w="598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D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导入 5~10 篇制度文档（覆盖 MOQ、整箱规格、配送日历、缺货口径），完成切分与向量化入库</w:t>
            </w:r>
          </w:p>
        </w:tc>
      </w:tr>
      <w:tr>
        <w:trPr/>
        <w:tc>
          <w:tcPr>
            <w:tcW w:w="66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D4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3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D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端到端对话</w:t>
            </w:r>
          </w:p>
        </w:tc>
        <w:tc>
          <w:tcPr>
            <w:tcW w:w="598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D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店长问「SKU A001 这次建议补多少？」→ 意图识别 → 查可售库存 → 按 MOQ / 整箱计算 → 口径校验 → 生成草稿；回答中显式展示分配依据、预计到货、未满足数量</w:t>
            </w:r>
          </w:p>
        </w:tc>
      </w:tr>
      <w:tr>
        <w:trPr/>
        <w:tc>
          <w:tcPr>
            <w:tcW w:w="66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D7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4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D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追问可解释</w:t>
            </w:r>
          </w:p>
        </w:tc>
        <w:tc>
          <w:tcPr>
            <w:tcW w:w="598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D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店长追问「为什么按 3 的倍数？」→ RAG 命中整箱规格条款并引用原文</w:t>
            </w:r>
          </w:p>
        </w:tc>
      </w:tr>
      <w:tr>
        <w:trPr/>
        <w:tc>
          <w:tcPr>
            <w:tcW w:w="66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DA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5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D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草稿落库</w:t>
            </w:r>
          </w:p>
        </w:tc>
        <w:tc>
          <w:tcPr>
            <w:tcW w:w="598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D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replenishment_drafts 表可见草稿，basis 与 validation_result 两个 JSON 字段完整</w:t>
            </w:r>
          </w:p>
        </w:tc>
      </w:tr>
      <w:tr>
        <w:trPr/>
        <w:tc>
          <w:tcPr>
            <w:tcW w:w="66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DD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6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D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供应商可替换</w:t>
            </w:r>
          </w:p>
        </w:tc>
        <w:tc>
          <w:tcPr>
            <w:tcW w:w="598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0000D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通过 OpenAI 兼容协议接通一家供应商，验证仅修改 base_url 与 model 即可切换</w:t>
            </w:r>
          </w:p>
        </w:tc>
      </w:tr>
    </w:tbl>
    <w:p w14:paraId="000000E0">
      <w:pPr>
        <w:spacing w:before="0" w:after="180" w:line="384"/>
        <w:ind w:left="0" w:right="0" w:firstLine="480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第一周刻意不做的范围</w:t>
      </w:r>
      <w:r>
        <w:rPr>
          <w:rFonts w:hint="eastAsia" w:ascii="宋体" w:hAnsi="宋体" w:eastAsia="宋体" w:cs="宋体"/>
          <w:color w:val="212121"/>
          <w:sz w:val="24"/>
        </w:rPr>
        <w:t>：审批流、多门店、配送容量计算、真实 ERP 对接、权限精细化管理。第一周验证的是「编排器 + 工具 + 校验 + RAG」这一骨架是否成立——骨架正确，后续功能均为顺向扩展；骨架错误，后续全部是补丁。</w:t>
      </w:r>
    </w:p>
    <w:p w14:paraId="000000E1">
      <w:pPr>
        <w:pStyle w:val="000004"/>
        <w:keepNext w:val="1"/>
        <w:keepLines w:val="1"/>
        <w:pBdr>
          <w:left w:val="single" w:color="1565c0" w:sz="24" w:space="7"/>
        </w:pBdr>
        <w:spacing w:before="600" w:beforeAutospacing="1" w:after="240" w:afterAutospacing="1" w:line="384"/>
        <w:ind w:left="0" w:right="0"/>
        <w:outlineLvl w:val="1"/>
        <w:rPr>
          <w:color w:val="1a237e"/>
          <w:sz w:val="32"/>
          <w:szCs w:val="32"/>
        </w:rPr>
      </w:pPr>
      <w:bookmarkStart w:id="11" w:name="section-6"/>
      <w:r>
        <w:rPr>
          <w:rFonts w:hint="eastAsia" w:ascii="黑体" w:hAnsi="黑体" w:eastAsia="黑体" w:cs="黑体"/>
          <w:b w:val="1"/>
          <w:color w:val="1a237e"/>
          <w:sz w:val="36"/>
        </w:rPr>
        <w:t>六、风险与后续演进</w:t>
      </w:r>
      <w:bookmarkEnd w:id="11"/>
    </w:p>
    <w:p w14:paraId="000000E2">
      <w:pPr>
        <w:numPr>
          <w:ilvl w:val="0"/>
          <w:numId w:val="2"/>
        </w:numPr>
        <w:pBdr>
          <w:left w:space="24"/>
        </w:pBdr>
        <w:spacing w:before="0" w:after="180" w:line="384"/>
        <w:ind w:left="0" w:right="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制度文档质量决定 RAG 上限：切分策略须按「条款」保语义完整，避免答案断章；</w:t>
      </w:r>
    </w:p>
    <w:p w14:paraId="000000E3">
      <w:pPr>
        <w:numPr>
          <w:ilvl w:val="0"/>
          <w:numId w:val="2"/>
        </w:numPr>
        <w:pBdr>
          <w:left w:space="24"/>
        </w:pBdr>
        <w:spacing w:before="0" w:after="180" w:line="384"/>
        <w:ind w:left="0" w:right="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口径校验规则将持续新增（如负库存口径、赠品口径），</w:t>
      </w:r>
      <w:r>
        <w:rPr>
          <w:rFonts w:ascii="Consolas" w:hAnsi="Consolas" w:eastAsia="Consolas" w:cs="Consolas"/>
          <w:color w:val="212121"/>
          <w:sz w:val="24"/>
        </w:rPr>
        <w:t>validation/</w:t>
      </w:r>
      <w:r>
        <w:rPr>
          <w:rFonts w:hint="eastAsia" w:ascii="宋体" w:hAnsi="宋体" w:eastAsia="宋体" w:cs="宋体"/>
          <w:color w:val="212121"/>
          <w:sz w:val="24"/>
        </w:rPr>
        <w:t xml:space="preserve"> 包按规则插件化扩展；</w:t>
      </w:r>
    </w:p>
    <w:p w14:paraId="000000E4">
      <w:pPr>
        <w:numPr>
          <w:ilvl w:val="0"/>
          <w:numId w:val="2"/>
        </w:numPr>
        <w:pBdr>
          <w:left w:space="24"/>
        </w:pBdr>
        <w:spacing w:before="0" w:after="180" w:line="384"/>
        <w:ind w:left="0" w:right="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二期演进方向：审批流引擎、配送线路容量排程、多门店横向扩展、与 T+1 数据同步管道对接。</w:t>
      </w:r>
    </w:p>
    <w:p w14:paraId="000000E5">
      <w:pPr/>
    </w:p>
    <w:sectPr>
      <w:footerReference r:id="rId5" w:type="default"/>
      <w:type w:val="nextPage"/>
      <w:pgNumType w:start="1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000000E6">
    <w:pPr>
      <w:jc w:val="center"/>
    </w:pPr>
    <w:r>
      <w:rPr>
        <w:rFonts w:hint="eastAsia"/>
        <w:color w:val="888888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  <w:r>
      <w:rPr>
        <w:rFonts w:hint="eastAsia"/>
        <w:color w:val="888888"/>
        <w:sz w:val="18"/>
      </w:rPr>
      <w:t xml:space="preserve"> 页</w:t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num w:numId="2">
    <w:abstractNumId w:val="0"/>
  </w: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Closing" w:semiHidden="1" w:unhideWhenUsed="1"/>
    <w:lsdException w:name="Body Text 3" w:semiHidden="1" w:unhideWhenUsed="1"/>
    <w:lsdException w:name="Body Text" w:semiHidden="1" w:unhideWhenUsed="1"/>
    <w:lsdException w:name="Body Text First Indent 2" w:semiHidden="1" w:unhideWhenUsed="1"/>
    <w:lsdException w:name="header" w:semiHidden="1" w:unhideWhenUsed="1"/>
    <w:lsdException w:name="List" w:semiHidden="1" w:unhideWhenUsed="1"/>
    <w:lsdException w:name="index 6" w:semiHidden="1" w:unhideWhenUsed="1"/>
    <w:lsdException w:name="Default Paragraph Font" w:uiPriority="1" w:semiHidden="1" w:unhideWhenUsed="1"/>
    <w:lsdException w:name="toc 9" w:uiPriority="39" w:semiHidden="1" w:unhideWhenUsed="1"/>
    <w:lsdException w:name="List Bullet 5" w:semiHidden="1" w:unhideWhenUsed="1"/>
    <w:lsdException w:name="List Number" w:semiHidden="1" w:unhideWhenUsed="1"/>
    <w:lsdException w:name="line number" w:semiHidden="1" w:unhideWhenUsed="1"/>
    <w:lsdException w:name="FollowedHyperlink" w:semiHidden="1" w:unhideWhenUsed="1"/>
    <w:lsdException w:name="toc 5" w:uiPriority="39" w:semiHidden="1" w:unhideWhenUsed="1"/>
    <w:lsdException w:name="Body Text Indent" w:semiHidden="1" w:unhideWhenUsed="1"/>
    <w:lsdException w:name="annotation reference" w:semiHidden="1" w:unhideWhenUsed="1"/>
    <w:lsdException w:name="Salutation" w:semiHidden="1" w:unhideWhenUsed="1"/>
    <w:lsdException w:name="List Continue 4" w:semiHidden="1" w:unhideWhenUsed="1"/>
    <w:lsdException w:name="Body Text Indent 2" w:semiHidden="1" w:unhideWhenUsed="1"/>
    <w:lsdException w:name="Title" w:uiPriority="10" w:qFormat="1"/>
    <w:lsdException w:name="heading 7" w:uiPriority="9" w:semiHidden="1" w:unhideWhenUsed="1" w:qFormat="1"/>
    <w:lsdException w:name="Note Heading" w:semiHidden="1" w:unhideWhenUsed="1"/>
    <w:lsdException w:name="annotation text" w:semiHidden="1" w:unhideWhenUsed="1"/>
    <w:lsdException w:name="Hyperlink" w:semiHidden="1" w:unhideWhenUsed="1"/>
    <w:lsdException w:name="toc 2" w:uiPriority="39" w:semiHidden="1" w:unhideWhenUsed="1"/>
    <w:lsdException w:name="toc 4" w:uiPriority="39" w:semiHidden="1" w:unhideWhenUsed="1"/>
    <w:lsdException w:name="List Continue 5" w:semiHidden="1" w:unhideWhenUsed="1"/>
    <w:lsdException w:name="Strong" w:uiPriority="22" w:qFormat="1"/>
    <w:lsdException w:name="Normal" w:uiPriority="0" w:qFormat="1"/>
    <w:lsdException w:name="Signature" w:semiHidden="1" w:unhideWhenUsed="1"/>
    <w:lsdException w:name="List Bullet" w:semiHidden="1" w:unhideWhenUsed="1"/>
    <w:lsdException w:name="envelope address" w:semiHidden="1" w:unhideWhenUsed="1"/>
    <w:lsdException w:name="toc 3" w:uiPriority="39" w:semiHidden="1" w:unhideWhenUsed="1"/>
    <w:lsdException w:name="toc 8" w:uiPriority="39" w:semiHidden="1" w:unhideWhenUsed="1"/>
    <w:lsdException w:name="List Number 5" w:semiHidden="1" w:unhideWhenUsed="1"/>
    <w:lsdException w:name="List Continue 2" w:semiHidden="1" w:unhideWhenUsed="1"/>
    <w:lsdException w:name="List Continue" w:semiHidden="1" w:unhideWhenUsed="1"/>
    <w:lsdException w:name="List 3" w:semiHidden="1" w:unhideWhenUsed="1"/>
    <w:lsdException w:name="Body Text First Indent" w:semiHidden="1" w:unhideWhenUsed="1"/>
    <w:lsdException w:name="List Number 2" w:semiHidden="1" w:unhideWhenUsed="1"/>
    <w:lsdException w:name="Subtitle" w:uiPriority="11" w:qFormat="1"/>
    <w:lsdException w:name="toc 1" w:uiPriority="39" w:semiHidden="1" w:unhideWhenUsed="1"/>
    <w:lsdException w:name="caption" w:uiPriority="35" w:semiHidden="1" w:unhideWhenUsed="1" w:qFormat="1"/>
    <w:lsdException w:name="toc 6" w:uiPriority="39" w:semiHidden="1" w:unhideWhenUsed="1"/>
    <w:lsdException w:name="heading 1" w:uiPriority="9" w:qFormat="1"/>
    <w:lsdException w:name="heading 6" w:uiPriority="9" w:semiHidden="1" w:unhideWhenUsed="1" w:qFormat="1"/>
    <w:lsdException w:name="Block Text" w:semiHidden="1" w:unhideWhenUsed="1"/>
    <w:lsdException w:name="table of authorities" w:semiHidden="1" w:unhideWhenUsed="1"/>
    <w:lsdException w:name="macro" w:semiHidden="1" w:unhideWhenUsed="1"/>
    <w:lsdException w:name="heading 9" w:uiPriority="9" w:semiHidden="1" w:unhideWhenUsed="1" w:qFormat="1"/>
    <w:lsdException w:name="footer" w:semiHidden="1" w:unhideWhenUsed="1"/>
    <w:lsdException w:name="toc 7" w:uiPriority="39" w:semiHidden="1" w:unhideWhenUsed="1"/>
    <w:lsdException w:name="heading 5" w:uiPriority="9" w:semiHidden="1" w:unhideWhenUsed="1" w:qFormat="1"/>
    <w:lsdException w:name="footnote text" w:semiHidden="1" w:unhideWhenUsed="1"/>
    <w:lsdException w:name="footnote reference" w:semiHidden="1" w:unhideWhenUsed="1"/>
    <w:lsdException w:name="envelope return" w:semiHidden="1" w:unhideWhenUsed="1"/>
    <w:lsdException w:name="index 8" w:semiHidden="1" w:unhideWhenUsed="1"/>
    <w:lsdException w:name="List 4" w:semiHidden="1" w:unhideWhenUsed="1"/>
    <w:lsdException w:name="index 7" w:semiHidden="1" w:unhideWhenUsed="1"/>
    <w:lsdException w:name="Body Text Indent 3" w:semiHidden="1" w:unhideWhenUsed="1"/>
    <w:lsdException w:name="List 5" w:semiHidden="1" w:unhideWhenUsed="1"/>
    <w:lsdException w:name="List Continue 3" w:semiHidden="1" w:unhideWhenUsed="1"/>
    <w:lsdException w:name="List 2" w:semiHidden="1" w:unhideWhenUsed="1"/>
    <w:lsdException w:name="Message Header" w:semiHidden="1" w:unhideWhenUsed="1"/>
    <w:lsdException w:name="Body Text 2" w:semiHidden="1" w:unhideWhenUsed="1"/>
    <w:lsdException w:name="Date" w:semiHidden="1" w:unhideWhenUsed="1"/>
    <w:lsdException w:name="endnote reference" w:semiHidden="1" w:unhideWhenUsed="1"/>
    <w:lsdException w:name="heading 2" w:uiPriority="9" w:semiHidden="1" w:unhideWhenUsed="1" w:qFormat="1"/>
    <w:lsdException w:name="heading 4" w:uiPriority="9" w:semiHidden="1" w:unhideWhenUsed="1" w:qFormat="1"/>
    <w:lsdException w:name="index 1" w:semiHidden="1" w:unhideWhenUsed="1"/>
    <w:lsdException w:name="index 3" w:semiHidden="1" w:unhideWhenUsed="1"/>
    <w:lsdException w:name="index 9" w:semiHidden="1" w:unhideWhenUsed="1"/>
    <w:lsdException w:name="List Bullet 3" w:semiHidden="1" w:unhideWhenUsed="1"/>
    <w:lsdException w:name="index 2" w:semiHidden="1" w:unhideWhenUsed="1"/>
    <w:lsdException w:name="index 4" w:semiHidden="1" w:unhideWhenUsed="1"/>
    <w:lsdException w:name="page number" w:semiHidden="1" w:unhideWhenUsed="1"/>
    <w:lsdException w:name="List Number 3" w:semiHidden="1" w:unhideWhenUsed="1"/>
    <w:lsdException w:name="toa heading" w:semiHidden="1" w:unhideWhenUsed="1"/>
    <w:lsdException w:name="heading 3" w:uiPriority="9" w:semiHidden="1" w:unhideWhenUsed="1" w:qFormat="1"/>
    <w:lsdException w:name="List Number 4" w:semiHidden="1" w:unhideWhenUsed="1"/>
    <w:lsdException w:name="Normal Indent" w:semiHidden="1" w:unhideWhenUsed="1"/>
    <w:lsdException w:name="heading 8" w:uiPriority="9" w:semiHidden="1" w:unhideWhenUsed="1" w:qFormat="1"/>
    <w:lsdException w:name="index heading" w:semiHidden="1" w:unhideWhenUsed="1"/>
    <w:lsdException w:name="endnote text" w:semiHidden="1" w:unhideWhenUsed="1"/>
    <w:lsdException w:name="index 5" w:semiHidden="1" w:unhideWhenUsed="1"/>
    <w:lsdException w:name="List Bullet 2" w:semiHidden="1" w:unhideWhenUsed="1"/>
    <w:lsdException w:name="table of figures" w:semiHidden="1" w:unhideWhenUsed="1"/>
    <w:lsdException w:name="List Bullet 4" w:semiHidden="1" w:unhideWhenUsed="1"/>
  </w:latentStyles>
  <w:style w:type="paragraph" w:styleId="000004">
    <w:name w:val="heading 2"/>
    <w:basedOn w:val="000002"/>
    <w:next w:val="000002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1">
    <w:name w:val="toc 2"/>
    <w:basedOn w:val="000002"/>
    <w:qFormat w:val="1"/>
    <w:pPr>
      <w:tabs>
        <w:tab w:val="right" w:leader="dot" w:pos="9072"/>
      </w:tabs>
      <w:spacing w:after="60" w:line="360"/>
      <w:ind w:left="420"/>
    </w:pPr>
    <w:rPr>
      <w:rFonts w:ascii="SimSun" w:hAnsi="SimSun" w:eastAsia="SimSun" w:cs="SimSun"/>
      <w:sz w:val="24"/>
      <w:szCs w:val="24"/>
    </w:rPr>
  </w:style>
  <w:style w:type="paragraph" w:styleId="myd1oz" w:default="1">
    <w:name w:val="Normal"/>
    <w:qFormat w:val="1"/>
    <w:pPr>
      <w:widowControl w:val="0"/>
      <w:spacing w:before="60" w:after="60" w:line="240" w:lineRule="auto"/>
      <w:jc w:val="left"/>
    </w:pPr>
    <w:rPr>
      <w:color w:val="333333"/>
      <w:sz w:val="22"/>
    </w:rPr>
  </w:style>
  <w:style w:type="paragraph" w:styleId="000003">
    <w:name w:val="toc 1"/>
    <w:basedOn w:val="000002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  <w:style w:type="paragraph" w:styleId="000005">
    <w:name w:val="heading 3"/>
    <w:basedOn w:val="000002"/>
    <w:next w:val="000002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5" Type="http://schemas.openxmlformats.org/officeDocument/2006/relationships/footer" Target="footer1.xml" /><Relationship Id="rId3" Type="http://schemas.openxmlformats.org/officeDocument/2006/relationships/theme" Target="theme/theme1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2026-10-30T09:32:59Z</dcterms:created>
  <dcterms:modified xsi:type="dcterms:W3CDTF">2026-10-30T09:32:59Z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"01a18a6255977308a7d10c8db7dcf1de", "ReservedCode1": "", "ContentPropagator": "00119111010856365494821B355", "PropagateID": "01a18a6255977308a7d10c8db7dcf1de", "ReservedCode2": ""}}</vt:lpwstr>
  </property>
</Properties>
</file>