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color w:val="000000" w:themeColor="text1"/>
          <w:sz w:val="24"/>
          <w:szCs w:val="24"/>
          <w14:textFill>
            <w14:solidFill>
              <w14:schemeClr w14:val="tx1"/>
            </w14:solidFill>
          </w14:textFill>
        </w:rPr>
      </w:pPr>
      <w:r>
        <w:rPr>
          <w:rFonts w:hint="default" w:ascii="Times New Roman" w:hAnsi="Times New Roman" w:eastAsia="宋体" w:cs="Times New Roman"/>
          <w:b/>
          <w:bCs/>
          <w:color w:val="000000" w:themeColor="text1"/>
          <w:sz w:val="24"/>
          <w:szCs w:val="24"/>
          <w:lang w:val="en-US" w:eastAsia="zh-CN"/>
          <w14:textFill>
            <w14:solidFill>
              <w14:schemeClr w14:val="tx1"/>
            </w14:solidFill>
          </w14:textFill>
        </w:rPr>
        <w:t>AFE</w:t>
      </w:r>
      <w:r>
        <w:rPr>
          <w:rFonts w:hint="default" w:ascii="Times New Roman" w:hAnsi="Times New Roman" w:eastAsia="宋体" w:cs="Times New Roman"/>
          <w:b/>
          <w:bCs/>
          <w:color w:val="000000" w:themeColor="text1"/>
          <w:sz w:val="24"/>
          <w:szCs w:val="24"/>
          <w14:textFill>
            <w14:solidFill>
              <w14:schemeClr w14:val="tx1"/>
            </w14:solidFill>
          </w14:textFill>
        </w:rPr>
        <w:t xml:space="preserve"> DATABASE USER AGREEMENT</w:t>
      </w:r>
      <w:bookmarkStart w:id="0" w:name="_GoBack"/>
      <w:bookmarkEnd w:id="0"/>
    </w:p>
    <w:p>
      <w:pPr>
        <w:jc w:val="both"/>
        <w:rPr>
          <w:rFonts w:hint="default" w:ascii="Times New Roman" w:hAnsi="Times New Roman" w:eastAsia="宋体" w:cs="Times New Roman"/>
          <w:color w:val="FF0000"/>
          <w:sz w:val="24"/>
          <w:szCs w:val="24"/>
        </w:rPr>
      </w:pPr>
    </w:p>
    <w:p>
      <w:pPr>
        <w:jc w:val="center"/>
        <w:rPr>
          <w:rFonts w:hint="default" w:ascii="Times New Roman" w:hAnsi="Times New Roman" w:eastAsia="宋体" w:cs="Times New Roman"/>
          <w:b/>
          <w:bCs/>
          <w:color w:val="FF0000"/>
          <w:sz w:val="24"/>
          <w:szCs w:val="24"/>
          <w:lang w:val="en-US" w:eastAsia="zh-CN"/>
        </w:rPr>
      </w:pPr>
      <w:r>
        <w:rPr>
          <w:rFonts w:hint="default" w:ascii="Times New Roman" w:hAnsi="Times New Roman" w:eastAsia="宋体" w:cs="Times New Roman"/>
          <w:b/>
          <w:bCs/>
          <w:color w:val="FF0000"/>
          <w:sz w:val="24"/>
          <w:szCs w:val="24"/>
          <w:lang w:val="en-US" w:eastAsia="zh-CN"/>
        </w:rPr>
        <w:t>All requests must be made by a faculty member at a university or college.</w:t>
      </w:r>
    </w:p>
    <w:p>
      <w:pPr>
        <w:jc w:val="center"/>
        <w:rPr>
          <w:rFonts w:hint="default" w:ascii="Times New Roman" w:hAnsi="Times New Roman" w:eastAsia="宋体" w:cs="Times New Roman"/>
          <w:b/>
          <w:bCs/>
          <w:color w:val="FF0000"/>
          <w:sz w:val="24"/>
          <w:szCs w:val="24"/>
          <w:lang w:val="en-US" w:eastAsia="zh-CN"/>
        </w:rPr>
      </w:pPr>
    </w:p>
    <w:p>
      <w:p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AFE may be used for non-commercial research. To obtain a copy of the database, please complete the following agreement and return it to </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instrText xml:space="preserve"> HYPERLINK "mailto:tianshuichen@gmail.com" </w:instrTex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separate"/>
      </w:r>
      <w:r>
        <w:rPr>
          <w:rStyle w:val="5"/>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tianshuichen@gmail.com</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or  </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instrText xml:space="preserve"> HYPERLINK "mailto:putao537@gmail.com" </w:instrTex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separate"/>
      </w:r>
      <w:r>
        <w:rPr>
          <w:rStyle w:val="5"/>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putao537@gmail.com</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w:t>
      </w:r>
    </w:p>
    <w:p>
      <w:p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p>
      <w:p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Once the signed agreement is received and approved, you will receive link of Baidu drive and Google drive to download the database. The database remains the property of Dr. Liang Lin. Use is subject to the following terms.</w:t>
      </w:r>
    </w:p>
    <w:p>
      <w:p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p>
      <w:p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By signing this agreement, you agree:</w:t>
      </w:r>
    </w:p>
    <w:p>
      <w:pPr>
        <w:numPr>
          <w:ilvl w:val="0"/>
          <w:numId w:val="1"/>
        </w:numPr>
        <w:ind w:left="420" w:leftChars="0" w:hanging="420" w:firstLineChars="0"/>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To cite the following publications in any paper of yours or your collaborators that makes any use of the database.</w:t>
      </w:r>
    </w:p>
    <w:p>
      <w:pPr>
        <w:numPr>
          <w:ilvl w:val="1"/>
          <w:numId w:val="2"/>
        </w:numPr>
        <w:ind w:left="840" w:leftChars="0" w:hanging="420" w:firstLineChars="0"/>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Yuan Xie, Tianshui Chen, Tao Pu, Hefeng Wu, and Liang Lin. 2020. Adversarial Graph Representation Adaptation for Cross-Domain Facial Expression Recognition. In Proceedings of the 28th ACM International Conference on Multimedia (</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ACM </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MM '20).</w:t>
      </w:r>
    </w:p>
    <w:p>
      <w:pPr>
        <w:numPr>
          <w:ilvl w:val="1"/>
          <w:numId w:val="2"/>
        </w:numPr>
        <w:ind w:left="840" w:leftChars="0" w:hanging="420" w:firstLineChars="0"/>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Tianshui </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Chen</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Tao </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Pu</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Hefeng Wu, Yuan Xie,</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Lingbo</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Liu,</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Liang</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Lin</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(2020). Cross-Domain Facial Expression Recognition: A Unified Evaluation Benchmark and Adversarial Graph Learning. </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The AFE dataset is avaliable for</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non-commercial research purposes only.</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All images of the AFE dataset are obtained from the Internet which are not property of HCP, Sun Yat-sen University. The HCP is not responsible for the content nor the meaning of these images.</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You agree not to reproduce, duplicate, copy, sell, trade, resell or exploit for any commercial purposes, any portion of the images and any portion of derived data.</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You agree not to further copy, publish or distribute any portion of the AFE dataset. Except, for internal use at a single site within the same organization it is allowed to make copies of the dataset.</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The HCP reserves the right to terminate your access to the AFE dataset at any time.</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The face identities are released upon request for research purposes only. Please contact us for details.</w:t>
      </w:r>
    </w:p>
    <w:p>
      <w:pPr>
        <w:widowControl w:val="0"/>
        <w:numPr>
          <w:ilvl w:val="0"/>
          <w:numId w:val="0"/>
        </w:num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p>
      <w:pPr>
        <w:jc w:val="both"/>
        <w:rPr>
          <w:rFonts w:hint="default" w:ascii="Times New Roman" w:hAnsi="Times New Roman" w:eastAsia="宋体" w:cs="Times New Roman"/>
          <w:b/>
          <w:bCs/>
          <w:color w:val="FF0000"/>
          <w:sz w:val="24"/>
          <w:szCs w:val="24"/>
          <w:lang w:val="en-US" w:eastAsia="zh-CN"/>
        </w:rPr>
      </w:pPr>
      <w:r>
        <w:rPr>
          <w:rFonts w:hint="default" w:ascii="Times New Roman" w:hAnsi="Times New Roman" w:eastAsia="宋体" w:cs="Times New Roman"/>
          <w:b/>
          <w:bCs/>
          <w:color w:val="FF0000"/>
          <w:sz w:val="24"/>
          <w:szCs w:val="24"/>
          <w:lang w:val="en-US" w:eastAsia="zh-CN"/>
        </w:rPr>
        <w:t>All requests must include the following information.</w:t>
      </w:r>
    </w:p>
    <w:p>
      <w:pPr>
        <w:jc w:val="both"/>
        <w:rPr>
          <w:rFonts w:hint="default" w:ascii="Times New Roman" w:hAnsi="Times New Roman" w:eastAsia="宋体" w:cs="Times New Roman"/>
          <w:b/>
          <w:bCs/>
          <w:color w:val="FF0000"/>
          <w:sz w:val="24"/>
          <w:szCs w:val="24"/>
          <w:lang w:val="en-US" w:eastAsia="zh-CN"/>
        </w:rPr>
      </w:pPr>
    </w:p>
    <w:p>
      <w:pPr>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Faculty member</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 name:_______________________________________________</w:t>
      </w:r>
    </w:p>
    <w:p>
      <w:pPr>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Faculty member</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 official title:_____________________________________</w:t>
      </w:r>
    </w:p>
    <w:p>
      <w:pPr>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Faculty member</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 university email address:___________________________</w:t>
      </w:r>
    </w:p>
    <w:p>
      <w:pPr>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Faculty member</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 signature:__________________________________________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C5A65"/>
    <w:multiLevelType w:val="singleLevel"/>
    <w:tmpl w:val="90FC5A65"/>
    <w:lvl w:ilvl="0" w:tentative="0">
      <w:start w:val="1"/>
      <w:numFmt w:val="bullet"/>
      <w:lvlText w:val=""/>
      <w:lvlJc w:val="left"/>
      <w:pPr>
        <w:ind w:left="420" w:hanging="420"/>
      </w:pPr>
      <w:rPr>
        <w:rFonts w:hint="default" w:ascii="Wingdings" w:hAnsi="Wingdings"/>
      </w:rPr>
    </w:lvl>
  </w:abstractNum>
  <w:abstractNum w:abstractNumId="1">
    <w:nsid w:val="2DB52B8D"/>
    <w:multiLevelType w:val="multilevel"/>
    <w:tmpl w:val="2DB52B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26F93"/>
    <w:rsid w:val="2E6C29F5"/>
    <w:rsid w:val="3CE95FF1"/>
    <w:rsid w:val="68526F93"/>
    <w:rsid w:val="6F0C2EFC"/>
    <w:rsid w:val="7B513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2021-10-23T06:43:00Z</dcterms:created>
  <dc:creator>蒲韬</dc:creator>
  <cp:lastModifiedBy>蒲韬</cp:lastModifiedBy>
  <dcterms:modified xsi:type="dcterms:W3CDTF">2021-10-24T11:46:55Z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F26F194BB8624AA4AE15B4A1B6D68BA6</vt:lpwstr>
  </property>
</Properties>
</file>