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color w:val="000000" w:themeColor="text1"/>
          <w:sz w:val="24"/>
          <w:szCs w:val="24"/>
          <w14:textFill>
            <w14:solidFill>
              <w14:schemeClr w14:val="tx1"/>
            </w14:solidFill>
          </w14:textFill>
        </w:rPr>
      </w:pPr>
      <w:r>
        <w:rPr>
          <w:rFonts w:hint="default" w:ascii="Times New Roman" w:hAnsi="Times New Roman" w:eastAsia="宋体" w:cs="Times New Roman"/>
          <w:b/>
          <w:bCs/>
          <w:color w:val="000000" w:themeColor="text1"/>
          <w:sz w:val="24"/>
          <w:szCs w:val="24"/>
          <w:lang w:val="en-US" w:eastAsia="zh-CN"/>
          <w14:textFill>
            <w14:solidFill>
              <w14:schemeClr w14:val="tx1"/>
            </w14:solidFill>
          </w14:textFill>
        </w:rPr>
        <w:t>AFE</w:t>
      </w:r>
      <w:r>
        <w:rPr>
          <w:rFonts w:hint="default" w:ascii="Times New Roman" w:hAnsi="Times New Roman" w:eastAsia="宋体" w:cs="Times New Roman"/>
          <w:b/>
          <w:bCs/>
          <w:color w:val="000000" w:themeColor="text1"/>
          <w:sz w:val="24"/>
          <w:szCs w:val="24"/>
          <w14:textFill>
            <w14:solidFill>
              <w14:schemeClr w14:val="tx1"/>
            </w14:solidFill>
          </w14:textFill>
        </w:rPr>
        <w:t xml:space="preserve"> DATABASE USER AGREEMENT</w:t>
      </w:r>
    </w:p>
    <w:p>
      <w:pPr>
        <w:jc w:val="both"/>
        <w:rPr>
          <w:rFonts w:hint="default" w:ascii="Times New Roman" w:hAnsi="Times New Roman" w:eastAsia="宋体" w:cs="Times New Roman"/>
          <w:color w:val="FF0000"/>
          <w:sz w:val="24"/>
          <w:szCs w:val="24"/>
        </w:rPr>
      </w:pPr>
    </w:p>
    <w:p>
      <w:pPr>
        <w:jc w:val="center"/>
        <w:rPr>
          <w:rFonts w:hint="default" w:ascii="Times New Roman" w:hAnsi="Times New Roman" w:eastAsia="宋体" w:cs="Times New Roman"/>
          <w:b/>
          <w:bCs/>
          <w:color w:val="FF0000"/>
          <w:sz w:val="24"/>
          <w:szCs w:val="24"/>
          <w:lang w:val="en-US" w:eastAsia="zh-CN"/>
        </w:rPr>
      </w:pPr>
      <w:r>
        <w:rPr>
          <w:rFonts w:hint="default" w:ascii="Times New Roman" w:hAnsi="Times New Roman" w:eastAsia="宋体" w:cs="Times New Roman"/>
          <w:b/>
          <w:bCs/>
          <w:color w:val="FF0000"/>
          <w:sz w:val="24"/>
          <w:szCs w:val="24"/>
          <w:lang w:val="en-US" w:eastAsia="zh-CN"/>
        </w:rPr>
        <w:t>All requests must be made by a faculty member at a university or college.</w:t>
      </w:r>
    </w:p>
    <w:p>
      <w:pPr>
        <w:jc w:val="center"/>
        <w:rPr>
          <w:rFonts w:hint="default" w:ascii="Times New Roman" w:hAnsi="Times New Roman" w:eastAsia="宋体" w:cs="Times New Roman"/>
          <w:b/>
          <w:bCs/>
          <w:color w:val="FF0000"/>
          <w:sz w:val="24"/>
          <w:szCs w:val="24"/>
          <w:lang w:val="en-US" w:eastAsia="zh-CN"/>
        </w:rPr>
      </w:pP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AFE may be used for non-commercial research. To obtain a copy of the database, please complete the following agreement and return it to </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instrText xml:space="preserve"> HYPERLINK "mailto:tianshuichen@gmail.com" </w:instrTex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separate"/>
      </w:r>
      <w:r>
        <w:rPr>
          <w:rStyle w:val="4"/>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tianshuichen@gmail.com</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or  </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begin"/>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instrText xml:space="preserve"> HYPERLINK "mailto:putao537@gmail.com" </w:instrTex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separate"/>
      </w:r>
      <w:r>
        <w:rPr>
          <w:rStyle w:val="4"/>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putao537@gmail.com</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fldChar w:fldCharType="end"/>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w:t>
      </w: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Once the signed agreement is received and approved, you will receive link of Baidu drive and Google drive to download the database. The database remains the property of Dr. Liang Lin. Use is subject to the following terms.</w:t>
      </w: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By signing this agreement, you agree:</w:t>
      </w:r>
    </w:p>
    <w:p>
      <w:pPr>
        <w:numPr>
          <w:ilvl w:val="0"/>
          <w:numId w:val="1"/>
        </w:numPr>
        <w:ind w:left="420" w:leftChars="0" w:hanging="420" w:firstLineChars="0"/>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To cite the following publications in any paper of yours or your collaborators that makes any use of the database.</w:t>
      </w:r>
    </w:p>
    <w:p>
      <w:pPr>
        <w:numPr>
          <w:ilvl w:val="1"/>
          <w:numId w:val="2"/>
        </w:numPr>
        <w:ind w:left="840" w:leftChars="0" w:hanging="420" w:firstLineChars="0"/>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Yuan Xie, Tianshui Chen, Tao Pu, Hefeng Wu, and Liang Lin. </w:t>
      </w:r>
      <w:bookmarkStart w:id="0" w:name="_GoBack"/>
      <w:bookmarkEnd w:id="0"/>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Adversarial Graph Representation Adaptation for Cross-Domain Facial Expression Recognition. In Proceedings of the 28th ACM International Conference on Multimedia (</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ACM </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MM '20).</w:t>
      </w:r>
    </w:p>
    <w:p>
      <w:pPr>
        <w:numPr>
          <w:ilvl w:val="1"/>
          <w:numId w:val="2"/>
        </w:numPr>
        <w:ind w:left="840" w:leftChars="0" w:hanging="420" w:firstLineChars="0"/>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Tianshui </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Chen</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Tao </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Pu</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Hefeng Wu, Yuan Xie,</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Lingbo</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Liu,</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Liang</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Lin</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xml:space="preserve">. Cross-Domain Facial Expression Recognition: A Unified Evaluation Benchmark and Adversarial Graph Learning. </w:t>
      </w:r>
      <w:r>
        <w:rPr>
          <w:rFonts w:hint="default" w:ascii="Times New Roman" w:hAnsi="Times New Roman" w:eastAsia="宋体" w:cs="Times New Roman"/>
          <w:b w:val="0"/>
          <w:bCs w:val="0"/>
          <w:color w:val="000000" w:themeColor="text1"/>
          <w:sz w:val="24"/>
          <w:szCs w:val="24"/>
          <w:lang w:eastAsia="zh-CN"/>
          <w14:textFill>
            <w14:solidFill>
              <w14:schemeClr w14:val="tx1"/>
            </w14:solidFill>
          </w14:textFill>
        </w:rPr>
        <w:t>In IEEE TRANSACTIONS ON PATTERN ANALYSIS AND MACHINE INTELLIGENCE (TPAMI</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default" w:ascii="Times New Roman" w:hAnsi="Times New Roman" w:eastAsia="宋体" w:cs="Times New Roman"/>
          <w:b w:val="0"/>
          <w:bCs w:val="0"/>
          <w:color w:val="000000" w:themeColor="text1"/>
          <w:sz w:val="24"/>
          <w:szCs w:val="24"/>
          <w:lang w:eastAsia="zh-CN"/>
          <w14:textFill>
            <w14:solidFill>
              <w14:schemeClr w14:val="tx1"/>
            </w14:solidFill>
          </w14:textFill>
        </w:rPr>
        <w:t>21).</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The AFE dataset is avaliable for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 non-commercial research purposes only.</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All images of the AFE dataset are obtained from the Internet which are not property of HCP, Sun Yat-sen University. The HCP is not responsible for the content nor the meaning of these images.</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You agree not to reproduce, duplicate, copy, sell, trade, resell or exploit for any commercial purposes, any portion of the images and any portion of derived data.</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You agree not to further copy, publish or distribute any portion of the AFE dataset. Except, for internal use at a single site within the same organization it is allowed to make copies of the dataset.</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The HCP reserves the right to terminate your access to the AFE dataset at any time.</w:t>
      </w:r>
    </w:p>
    <w:p>
      <w:pPr>
        <w:numPr>
          <w:ilvl w:val="0"/>
          <w:numId w:val="1"/>
        </w:numPr>
        <w:ind w:left="420" w:leftChars="0" w:hanging="420" w:firstLineChars="0"/>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The face identities are released upon request for research purposes only. Please contact us for details.</w:t>
      </w:r>
    </w:p>
    <w:p>
      <w:pPr>
        <w:widowControl w:val="0"/>
        <w:numPr>
          <w:ilvl w:val="0"/>
          <w:numId w:val="0"/>
        </w:numPr>
        <w:jc w:val="both"/>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pPr>
    </w:p>
    <w:p>
      <w:pPr>
        <w:jc w:val="both"/>
        <w:rPr>
          <w:rFonts w:hint="default" w:ascii="Times New Roman" w:hAnsi="Times New Roman" w:eastAsia="宋体" w:cs="Times New Roman"/>
          <w:b/>
          <w:bCs/>
          <w:color w:val="FF0000"/>
          <w:sz w:val="24"/>
          <w:szCs w:val="24"/>
          <w:lang w:val="en-US" w:eastAsia="zh-CN"/>
        </w:rPr>
      </w:pPr>
      <w:r>
        <w:rPr>
          <w:rFonts w:hint="default" w:ascii="Times New Roman" w:hAnsi="Times New Roman" w:eastAsia="宋体" w:cs="Times New Roman"/>
          <w:b/>
          <w:bCs/>
          <w:color w:val="FF0000"/>
          <w:sz w:val="24"/>
          <w:szCs w:val="24"/>
          <w:lang w:val="en-US" w:eastAsia="zh-CN"/>
        </w:rPr>
        <w:t>All requests must include the following information.</w:t>
      </w:r>
    </w:p>
    <w:p>
      <w:pPr>
        <w:jc w:val="both"/>
        <w:rPr>
          <w:rFonts w:hint="default" w:ascii="Times New Roman" w:hAnsi="Times New Roman" w:eastAsia="宋体" w:cs="Times New Roman"/>
          <w:b/>
          <w:bCs/>
          <w:color w:val="FF0000"/>
          <w:sz w:val="24"/>
          <w:szCs w:val="24"/>
          <w:lang w:val="en-US" w:eastAsia="zh-CN"/>
        </w:rPr>
      </w:pPr>
    </w:p>
    <w:p>
      <w:pPr>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Faculty member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 name:_______________________________________________</w:t>
      </w:r>
    </w:p>
    <w:p>
      <w:pPr>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Faculty member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 official title:_____________________________________</w:t>
      </w:r>
    </w:p>
    <w:p>
      <w:pPr>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Faculty member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 university email address:___________________________</w:t>
      </w:r>
    </w:p>
    <w:p>
      <w:pPr>
        <w:jc w:val="both"/>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Faculty member</w:t>
      </w:r>
      <w:r>
        <w:rPr>
          <w:rFonts w:hint="default" w:ascii="Times New Roman" w:hAnsi="Times New Roman" w:eastAsia="宋体" w:cs="Times New Roman"/>
          <w:b w:val="0"/>
          <w:bCs w:val="0"/>
          <w:color w:val="000000" w:themeColor="text1"/>
          <w:sz w:val="24"/>
          <w:szCs w:val="24"/>
          <w:lang w:val="en-US" w:eastAsia="zh-CN"/>
          <w14:textFill>
            <w14:solidFill>
              <w14:schemeClr w14:val="tx1"/>
            </w14:solidFill>
          </w14:textFill>
        </w:rPr>
        <w:t>’</w:t>
      </w:r>
      <w:r>
        <w:rPr>
          <w:rFonts w:hint="eastAsia" w:ascii="Times New Roman" w:hAnsi="Times New Roman" w:eastAsia="宋体" w:cs="Times New Roman"/>
          <w:b w:val="0"/>
          <w:bCs w:val="0"/>
          <w:color w:val="000000" w:themeColor="text1"/>
          <w:sz w:val="24"/>
          <w:szCs w:val="24"/>
          <w:lang w:val="en-US" w:eastAsia="zh-CN"/>
          <w14:textFill>
            <w14:solidFill>
              <w14:schemeClr w14:val="tx1"/>
            </w14:solidFill>
          </w14:textFill>
        </w:rPr>
        <w:t>s signature:__________________________________________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Segoe UI">
    <w:altName w:val="苹方-简"/>
    <w:panose1 w:val="020B0502040204020203"/>
    <w:charset w:val="00"/>
    <w:family w:val="auto"/>
    <w:pitch w:val="default"/>
    <w:sig w:usb0="00000000" w:usb1="00000000" w:usb2="00000009" w:usb3="00000000" w:csb0="2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C5A65"/>
    <w:multiLevelType w:val="singleLevel"/>
    <w:tmpl w:val="90FC5A65"/>
    <w:lvl w:ilvl="0" w:tentative="0">
      <w:start w:val="1"/>
      <w:numFmt w:val="bullet"/>
      <w:lvlText w:val=""/>
      <w:lvlJc w:val="left"/>
      <w:pPr>
        <w:ind w:left="420" w:hanging="420"/>
      </w:pPr>
      <w:rPr>
        <w:rFonts w:hint="default" w:ascii="Wingdings" w:hAnsi="Wingdings"/>
      </w:rPr>
    </w:lvl>
  </w:abstractNum>
  <w:abstractNum w:abstractNumId="1">
    <w:nsid w:val="2DB52B8D"/>
    <w:multiLevelType w:val="multilevel"/>
    <w:tmpl w:val="2DB52B8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526F93"/>
    <w:rsid w:val="2E6C29F5"/>
    <w:rsid w:val="3CE95FF1"/>
    <w:rsid w:val="68526F93"/>
    <w:rsid w:val="7B51383B"/>
    <w:rsid w:val="7FFB1762"/>
    <w:rsid w:val="FFFAC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344</Words>
  <Characters>1962</Characters>
  <Lines>0</Lines>
  <Paragraphs>0</Paragraphs>
  <TotalTime>0</TotalTime>
  <ScaleCrop>false</ScaleCrop>
  <LinksUpToDate>false</LinksUpToDate>
  <CharactersWithSpaces>2280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2021-10-23T14:43:00Z</dcterms:created>
  <dc:creator>蒲韬</dc:creator>
  <cp:lastModifiedBy>PT</cp:lastModifiedBy>
  <dcterms:modified xsi:type="dcterms:W3CDTF">2021-12-08T15:17:35Z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y fmtid="{D5CDD505-2E9C-101B-9397-08002B2CF9AE}" pid="3" name="ICV">
    <vt:lpwstr>9E29C90A8D2C4F858A42A489679A7FCF</vt:lpwstr>
  </property>
</Properties>
</file>