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98198">
      <w:pPr>
        <w:pStyle w:val="31"/>
        <w:ind w:firstLine="3442" w:firstLineChars="800"/>
        <w:jc w:val="both"/>
      </w:pPr>
      <w:r>
        <w:rPr>
          <w:rFonts w:ascii="微软雅黑" w:hAnsi="微软雅黑" w:eastAsia="微软雅黑"/>
          <w:b/>
          <w:color w:val="000000"/>
          <w:sz w:val="42"/>
        </w:rPr>
        <w:t>2026</w:t>
      </w:r>
      <w:r>
        <w:rPr>
          <w:rFonts w:hint="eastAsia" w:ascii="微软雅黑" w:hAnsi="微软雅黑" w:eastAsia="微软雅黑"/>
          <w:b/>
          <w:color w:val="000000"/>
          <w:sz w:val="42"/>
          <w:lang w:eastAsia="zh-CN"/>
        </w:rPr>
        <w:t>.</w:t>
      </w:r>
      <w:r>
        <w:rPr>
          <w:rFonts w:ascii="微软雅黑" w:hAnsi="微软雅黑" w:eastAsia="微软雅黑"/>
          <w:b/>
          <w:color w:val="000000"/>
          <w:sz w:val="42"/>
        </w:rPr>
        <w:t>9</w:t>
      </w:r>
      <w:r>
        <w:rPr>
          <w:rFonts w:hint="eastAsia" w:ascii="微软雅黑" w:hAnsi="微软雅黑" w:eastAsia="微软雅黑"/>
          <w:b/>
          <w:color w:val="000000"/>
          <w:sz w:val="42"/>
          <w:lang w:val="en-US" w:eastAsia="zh-CN"/>
        </w:rPr>
        <w:t>.1</w:t>
      </w:r>
      <w:r>
        <w:rPr>
          <w:rFonts w:ascii="微软雅黑" w:hAnsi="微软雅黑" w:eastAsia="微软雅黑"/>
          <w:b/>
          <w:color w:val="000000"/>
          <w:sz w:val="42"/>
        </w:rPr>
        <w:t>9组会</w:t>
      </w:r>
    </w:p>
    <w:p w14:paraId="2BACCC87">
      <w:pPr>
        <w:pStyle w:val="3"/>
        <w:keepNext/>
        <w:keepLines/>
      </w:pPr>
      <w:r>
        <w:t>算法来源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6"/>
        <w:gridCol w:w="7882"/>
      </w:tblGrid>
      <w:tr w14:paraId="280B12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43DE6B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算法</w:t>
            </w:r>
          </w:p>
        </w:tc>
        <w:tc>
          <w:tcPr>
            <w:tcW w:w="788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B2D7D69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出处与本实验实现</w:t>
            </w:r>
          </w:p>
        </w:tc>
      </w:tr>
      <w:tr w14:paraId="6285B7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6F6E23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BP</w:t>
            </w:r>
          </w:p>
        </w:tc>
        <w:tc>
          <w:tcPr>
            <w:tcW w:w="788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52B89E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SAR层析反投影基础见[1]；本实验所用直接时域BP形式通常追溯至McCorkle[2]。逐像素计算双程距离，对距离压缩回波插值、相位补偿并沿孔径相干累加。</w:t>
            </w:r>
          </w:p>
        </w:tc>
      </w:tr>
      <w:tr w14:paraId="0ABCC0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6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D4C36F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FFBP</w:t>
            </w:r>
          </w:p>
        </w:tc>
        <w:tc>
          <w:tcPr>
            <w:tcW w:w="7882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594EA5C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采用Ulander、Hellsten和Stenström[3]的快速因子化反投影思想：将孔径递归分组，在局部极坐标网格形成子图，经重采样后逐层合并，以插值近似换取较低计算量。</w:t>
            </w:r>
          </w:p>
        </w:tc>
      </w:tr>
    </w:tbl>
    <w:p w14:paraId="5CC241EC">
      <w:pPr>
        <w:pStyle w:val="3"/>
        <w:keepNext/>
        <w:keepLines/>
      </w:pPr>
      <w:r>
        <w:t>2 全场成像与四种基线</w:t>
      </w:r>
    </w:p>
    <w:p w14:paraId="264DABFC">
      <w:pPr>
        <w:pStyle w:val="4"/>
        <w:keepNext/>
        <w:keepLines/>
      </w:pPr>
      <w:r>
        <w:t>2.1 自聚焦后FFBP全场景地面图</w:t>
      </w:r>
    </w:p>
    <w:p w14:paraId="5C8059AE">
      <w:pPr>
        <w:keepNext/>
        <w:spacing w:before="40" w:after="60"/>
        <w:jc w:val="center"/>
      </w:pPr>
      <w:r>
        <w:drawing>
          <wp:inline distT="0" distB="0" distL="114300" distR="114300">
            <wp:extent cx="5867400" cy="377190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77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38368">
      <w:pPr>
        <w:pStyle w:val="15"/>
        <w:keepLines/>
        <w:spacing w:after="140"/>
      </w:pPr>
      <w:r>
        <w:rPr>
          <w:rFonts w:ascii="微软雅黑" w:hAnsi="微软雅黑" w:eastAsia="微软雅黑"/>
          <w:b/>
          <w:color w:val="000000"/>
          <w:sz w:val="18"/>
        </w:rPr>
        <w:t xml:space="preserve">图1 </w:t>
      </w:r>
      <w:r>
        <w:rPr>
          <w:rFonts w:ascii="微软雅黑" w:hAnsi="微软雅黑" w:eastAsia="微软雅黑"/>
          <w:color w:val="000000"/>
          <w:sz w:val="18"/>
        </w:rPr>
        <w:t>2018-08-14_18-54-08.dat的FFBP/PGA自聚焦地面成像结果。横向显示范围为450至2650 m，航向范围为-800至800 m，幅度窗为-65至-10 dB。该图对应全场景FFBP结果，不作为四种CPU/GPU基线的同网格定量对照。</w:t>
      </w:r>
    </w:p>
    <w:p w14:paraId="385AB1FE">
      <w:r>
        <w:br w:type="page"/>
      </w:r>
    </w:p>
    <w:p w14:paraId="2E000310">
      <w:pPr>
        <w:pStyle w:val="4"/>
        <w:keepNext/>
        <w:keepLines/>
      </w:pPr>
      <w:r>
        <w:t>2.2 CPU与GPU四</w:t>
      </w:r>
      <w:r>
        <w:rPr>
          <w:b w:val="0"/>
          <w:bCs w:val="0"/>
        </w:rPr>
        <w:t>种</w:t>
      </w:r>
      <w:r>
        <w:t>基线</w:t>
      </w:r>
      <w:bookmarkStart w:id="0" w:name="_GoBack"/>
      <w:bookmarkEnd w:id="0"/>
    </w:p>
    <w:p w14:paraId="048AF499">
      <w:pPr>
        <w:keepNext/>
        <w:spacing w:before="40" w:after="60"/>
        <w:jc w:val="center"/>
      </w:pPr>
      <w:r>
        <w:drawing>
          <wp:inline distT="0" distB="0" distL="114300" distR="114300">
            <wp:extent cx="5579745" cy="4133215"/>
            <wp:effectExtent l="0" t="0" r="13335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63B7">
      <w:pPr>
        <w:pStyle w:val="15"/>
        <w:keepLines/>
        <w:spacing w:after="140"/>
      </w:pPr>
      <w:r>
        <w:rPr>
          <w:rFonts w:ascii="微软雅黑" w:hAnsi="微软雅黑" w:eastAsia="微软雅黑"/>
          <w:b/>
          <w:color w:val="000000"/>
          <w:sz w:val="18"/>
        </w:rPr>
        <w:t xml:space="preserve">图2 </w:t>
      </w:r>
      <w:r>
        <w:rPr>
          <w:rFonts w:ascii="微软雅黑" w:hAnsi="微软雅黑" w:eastAsia="微软雅黑"/>
          <w:color w:val="000000"/>
          <w:sz w:val="18"/>
        </w:rPr>
        <w:t>同一实测ROI的四种成像结果。上行为直接BP，下行为FFBP；左列为CPU，右列为固定混合精度GPU。四幅图以CPU直接BP峰值为共同参考，显示范围均为-50至0 dB。图中为极坐标复图像的幅度，不是地面投影图。</w:t>
      </w:r>
    </w:p>
    <w:tbl>
      <w:tblPr>
        <w:tblStyle w:val="32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663"/>
        <w:gridCol w:w="1663"/>
        <w:gridCol w:w="1663"/>
        <w:gridCol w:w="1663"/>
        <w:gridCol w:w="1663"/>
      </w:tblGrid>
      <w:tr w14:paraId="64160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7F99C6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实验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00047C1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驻留计算时间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FC0E8F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数值参考</w:t>
            </w:r>
          </w:p>
        </w:tc>
        <w:tc>
          <w:tcPr>
            <w:tcW w:w="170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E696BF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相对复误差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431D7B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SER / dB</w:t>
            </w:r>
          </w:p>
        </w:tc>
        <w:tc>
          <w:tcPr>
            <w:tcW w:w="1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A5F35C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7"/>
              </w:rPr>
              <w:t>峰值像素</w:t>
            </w:r>
          </w:p>
        </w:tc>
      </w:tr>
      <w:tr w14:paraId="445102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D63847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CPU直接BP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5402A6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10,200.507 ms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7EE6D1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高精度基准</w:t>
            </w:r>
          </w:p>
        </w:tc>
        <w:tc>
          <w:tcPr>
            <w:tcW w:w="170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25FB67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-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7C4F14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-</w:t>
            </w:r>
          </w:p>
        </w:tc>
        <w:tc>
          <w:tcPr>
            <w:tcW w:w="1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865B68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[222, 201]</w:t>
            </w:r>
          </w:p>
        </w:tc>
      </w:tr>
      <w:tr w14:paraId="05362E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01AAB3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GPU直接BP 固定混合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23AF45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611.359 ms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471E2F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CPU直接BP</w:t>
            </w:r>
          </w:p>
        </w:tc>
        <w:tc>
          <w:tcPr>
            <w:tcW w:w="170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153A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1.879×10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  <w:vertAlign w:val="superscript"/>
              </w:rPr>
              <w:t>-6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E97F9E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114.52</w:t>
            </w:r>
          </w:p>
        </w:tc>
        <w:tc>
          <w:tcPr>
            <w:tcW w:w="1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531877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[222, 201]</w:t>
            </w:r>
          </w:p>
        </w:tc>
      </w:tr>
      <w:tr w14:paraId="753640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9E91F4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CPU FFBP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373446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538.205 ms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C6702A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CPU直接BP</w:t>
            </w:r>
          </w:p>
        </w:tc>
        <w:tc>
          <w:tcPr>
            <w:tcW w:w="170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E8F49A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3.2858%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F4B0C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29.67</w:t>
            </w:r>
          </w:p>
        </w:tc>
        <w:tc>
          <w:tcPr>
            <w:tcW w:w="1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2C00D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[222, 201]</w:t>
            </w:r>
          </w:p>
        </w:tc>
      </w:tr>
      <w:tr w14:paraId="5EDF48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E5C107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GPU FFBP 固定混合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7E9DF6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50.085 ms</w:t>
            </w:r>
          </w:p>
        </w:tc>
        <w:tc>
          <w:tcPr>
            <w:tcW w:w="153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796FD8">
            <w:pPr>
              <w:spacing w:before="0" w:after="0" w:line="269" w:lineRule="auto"/>
              <w:jc w:val="left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CPU FFBP</w:t>
            </w:r>
          </w:p>
        </w:tc>
        <w:tc>
          <w:tcPr>
            <w:tcW w:w="1701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09AF5D0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2.040×10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  <w:vertAlign w:val="superscript"/>
              </w:rPr>
              <w:t>-7</w:t>
            </w:r>
          </w:p>
        </w:tc>
        <w:tc>
          <w:tcPr>
            <w:tcW w:w="1247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25A68D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133.81</w:t>
            </w:r>
          </w:p>
        </w:tc>
        <w:tc>
          <w:tcPr>
            <w:tcW w:w="130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492F15">
            <w:pPr>
              <w:spacing w:before="0" w:after="0" w:line="269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[222, 201]</w:t>
            </w:r>
          </w:p>
        </w:tc>
      </w:tr>
    </w:tbl>
    <w:p w14:paraId="0A950C3D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GPU相对CPU的同算法加速比分别为16.68×（直接BP）和10.75×（FFBP）。同一设备上，FFBP相对直接BP的加速比为18.95×（CPU）和12.21×（GPU）。GPU FFBP相对CPU直接BP达到203.66×，但其相对CPU直接BP的总SER为29.67 dB，因此该倍率不属于等质量加速。</w:t>
      </w:r>
    </w:p>
    <w:p w14:paraId="701F8A39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GPU直接BP与GPU FFBP对各自CPU参考的误差均低于2×10</w:t>
      </w:r>
      <w:r>
        <w:rPr>
          <w:rFonts w:ascii="宋体" w:hAnsi="宋体" w:eastAsia="宋体"/>
          <w:color w:val="000000"/>
          <w:sz w:val="21"/>
          <w:vertAlign w:val="superscript"/>
        </w:rPr>
        <w:t>-6</w:t>
      </w:r>
      <w:r>
        <w:rPr>
          <w:rFonts w:ascii="宋体" w:hAnsi="宋体" w:eastAsia="宋体"/>
          <w:color w:val="000000"/>
          <w:sz w:val="21"/>
        </w:rPr>
        <w:t>，说明CUDA实现保持了既定成像算子。CPU FFBP相对CPU直接BP的3.29%复误差反映因子分解和局部网格重采样的算法近似。</w:t>
      </w:r>
    </w:p>
    <w:p w14:paraId="223FEAB5">
      <w:r>
        <w:br w:type="page"/>
      </w:r>
    </w:p>
    <w:p w14:paraId="39B547F3">
      <w:pPr>
        <w:keepNext/>
        <w:spacing w:before="40" w:after="60"/>
        <w:jc w:val="center"/>
      </w:pPr>
      <w:r>
        <w:drawing>
          <wp:inline distT="0" distB="0" distL="114300" distR="114300">
            <wp:extent cx="5759450" cy="2812415"/>
            <wp:effectExtent l="0" t="0" r="127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1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9D74D">
      <w:pPr>
        <w:pStyle w:val="15"/>
        <w:keepLines/>
        <w:spacing w:after="140"/>
      </w:pPr>
      <w:r>
        <w:rPr>
          <w:rFonts w:ascii="微软雅黑" w:hAnsi="微软雅黑" w:eastAsia="微软雅黑"/>
          <w:b/>
          <w:color w:val="000000"/>
          <w:sz w:val="18"/>
        </w:rPr>
        <w:t xml:space="preserve">图3 </w:t>
      </w:r>
      <w:r>
        <w:rPr>
          <w:rFonts w:ascii="微软雅黑" w:hAnsi="微软雅黑" w:eastAsia="微软雅黑"/>
          <w:color w:val="000000"/>
          <w:sz w:val="18"/>
        </w:rPr>
        <w:t>四种基线的核心成像时间，纵轴为对数尺度。GPU时间不含文件读取、H2D和D2H；该口径对应多区域、多帧或参数扫描时复用显存中数据的计算场景。</w:t>
      </w:r>
    </w:p>
    <w:p w14:paraId="67092B6E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固定混合精度GPU复现了同算法CPU结果：直接BP和FFBP的驻留计算时间分别由10.201 s、538.205 ms降至611.359 ms、50.085 ms。FFBP的主要误差来自分解与重采样近似，而非GPU移植。</w:t>
      </w:r>
    </w:p>
    <w:p w14:paraId="22E8782B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若计入单次H2D和D2H，GPU直接BP为1628.993 ms，仍比CPU快6.26×；GPU FFBP为1067.767 ms，慢于CPU FFBP的538.205 ms。纯FP32直接BP为38.050 ms / 48.67 dB，FFBP为45.877 ms / 38.78 dB。</w:t>
      </w:r>
    </w:p>
    <w:p w14:paraId="77836FF8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本轮评价对象为计算时间和复数一致性。当前实测场景没有已标定点目标，空间分辨率、IRW、PSLR与ISLR留待点目标实验测量。</w:t>
      </w:r>
    </w:p>
    <w:p w14:paraId="46B20A92">
      <w:pPr>
        <w:pStyle w:val="3"/>
        <w:keepNext/>
        <w:keepLines/>
      </w:pPr>
      <w:r>
        <w:t>3 结论</w:t>
      </w:r>
    </w:p>
    <w:p w14:paraId="21A0FF02">
      <w:pPr>
        <w:pStyle w:val="14"/>
        <w:keepLines/>
        <w:spacing w:after="60"/>
      </w:pPr>
      <w:r>
        <w:rPr>
          <w:rFonts w:ascii="宋体" w:hAnsi="宋体" w:eastAsia="宋体"/>
          <w:color w:val="000000"/>
          <w:sz w:val="21"/>
        </w:rPr>
        <w:t>两种GPU实现均通过同算法CPU复图核对，峰值位置一致，固定混合精度可作为后续优化的正确性基线。</w:t>
      </w:r>
    </w:p>
    <w:p w14:paraId="624EFB95">
      <w:pPr>
        <w:pStyle w:val="14"/>
        <w:keepLines/>
        <w:spacing w:after="60"/>
      </w:pPr>
      <w:r>
        <w:rPr>
          <w:rFonts w:ascii="宋体" w:hAnsi="宋体" w:eastAsia="宋体"/>
          <w:color w:val="000000"/>
          <w:sz w:val="21"/>
        </w:rPr>
        <w:t>数据常驻条件下，GPU对直接BP和FFBP分别加速16.68×和10.75×；四种配置中GPU FFBP用时最短。</w:t>
      </w:r>
    </w:p>
    <w:p w14:paraId="3741ACEB">
      <w:pPr>
        <w:pStyle w:val="14"/>
        <w:keepLines/>
        <w:spacing w:after="60"/>
      </w:pPr>
      <w:r>
        <w:rPr>
          <w:rFonts w:ascii="宋体" w:hAnsi="宋体" w:eastAsia="宋体"/>
          <w:color w:val="000000"/>
          <w:sz w:val="21"/>
        </w:rPr>
        <w:t>当前质量差异主要由FFBP的分解与重采样决定。后续比较应在相同输出网格和相同误差约束下进行。</w:t>
      </w:r>
    </w:p>
    <w:p w14:paraId="15CBBCB2">
      <w:pPr>
        <w:pStyle w:val="3"/>
        <w:keepNext/>
        <w:keepLines/>
      </w:pPr>
      <w:r>
        <w:t>4 接下来的工作</w:t>
      </w:r>
    </w:p>
    <w:p w14:paraId="5D9D699E">
      <w:pPr>
        <w:keepLines/>
        <w:ind w:firstLine="420"/>
      </w:pPr>
      <w:r>
        <w:rPr>
          <w:rFonts w:ascii="宋体" w:hAnsi="宋体" w:eastAsia="宋体"/>
          <w:color w:val="000000"/>
          <w:sz w:val="21"/>
        </w:rPr>
        <w:t>下一步考虑用Nsight Systems分析按层批处理FFBP的耗时，查明时间主要花在叶节点BP、重采样还是核函数调度上。在相同输出网格下调整叶节点大小、内部采样密度和各层计算精度，比较SER不低于45 dB时的计算速度。成像质量还需结合亮目标相位误差及点目标IRW、PSLR、ISLR判断。实验先使用现有实测数据和点目标仿真，再补充GOTCHA数据及其他型号GPU的对照实验。</w:t>
      </w:r>
    </w:p>
    <w:p w14:paraId="334CBB30">
      <w:r>
        <w:br w:type="page"/>
      </w:r>
    </w:p>
    <w:p w14:paraId="3ED31342">
      <w:pPr>
        <w:pStyle w:val="3"/>
        <w:keepNext/>
        <w:keepLines/>
      </w:pPr>
      <w:r>
        <w:t>参考文献</w:t>
      </w:r>
    </w:p>
    <w:p w14:paraId="24A0D481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>1. Munson, D. C., O'Brien, J. D., Jenkins, W. K. A Tomographic Formulation of Spotlight-Mode Synthetic Aperture Radar. Proceedings of the IEEE, 1983, 71(8): 917-925.</w:t>
      </w:r>
    </w:p>
    <w:p w14:paraId="78A43DD3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>2. McCorkle, J. W. Focusing of Synthetic Aperture Ultra Wideband Data. IEEE International Conference on Systems Engineering, 1991: 1-5.</w:t>
      </w:r>
    </w:p>
    <w:p w14:paraId="74319AE6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>3. Ulander, L. M. H., Hellsten, H., Stenström, G. Synthetic-Aperture Radar Processing Using Fast Factorized Back-Projection. IEEE Transactions on Aerospace and Electronic Systems, 2003, 39(3): 760-776.</w:t>
      </w:r>
    </w:p>
    <w:p w14:paraId="584022C3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>4. Fasih, A., Hartley, T. GPU-Accelerated Synthetic Aperture Radar Backprojection in CUDA. IEEE Radar Conference, 2010.</w:t>
      </w:r>
    </w:p>
    <w:p w14:paraId="6A867203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 xml:space="preserve">5. NVIDIA. MatX SAR Back Projection API. </w:t>
      </w:r>
      <w:r>
        <w:fldChar w:fldCharType="begin"/>
      </w:r>
      <w:r>
        <w:instrText xml:space="preserve"> HYPERLINK "https://nvidia.github.io/MatX/api/signalimage/radar/sar_bp.html" \h </w:instrText>
      </w:r>
      <w:r>
        <w:fldChar w:fldCharType="separate"/>
      </w:r>
      <w:r>
        <w:rPr>
          <w:rFonts w:ascii="微软雅黑" w:hAnsi="微软雅黑" w:eastAsia="微软雅黑"/>
          <w:color w:val="0563C1"/>
          <w:sz w:val="18"/>
          <w:u w:val="single"/>
        </w:rPr>
        <w:t>https://nvidia.github.io/MatX/api/signalimage/radar/sar_bp.html</w:t>
      </w:r>
      <w:r>
        <w:rPr>
          <w:rFonts w:ascii="微软雅黑" w:hAnsi="微软雅黑" w:eastAsia="微软雅黑"/>
          <w:color w:val="0563C1"/>
          <w:sz w:val="18"/>
          <w:u w:val="single"/>
        </w:rPr>
        <w:fldChar w:fldCharType="end"/>
      </w:r>
    </w:p>
    <w:p w14:paraId="344F5A34">
      <w:pPr>
        <w:spacing w:after="60" w:line="276" w:lineRule="auto"/>
        <w:ind w:left="397" w:hanging="397"/>
        <w:jc w:val="left"/>
      </w:pPr>
      <w:r>
        <w:rPr>
          <w:rFonts w:ascii="微软雅黑" w:hAnsi="微软雅黑" w:eastAsia="微软雅黑"/>
          <w:color w:val="000000"/>
          <w:sz w:val="18"/>
        </w:rPr>
        <w:t xml:space="preserve">6. Benson, T. GOTCHA-Back: CUDA Backprojection Implementation and SER Comparison. </w:t>
      </w:r>
      <w:r>
        <w:fldChar w:fldCharType="begin"/>
      </w:r>
      <w:r>
        <w:instrText xml:space="preserve"> HYPERLINK "https://github.com/tbensonatl/gotcha-back" \h </w:instrText>
      </w:r>
      <w:r>
        <w:fldChar w:fldCharType="separate"/>
      </w:r>
      <w:r>
        <w:rPr>
          <w:rFonts w:ascii="微软雅黑" w:hAnsi="微软雅黑" w:eastAsia="微软雅黑"/>
          <w:color w:val="0563C1"/>
          <w:sz w:val="18"/>
          <w:u w:val="single"/>
        </w:rPr>
        <w:t>https://github.com/tbensonatl/gotcha-back</w:t>
      </w:r>
      <w:r>
        <w:rPr>
          <w:rFonts w:ascii="微软雅黑" w:hAnsi="微软雅黑" w:eastAsia="微软雅黑"/>
          <w:color w:val="0563C1"/>
          <w:sz w:val="18"/>
          <w:u w:val="single"/>
        </w:rPr>
        <w:fldChar w:fldCharType="end"/>
      </w:r>
    </w:p>
    <w:sectPr>
      <w:footerReference r:id="rId5" w:type="default"/>
      <w:pgSz w:w="11906" w:h="16838"/>
      <w:pgMar w:top="907" w:right="964" w:bottom="850" w:left="964" w:header="720" w:footer="397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2C806E">
    <w:pPr>
      <w:pStyle w:val="24"/>
      <w:spacing w:before="0" w:after="0"/>
      <w:jc w:val="right"/>
    </w:pPr>
    <w:r>
      <w:rPr>
        <w:rFonts w:ascii="微软雅黑" w:hAnsi="微软雅黑" w:eastAsia="微软雅黑"/>
        <w:color w:val="000000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000000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4A62FD"/>
    <w:rsid w:val="34A71444"/>
    <w:rsid w:val="5C362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300" w:lineRule="auto"/>
      <w:jc w:val="both"/>
    </w:pPr>
    <w:rPr>
      <w:rFonts w:ascii="宋体" w:hAnsi="宋体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5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76" w:lineRule="auto"/>
      <w:jc w:val="left"/>
    </w:pPr>
    <w:rPr>
      <w:rFonts w:ascii="微软雅黑" w:hAnsi="微软雅黑" w:eastAsia="微软雅黑"/>
      <w:bCs/>
      <w:color w:val="595959"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before="0" w:after="320" w:line="240" w:lineRule="auto"/>
      <w:contextualSpacing/>
      <w:jc w:val="center"/>
    </w:pPr>
    <w:rPr>
      <w:rFonts w:asciiTheme="majorHAnsi" w:hAnsiTheme="majorHAnsi" w:eastAsiaTheme="majorEastAsia" w:cstheme="majorBidi"/>
      <w:b/>
      <w:color w:val="000000"/>
      <w:spacing w:val="5"/>
      <w:kern w:val="28"/>
      <w:sz w:val="4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1239</Words>
  <Characters>2404</Characters>
  <Lines>0</Lines>
  <Paragraphs>0</Paragraphs>
  <TotalTime>0</TotalTime>
  <ScaleCrop>false</ScaleCrop>
  <LinksUpToDate>false</LinksUpToDate>
  <CharactersWithSpaces>2554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SAR imaging project</dc:creator>
  <dc:description>generated by python-docx</dc:description>
  <cp:lastModifiedBy>Tim</cp:lastModifiedBy>
  <dcterms:modified xsi:type="dcterms:W3CDTF">2026-09-18T18:28:28Z</dcterms:modified>
  <dc:subject>CPU与GPU直接BP和FFBP成像基线比较</dc:subject>
  <dc:title>2026年9月19日 BP与FFBP CPU GPU成像组会汇报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eyJoZGlkIjoiY2NiNTJhYjZkMDU2NjNiYjQ1NmJmZDZiNDIwM2I1OTYiLCJ1c2VySWQiOiIzMTAzNjM5ODcifQ==</vt:lpwstr>
  </property>
  <property fmtid="{D5CDD505-2E9C-101B-9397-08002B2CF9AE}" pid="3" name="KSOProductBuildVer">
    <vt:lpwstr>2052-12.1.0.28505</vt:lpwstr>
  </property>
  <property fmtid="{D5CDD505-2E9C-101B-9397-08002B2CF9AE}" pid="4" name="ICV">
    <vt:lpwstr>1B7A06BACB644A4AA704B3F9D1091721_12</vt:lpwstr>
  </property>
</Properties>
</file>