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F9B73B">
      <w:pPr>
        <w:pStyle w:val="3"/>
        <w:keepNext/>
        <w:keepLines/>
        <w:jc w:val="center"/>
        <w:rPr>
          <w:rFonts w:hint="eastAsia" w:ascii="宋体" w:hAnsi="宋体" w:eastAsia="宋体" w:cs="宋体"/>
          <w:b/>
          <w:color w:val="00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color w:val="000000"/>
          <w:sz w:val="44"/>
          <w:szCs w:val="44"/>
        </w:rPr>
        <w:t>BP</w:t>
      </w:r>
      <w:r>
        <w:rPr>
          <w:rFonts w:hint="eastAsia" w:ascii="宋体" w:hAnsi="宋体" w:eastAsia="宋体" w:cs="宋体"/>
          <w:b/>
          <w:color w:val="000000"/>
          <w:sz w:val="44"/>
          <w:szCs w:val="44"/>
          <w:lang w:val="en-US" w:eastAsia="zh-CN"/>
        </w:rPr>
        <w:t>算法在cpu和gpu上的成像效果对比</w:t>
      </w:r>
    </w:p>
    <w:p w14:paraId="1814F5EB">
      <w:pPr>
        <w:keepLines/>
        <w:ind w:firstLine="420" w:firstLineChars="200"/>
      </w:pPr>
      <w:r>
        <w:rPr>
          <w:rFonts w:ascii="宋体" w:hAnsi="宋体" w:eastAsia="宋体"/>
          <w:color w:val="000000"/>
          <w:sz w:val="21"/>
        </w:rPr>
        <w:t>本次</w:t>
      </w:r>
      <w:r>
        <w:rPr>
          <w:rFonts w:hint="eastAsia"/>
          <w:color w:val="000000"/>
          <w:sz w:val="21"/>
          <w:lang w:val="en-US" w:eastAsia="zh-CN"/>
        </w:rPr>
        <w:t>实验</w:t>
      </w:r>
      <w:r>
        <w:rPr>
          <w:rFonts w:ascii="宋体" w:hAnsi="宋体" w:eastAsia="宋体"/>
          <w:color w:val="000000"/>
          <w:sz w:val="21"/>
        </w:rPr>
        <w:t>比较</w:t>
      </w:r>
      <w:r>
        <w:rPr>
          <w:rFonts w:hint="eastAsia"/>
          <w:color w:val="000000"/>
          <w:sz w:val="21"/>
          <w:lang w:val="en-US" w:eastAsia="zh-CN"/>
        </w:rPr>
        <w:t>了</w:t>
      </w:r>
      <w:r>
        <w:rPr>
          <w:rFonts w:ascii="宋体" w:hAnsi="宋体" w:eastAsia="宋体"/>
          <w:color w:val="000000"/>
          <w:sz w:val="21"/>
        </w:rPr>
        <w:t>直接BP和FFBP在CPU与GPU上的成像结果、复数误差和驻留计算时间。固定混合精度GPU保持了同算法CPU结果，当前主要质量差异来自FFBP的分解与重采样近似。</w:t>
      </w:r>
    </w:p>
    <w:p w14:paraId="2BACCC87">
      <w:pPr>
        <w:pStyle w:val="3"/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算法来源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9"/>
        <w:gridCol w:w="8269"/>
      </w:tblGrid>
      <w:tr w14:paraId="280B12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43DE6B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算法</w:t>
            </w:r>
          </w:p>
        </w:tc>
        <w:tc>
          <w:tcPr>
            <w:tcW w:w="826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2D7D69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出处与本实验实现</w:t>
            </w:r>
          </w:p>
        </w:tc>
      </w:tr>
      <w:tr w14:paraId="6285B7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6F6E23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BP</w:t>
            </w:r>
          </w:p>
        </w:tc>
        <w:tc>
          <w:tcPr>
            <w:tcW w:w="826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52B89E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SAR层析反投影基础见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superscript"/>
              </w:rPr>
              <w:t>[1]</w:t>
            </w:r>
            <w:r>
              <w:rPr>
                <w:rFonts w:hint="eastAsia" w:cs="宋体"/>
                <w:b w:val="0"/>
                <w:color w:val="000000"/>
                <w:sz w:val="16"/>
                <w:lang w:eastAsia="zh-CN"/>
              </w:rPr>
              <w:t>。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本实验所用直接时域BP形式通常追溯至McCorkle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superscript"/>
              </w:rPr>
              <w:t>[2]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。逐像素计算双程距离，对距离压缩回波插值、相位补偿并沿孔径相干累加。</w:t>
            </w:r>
          </w:p>
        </w:tc>
      </w:tr>
      <w:tr w14:paraId="0ABCC0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D4C36F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FFBP</w:t>
            </w:r>
          </w:p>
        </w:tc>
        <w:tc>
          <w:tcPr>
            <w:tcW w:w="826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94EA5C"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采用Ulander、Hellsten和Stenström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superscript"/>
              </w:rPr>
              <w:t>[3]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的快速因子化反投影思想：将孔径递归分组，在局部极坐标网格形成子图，经重采样后逐层合并，以插值近似换取较低计算量。</w:t>
            </w:r>
          </w:p>
        </w:tc>
      </w:tr>
    </w:tbl>
    <w:p w14:paraId="5CC241EC">
      <w:pPr>
        <w:pStyle w:val="4"/>
        <w:keepNext/>
        <w:keepLines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 全场成像与四种基线</w:t>
      </w:r>
    </w:p>
    <w:p w14:paraId="264DABFC">
      <w:pPr>
        <w:pStyle w:val="4"/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1</w:t>
      </w:r>
      <w:r>
        <w:rPr>
          <w:rFonts w:hint="eastAsia" w:ascii="宋体" w:hAnsi="宋体" w:eastAsia="宋体" w:cs="宋体"/>
        </w:rPr>
        <w:t>.1 自聚焦后FFBP全场景地面图</w:t>
      </w:r>
    </w:p>
    <w:p w14:paraId="5C8059AE">
      <w:pPr>
        <w:keepNext/>
        <w:spacing w:before="40" w:after="60"/>
        <w:jc w:val="center"/>
      </w:pPr>
      <w:r>
        <w:drawing>
          <wp:inline distT="0" distB="0" distL="114300" distR="114300">
            <wp:extent cx="5867400" cy="377190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77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8A14A">
      <w:pPr>
        <w:pStyle w:val="15"/>
        <w:keepLines/>
        <w:spacing w:after="140"/>
        <w:jc w:val="center"/>
        <w:rPr>
          <w:rFonts w:hint="eastAsia" w:ascii="宋体" w:hAnsi="宋体" w:eastAsia="宋体" w:cs="宋体"/>
          <w:b w:val="0"/>
          <w:bCs w:val="0"/>
          <w:color w:val="000000"/>
          <w:sz w:val="18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18"/>
        </w:rPr>
        <w:t>图1 2018-08-14_18-54-08.dat的FFBP/PGA自聚焦地面成像结果</w:t>
      </w:r>
    </w:p>
    <w:p w14:paraId="79938368">
      <w:pPr>
        <w:pStyle w:val="15"/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40"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横向显示范围为450至2650 m，航向范围为-800至800 m，幅度窗为-65至-10 dB。该图对应全场景FFBP结果，不作为四种CPU/GPU基线的同网格定量对照。</w:t>
      </w:r>
    </w:p>
    <w:p w14:paraId="385AB1FE">
      <w:r>
        <w:br w:type="page"/>
      </w:r>
    </w:p>
    <w:p w14:paraId="2E000310">
      <w:pPr>
        <w:pStyle w:val="4"/>
        <w:keepNext/>
        <w:keepLines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1.2 CPU与GPU四种基线</w:t>
      </w:r>
    </w:p>
    <w:p w14:paraId="048AF499">
      <w:pPr>
        <w:keepNext/>
        <w:spacing w:before="40" w:after="60"/>
        <w:jc w:val="center"/>
      </w:pPr>
      <w:r>
        <w:drawing>
          <wp:inline distT="0" distB="0" distL="114300" distR="114300">
            <wp:extent cx="5579745" cy="4133215"/>
            <wp:effectExtent l="0" t="0" r="13335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AA2B8">
      <w:pPr>
        <w:pStyle w:val="15"/>
        <w:keepLines/>
        <w:spacing w:after="140"/>
        <w:jc w:val="center"/>
        <w:rPr>
          <w:rFonts w:hint="eastAsia" w:ascii="宋体" w:hAnsi="宋体" w:eastAsia="宋体" w:cs="宋体"/>
          <w:color w:val="000000"/>
          <w:sz w:val="18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18"/>
        </w:rPr>
        <w:t>图2</w:t>
      </w:r>
      <w:r>
        <w:rPr>
          <w:rFonts w:hint="eastAsia" w:ascii="宋体" w:hAnsi="宋体" w:eastAsia="宋体" w:cs="宋体"/>
          <w:b/>
          <w:color w:val="000000"/>
          <w:sz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</w:rPr>
        <w:t>同一实测ROI的四种成像结果</w:t>
      </w:r>
    </w:p>
    <w:p w14:paraId="10B263B7">
      <w:pPr>
        <w:pStyle w:val="15"/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40" w:line="360" w:lineRule="auto"/>
        <w:ind w:firstLine="420" w:firstLineChars="200"/>
        <w:textAlignment w:val="auto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上行为直接BP，下行为FFBP；左列为CPU，右列为固定混合精度GPU。四幅图以CPU直接BP峰值为共同参考，显示范围均为-50至0 dB。图中为极坐标复图像的幅度，不是地面投影图。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7"/>
        <w:gridCol w:w="1560"/>
        <w:gridCol w:w="1582"/>
        <w:gridCol w:w="1663"/>
        <w:gridCol w:w="1663"/>
        <w:gridCol w:w="1663"/>
      </w:tblGrid>
      <w:tr w14:paraId="641609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4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7F99C6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实验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0047C1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驻留计算时间</w:t>
            </w:r>
          </w:p>
        </w:tc>
        <w:tc>
          <w:tcPr>
            <w:tcW w:w="158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FC0E8F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数值参考</w:t>
            </w:r>
          </w:p>
        </w:tc>
        <w:tc>
          <w:tcPr>
            <w:tcW w:w="166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E696BF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相对复误差</w:t>
            </w:r>
          </w:p>
        </w:tc>
        <w:tc>
          <w:tcPr>
            <w:tcW w:w="166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431D7B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SER / dB</w:t>
            </w:r>
          </w:p>
        </w:tc>
        <w:tc>
          <w:tcPr>
            <w:tcW w:w="166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A5F35C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7"/>
              </w:rPr>
              <w:t>峰值像素</w:t>
            </w:r>
          </w:p>
        </w:tc>
      </w:tr>
      <w:tr w14:paraId="445102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4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D63847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CPU直接BP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5402A6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10,200.507 ms</w:t>
            </w:r>
          </w:p>
        </w:tc>
        <w:tc>
          <w:tcPr>
            <w:tcW w:w="158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7EE6D1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高精度基准</w:t>
            </w:r>
          </w:p>
        </w:tc>
        <w:tc>
          <w:tcPr>
            <w:tcW w:w="166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25FB67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-</w:t>
            </w:r>
          </w:p>
        </w:tc>
        <w:tc>
          <w:tcPr>
            <w:tcW w:w="166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7C4F14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-</w:t>
            </w:r>
          </w:p>
        </w:tc>
        <w:tc>
          <w:tcPr>
            <w:tcW w:w="166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865B68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[222, 201]</w:t>
            </w:r>
          </w:p>
        </w:tc>
      </w:tr>
      <w:tr w14:paraId="05362E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4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01AAB3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GPU直接BP 固定混合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23AF45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611.359 ms</w:t>
            </w:r>
          </w:p>
        </w:tc>
        <w:tc>
          <w:tcPr>
            <w:tcW w:w="158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471E2F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CPU直接BP</w:t>
            </w:r>
          </w:p>
        </w:tc>
        <w:tc>
          <w:tcPr>
            <w:tcW w:w="166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03153A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1.879×10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superscript"/>
              </w:rPr>
              <w:t>-6</w:t>
            </w:r>
          </w:p>
        </w:tc>
        <w:tc>
          <w:tcPr>
            <w:tcW w:w="166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E97F9E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114.52</w:t>
            </w:r>
          </w:p>
        </w:tc>
        <w:tc>
          <w:tcPr>
            <w:tcW w:w="166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531877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[222, 201]</w:t>
            </w:r>
          </w:p>
        </w:tc>
      </w:tr>
      <w:tr w14:paraId="753640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4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9E91F4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CPU FFBP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373446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538.205 ms</w:t>
            </w:r>
          </w:p>
        </w:tc>
        <w:tc>
          <w:tcPr>
            <w:tcW w:w="158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C6702A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CPU直接BP</w:t>
            </w:r>
          </w:p>
        </w:tc>
        <w:tc>
          <w:tcPr>
            <w:tcW w:w="166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E8F49A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3.2858%</w:t>
            </w:r>
          </w:p>
        </w:tc>
        <w:tc>
          <w:tcPr>
            <w:tcW w:w="166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AF4B0C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29.67</w:t>
            </w:r>
          </w:p>
        </w:tc>
        <w:tc>
          <w:tcPr>
            <w:tcW w:w="166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32C00D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[222, 201]</w:t>
            </w:r>
          </w:p>
        </w:tc>
      </w:tr>
      <w:tr w14:paraId="5EDF48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4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E5C107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GPU FFBP 固定混合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7E9DF6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50.085 ms</w:t>
            </w:r>
          </w:p>
        </w:tc>
        <w:tc>
          <w:tcPr>
            <w:tcW w:w="158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796FD8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CPU FFBP</w:t>
            </w:r>
          </w:p>
        </w:tc>
        <w:tc>
          <w:tcPr>
            <w:tcW w:w="166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9AF5D0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2.040×10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  <w:vertAlign w:val="superscript"/>
              </w:rPr>
              <w:t>-7</w:t>
            </w:r>
          </w:p>
        </w:tc>
        <w:tc>
          <w:tcPr>
            <w:tcW w:w="166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25A68D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133.81</w:t>
            </w:r>
          </w:p>
        </w:tc>
        <w:tc>
          <w:tcPr>
            <w:tcW w:w="166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492F15"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6"/>
              </w:rPr>
              <w:t>[222, 201]</w:t>
            </w:r>
          </w:p>
        </w:tc>
      </w:tr>
    </w:tbl>
    <w:p w14:paraId="29A81CD5">
      <w:pPr>
        <w:keepLines/>
        <w:rPr>
          <w:rFonts w:ascii="宋体" w:hAnsi="宋体" w:eastAsia="宋体"/>
          <w:color w:val="000000"/>
          <w:sz w:val="21"/>
        </w:rPr>
      </w:pPr>
    </w:p>
    <w:p w14:paraId="0A950C3D">
      <w:pPr>
        <w:pStyle w:val="15"/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40" w:line="360" w:lineRule="auto"/>
        <w:ind w:firstLine="420" w:firstLineChars="200"/>
        <w:textAlignment w:val="auto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GPU相对CPU的同算法加速比分别为16.68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x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（直接BP）和10.75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x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（FFBP）。同一设备上，FFBP相对直接BP的加速比为18.95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x(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CPU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)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和12.21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x(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GPU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)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。GPU FFBP相对CPU直接BP达到203.66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x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，但其相对CPU直接BP的总SER为29.67 dB，因此该倍率不属于等质量加速。</w:t>
      </w:r>
    </w:p>
    <w:p w14:paraId="701F8A39">
      <w:pPr>
        <w:pStyle w:val="15"/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40" w:line="360" w:lineRule="auto"/>
        <w:ind w:firstLine="420" w:firstLineChars="200"/>
        <w:textAlignment w:val="auto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GPU直接BP与GPU FFBP对各自CPU参考的误差均低于2×10-6，说明CUDA实现保持了既定成像算子。CPU FFBP相对CPU直接BP的3.29%复误差反映因子分解和局部网格重采样的算法近似。</w:t>
      </w:r>
    </w:p>
    <w:p w14:paraId="223FEAB5">
      <w:r>
        <w:br w:type="page"/>
      </w:r>
    </w:p>
    <w:p w14:paraId="39B547F3">
      <w:pPr>
        <w:keepNext/>
        <w:spacing w:before="40" w:after="60"/>
        <w:jc w:val="center"/>
      </w:pPr>
      <w:r>
        <w:drawing>
          <wp:inline distT="0" distB="0" distL="114300" distR="114300">
            <wp:extent cx="5759450" cy="2812415"/>
            <wp:effectExtent l="0" t="0" r="127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1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593B1">
      <w:pPr>
        <w:pStyle w:val="15"/>
        <w:keepLines/>
        <w:spacing w:after="140"/>
        <w:jc w:val="center"/>
        <w:rPr>
          <w:rFonts w:hint="eastAsia" w:ascii="宋体" w:hAnsi="宋体" w:eastAsia="宋体" w:cs="宋体"/>
          <w:b w:val="0"/>
          <w:bCs w:val="0"/>
          <w:color w:val="000000"/>
          <w:sz w:val="18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18"/>
        </w:rPr>
        <w:t>图3 四种基线的核心成像时间</w:t>
      </w:r>
    </w:p>
    <w:p w14:paraId="67092B6E">
      <w:pPr>
        <w:keepLines/>
        <w:ind w:firstLine="420" w:firstLineChars="200"/>
      </w:pPr>
      <w:r>
        <w:rPr>
          <w:rFonts w:ascii="宋体" w:hAnsi="宋体" w:eastAsia="宋体"/>
          <w:color w:val="000000"/>
          <w:sz w:val="21"/>
        </w:rPr>
        <w:t>GPU时间不含文件读取、H2D和D2H</w:t>
      </w:r>
      <w:r>
        <w:rPr>
          <w:rFonts w:hint="eastAsia"/>
          <w:color w:val="000000"/>
          <w:sz w:val="21"/>
          <w:lang w:eastAsia="zh-CN"/>
        </w:rPr>
        <w:t>。</w:t>
      </w:r>
      <w:r>
        <w:rPr>
          <w:rFonts w:ascii="宋体" w:hAnsi="宋体" w:eastAsia="宋体"/>
          <w:color w:val="000000"/>
          <w:sz w:val="21"/>
        </w:rPr>
        <w:t>该口径对应多区域、多帧或参数扫描时复用显存中数据的计算场景。固定混合精度GPU复现了同算法CPU结果：直接BP和FFBP的驻留计算时间分别由10.201 s、538.205 ms降至611.359 ms、50.085 ms。FFBP的主</w:t>
      </w:r>
      <w:bookmarkStart w:id="0" w:name="_GoBack"/>
      <w:bookmarkEnd w:id="0"/>
      <w:r>
        <w:rPr>
          <w:rFonts w:ascii="宋体" w:hAnsi="宋体" w:eastAsia="宋体"/>
          <w:color w:val="000000"/>
          <w:sz w:val="21"/>
        </w:rPr>
        <w:t>要误差来自分解与重采样近似，而非GPU移植。</w:t>
      </w:r>
    </w:p>
    <w:p w14:paraId="22E8782B">
      <w:pPr>
        <w:keepLines/>
        <w:ind w:firstLine="420"/>
      </w:pPr>
      <w:r>
        <w:rPr>
          <w:rFonts w:ascii="宋体" w:hAnsi="宋体" w:eastAsia="宋体"/>
          <w:color w:val="000000"/>
          <w:sz w:val="21"/>
        </w:rPr>
        <w:t>若计入单次H2D和D2H，GPU直接BP为1628.993 ms，仍比CPU快6.26</w:t>
      </w:r>
      <w:r>
        <w:rPr>
          <w:rFonts w:hint="eastAsia"/>
          <w:color w:val="000000"/>
          <w:sz w:val="21"/>
          <w:lang w:val="en-US" w:eastAsia="zh-CN"/>
        </w:rPr>
        <w:t>x</w:t>
      </w:r>
      <w:r>
        <w:rPr>
          <w:rFonts w:ascii="宋体" w:hAnsi="宋体" w:eastAsia="宋体"/>
          <w:color w:val="000000"/>
          <w:sz w:val="21"/>
        </w:rPr>
        <w:t>；GPU FFBP为1067.767 ms，慢于CPU FFBP的538.205 ms。纯FP32直接BP为38.050 ms，FFBP为45.877 ms。</w:t>
      </w:r>
    </w:p>
    <w:p w14:paraId="77836FF8">
      <w:pPr>
        <w:keepLines/>
        <w:ind w:firstLine="420"/>
      </w:pPr>
      <w:r>
        <w:rPr>
          <w:rFonts w:ascii="宋体" w:hAnsi="宋体" w:eastAsia="宋体"/>
          <w:color w:val="000000"/>
          <w:sz w:val="21"/>
        </w:rPr>
        <w:t>本轮评价对象为计算时间和复数一致性。当前实测场景没有已标定点目标，空间分辨率、IRW、PSLR与ISLR留待点目标实验测量。</w:t>
      </w:r>
    </w:p>
    <w:p w14:paraId="46B20A92">
      <w:pPr>
        <w:pStyle w:val="4"/>
        <w:keepNext/>
        <w:keepLines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 结论</w:t>
      </w:r>
    </w:p>
    <w:p w14:paraId="21A0FF02">
      <w:pPr>
        <w:pStyle w:val="14"/>
        <w:keepLines/>
        <w:spacing w:after="60"/>
      </w:pPr>
      <w:r>
        <w:rPr>
          <w:rFonts w:ascii="宋体" w:hAnsi="宋体" w:eastAsia="宋体"/>
          <w:color w:val="000000"/>
          <w:sz w:val="21"/>
        </w:rPr>
        <w:t>两种GPU实现均通过同算法CPU复图核对，峰值位置一致，固定混合精度可作为后续优化的正确性基线。</w:t>
      </w:r>
    </w:p>
    <w:p w14:paraId="3741ACEB">
      <w:pPr>
        <w:pStyle w:val="14"/>
        <w:keepLines/>
        <w:spacing w:after="60"/>
      </w:pPr>
      <w:r>
        <w:rPr>
          <w:rFonts w:ascii="宋体" w:hAnsi="宋体" w:eastAsia="宋体"/>
          <w:color w:val="000000"/>
          <w:sz w:val="21"/>
        </w:rPr>
        <w:t>数据常驻条件下，GPU对直接BP和FFBP分别加速16.68</w:t>
      </w:r>
      <w:r>
        <w:rPr>
          <w:rFonts w:hint="eastAsia"/>
          <w:color w:val="000000"/>
          <w:sz w:val="21"/>
          <w:lang w:val="en-US" w:eastAsia="zh-CN"/>
        </w:rPr>
        <w:t>x</w:t>
      </w:r>
      <w:r>
        <w:rPr>
          <w:rFonts w:ascii="宋体" w:hAnsi="宋体" w:eastAsia="宋体"/>
          <w:color w:val="000000"/>
          <w:sz w:val="21"/>
        </w:rPr>
        <w:t>和10.75</w:t>
      </w:r>
      <w:r>
        <w:rPr>
          <w:rFonts w:hint="eastAsia"/>
          <w:color w:val="000000"/>
          <w:sz w:val="21"/>
          <w:lang w:val="en-US" w:eastAsia="zh-CN"/>
        </w:rPr>
        <w:t>x</w:t>
      </w:r>
      <w:r>
        <w:rPr>
          <w:rFonts w:ascii="宋体" w:hAnsi="宋体" w:eastAsia="宋体"/>
          <w:color w:val="000000"/>
          <w:sz w:val="21"/>
        </w:rPr>
        <w:t>；四种配置中GPU FFBP用时最短。</w:t>
      </w:r>
    </w:p>
    <w:p w14:paraId="15CBBCB2">
      <w:pPr>
        <w:pStyle w:val="4"/>
        <w:keepNext/>
        <w:keepLines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 接下来的工作</w:t>
      </w:r>
    </w:p>
    <w:p w14:paraId="0679F053">
      <w:pPr>
        <w:keepLines/>
        <w:ind w:firstLine="420"/>
        <w:rPr>
          <w:rFonts w:ascii="宋体" w:hAnsi="宋体" w:eastAsia="宋体" w:cstheme="minorBidi"/>
          <w:color w:val="000000"/>
          <w:sz w:val="21"/>
          <w:szCs w:val="22"/>
          <w:lang w:val="en-US" w:eastAsia="en-US" w:bidi="ar-SA"/>
        </w:rPr>
      </w:pPr>
      <w:r>
        <w:rPr>
          <w:rFonts w:ascii="宋体" w:hAnsi="宋体" w:eastAsia="宋体"/>
          <w:color w:val="000000"/>
          <w:sz w:val="21"/>
        </w:rPr>
        <w:t>下一步</w:t>
      </w:r>
      <w:r>
        <w:rPr>
          <w:rFonts w:ascii="宋体" w:hAnsi="宋体" w:eastAsia="宋体" w:cs="宋体"/>
          <w:sz w:val="21"/>
          <w:szCs w:val="21"/>
        </w:rPr>
        <w:t>继续开展</w:t>
      </w:r>
      <w:r>
        <w:rPr>
          <w:rFonts w:hint="eastAsia" w:ascii="Times New Roman" w:hAnsi="Times New Roman" w:eastAsia="宋体" w:cs="Times New Roman"/>
          <w:color w:val="000000"/>
          <w:sz w:val="21"/>
          <w:szCs w:val="22"/>
          <w:lang w:val="en-US" w:eastAsia="zh-CN" w:bidi="ar-SA"/>
        </w:rPr>
        <w:t>bp</w:t>
      </w:r>
      <w:r>
        <w:rPr>
          <w:rFonts w:hint="eastAsia" w:ascii="宋体" w:hAnsi="宋体" w:eastAsia="宋体"/>
          <w:color w:val="000000"/>
          <w:sz w:val="21"/>
          <w:lang w:val="en-US" w:eastAsia="zh-CN"/>
        </w:rPr>
        <w:t>成像的</w:t>
      </w:r>
      <w:r>
        <w:rPr>
          <w:rFonts w:hint="eastAsia" w:ascii="Times New Roman" w:hAnsi="Times New Roman" w:eastAsia="宋体" w:cs="Times New Roman"/>
          <w:color w:val="000000"/>
          <w:sz w:val="21"/>
          <w:szCs w:val="22"/>
          <w:lang w:val="en-US" w:eastAsia="zh-CN" w:bidi="ar-SA"/>
        </w:rPr>
        <w:t>gpu</w:t>
      </w:r>
      <w:r>
        <w:rPr>
          <w:rFonts w:hint="eastAsia"/>
          <w:color w:val="000000"/>
          <w:sz w:val="21"/>
          <w:lang w:val="en-US" w:eastAsia="zh-CN"/>
        </w:rPr>
        <w:t>算子</w:t>
      </w:r>
      <w:r>
        <w:rPr>
          <w:rFonts w:hint="eastAsia" w:ascii="宋体" w:hAnsi="宋体" w:eastAsia="宋体"/>
          <w:color w:val="000000"/>
          <w:sz w:val="21"/>
          <w:lang w:val="en-US" w:eastAsia="zh-CN"/>
        </w:rPr>
        <w:t>优化，</w:t>
      </w:r>
      <w:r>
        <w:rPr>
          <w:rFonts w:ascii="宋体" w:hAnsi="宋体" w:eastAsia="宋体" w:cstheme="minorBidi"/>
          <w:color w:val="000000"/>
          <w:sz w:val="21"/>
          <w:szCs w:val="22"/>
          <w:lang w:val="en-US" w:eastAsia="en-US" w:bidi="ar-SA"/>
        </w:rPr>
        <w:t>使用</w:t>
      </w:r>
      <w:r>
        <w:rPr>
          <w:rFonts w:hint="default" w:ascii="Times New Roman" w:hAnsi="Times New Roman" w:eastAsia="宋体" w:cs="Times New Roman"/>
          <w:color w:val="000000"/>
          <w:sz w:val="21"/>
          <w:szCs w:val="22"/>
          <w:lang w:val="en-US" w:eastAsia="en-US" w:bidi="ar-SA"/>
        </w:rPr>
        <w:t xml:space="preserve"> Nsight</w:t>
      </w:r>
      <w:r>
        <w:rPr>
          <w:rFonts w:hint="default" w:ascii="Times New Roman" w:hAnsi="Times New Roman" w:cs="Times New Roman"/>
          <w:color w:val="000000"/>
          <w:sz w:val="21"/>
          <w:szCs w:val="22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1"/>
          <w:szCs w:val="22"/>
          <w:lang w:val="en-US" w:eastAsia="en-US" w:bidi="ar-SA"/>
        </w:rPr>
        <w:t>Systems</w:t>
      </w:r>
      <w:r>
        <w:rPr>
          <w:rFonts w:ascii="宋体" w:hAnsi="宋体" w:eastAsia="宋体" w:cstheme="minorBidi"/>
          <w:color w:val="000000"/>
          <w:sz w:val="21"/>
          <w:szCs w:val="22"/>
          <w:lang w:val="en-US" w:eastAsia="en-US" w:bidi="ar-SA"/>
        </w:rPr>
        <w:t>分析按层批处理</w:t>
      </w:r>
      <w:r>
        <w:rPr>
          <w:rFonts w:hint="default" w:ascii="Times New Roman" w:hAnsi="Times New Roman" w:eastAsia="宋体" w:cs="Times New Roman"/>
          <w:color w:val="000000"/>
          <w:sz w:val="21"/>
          <w:szCs w:val="22"/>
          <w:lang w:val="en-US" w:eastAsia="en-US" w:bidi="ar-SA"/>
        </w:rPr>
        <w:t xml:space="preserve"> FFBP</w:t>
      </w:r>
      <w:r>
        <w:rPr>
          <w:rFonts w:ascii="宋体" w:hAnsi="宋体" w:eastAsia="宋体" w:cstheme="minorBidi"/>
          <w:color w:val="000000"/>
          <w:sz w:val="21"/>
          <w:szCs w:val="22"/>
          <w:lang w:val="en-US" w:eastAsia="en-US" w:bidi="ar-SA"/>
        </w:rPr>
        <w:t>的耗时，定位主要性能瓶颈。</w:t>
      </w:r>
    </w:p>
    <w:p w14:paraId="3ED31342">
      <w:pPr>
        <w:pStyle w:val="4"/>
        <w:keepNext/>
        <w:keepLines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参考文献</w:t>
      </w:r>
    </w:p>
    <w:p w14:paraId="24A0D481">
      <w:pPr>
        <w:spacing w:after="60" w:line="276" w:lineRule="auto"/>
        <w:ind w:left="397" w:hanging="397"/>
        <w:jc w:val="left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1. Munson, D. C., O'Brien, J. D., Jenkins, W. K. A Tomographic Formulation of Spotlight-Mode Synthetic Aperture Radar. Proceedings of the IEEE, 1983, 71(8): 917-925.</w:t>
      </w:r>
    </w:p>
    <w:p w14:paraId="78A43DD3">
      <w:pPr>
        <w:spacing w:after="60" w:line="276" w:lineRule="auto"/>
        <w:ind w:left="397" w:hanging="397"/>
        <w:jc w:val="left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2. McCorkle, J. W. Focusing of Synthetic Aperture Ultra Wideband Data. IEEE International Conference on Systems Engineering, 1991: 1-5.</w:t>
      </w:r>
    </w:p>
    <w:p w14:paraId="74319AE6">
      <w:pPr>
        <w:spacing w:after="60" w:line="276" w:lineRule="auto"/>
        <w:ind w:left="397" w:hanging="397"/>
        <w:jc w:val="left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3. Ulander, L. M. H., Hellsten, H., Stenström, G. Synthetic-Aperture Radar Processing Using Fast Factorized Back-Projection. IEEE Transactions on Aerospace and Electronic Systems, 2003, 39(3): 760-776.</w:t>
      </w:r>
    </w:p>
    <w:p w14:paraId="344F5A34">
      <w:pPr>
        <w:spacing w:after="60" w:line="276" w:lineRule="auto"/>
        <w:ind w:left="397" w:hanging="397"/>
        <w:jc w:val="left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4. Fasih, A., Hartley, T. GPU-Accelerated Synthetic Aperture Radar Backprojection in CUDA. IEEE Radar Conference, 2010.</w:t>
      </w:r>
    </w:p>
    <w:sectPr>
      <w:footerReference r:id="rId5" w:type="default"/>
      <w:pgSz w:w="11906" w:h="16838"/>
      <w:pgMar w:top="907" w:right="964" w:bottom="850" w:left="964" w:header="720" w:footer="39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2C806E">
    <w:pPr>
      <w:pStyle w:val="24"/>
      <w:spacing w:before="0" w:after="0"/>
      <w:jc w:val="right"/>
    </w:pPr>
    <w:r>
      <w:rPr>
        <w:rFonts w:ascii="微软雅黑" w:hAnsi="微软雅黑" w:eastAsia="微软雅黑"/>
        <w:color w:val="000000"/>
        <w:sz w:val="16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微软雅黑" w:hAnsi="微软雅黑" w:eastAsia="微软雅黑"/>
        <w:color w:val="000000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4A62FD"/>
    <w:rsid w:val="31F56963"/>
    <w:rsid w:val="34A71444"/>
    <w:rsid w:val="3B290683"/>
    <w:rsid w:val="47D40B4C"/>
    <w:rsid w:val="4E980DB4"/>
    <w:rsid w:val="5C362B48"/>
    <w:rsid w:val="696D0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00" w:lineRule="auto"/>
      <w:jc w:val="both"/>
    </w:pPr>
    <w:rPr>
      <w:rFonts w:ascii="宋体" w:hAnsi="宋体" w:eastAsia="宋体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80" w:after="100"/>
      <w:outlineLvl w:val="1"/>
    </w:pPr>
    <w:rPr>
      <w:rFonts w:asciiTheme="majorHAnsi" w:hAnsiTheme="majorHAnsi" w:eastAsiaTheme="majorEastAsia" w:cstheme="majorBidi"/>
      <w:b/>
      <w:bCs/>
      <w:color w:val="000000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76" w:lineRule="auto"/>
      <w:jc w:val="left"/>
    </w:pPr>
    <w:rPr>
      <w:rFonts w:ascii="微软雅黑" w:hAnsi="微软雅黑" w:eastAsia="微软雅黑"/>
      <w:bCs/>
      <w:color w:val="595959"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before="0" w:after="320" w:line="240" w:lineRule="auto"/>
      <w:contextualSpacing/>
      <w:jc w:val="center"/>
    </w:pPr>
    <w:rPr>
      <w:rFonts w:asciiTheme="majorHAnsi" w:hAnsiTheme="majorHAnsi" w:eastAsiaTheme="majorEastAsia" w:cstheme="majorBidi"/>
      <w:b/>
      <w:color w:val="000000"/>
      <w:spacing w:val="5"/>
      <w:kern w:val="28"/>
      <w:sz w:val="4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1120</Words>
  <Characters>2090</Characters>
  <Lines>0</Lines>
  <Paragraphs>0</Paragraphs>
  <TotalTime>13</TotalTime>
  <ScaleCrop>false</ScaleCrop>
  <LinksUpToDate>false</LinksUpToDate>
  <CharactersWithSpaces>2218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SAR imaging project</dc:creator>
  <dc:description>generated by python-docx</dc:description>
  <cp:lastModifiedBy>Tim</cp:lastModifiedBy>
  <dcterms:modified xsi:type="dcterms:W3CDTF">2026-10-16T16:43:01Z</dcterms:modified>
  <dc:subject>CPU与GPU直接BP和FFBP成像基线比较</dc:subject>
  <dc:title>2026年9月19日 BP与FFBP CPU GPU成像组会汇报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eyJoZGlkIjoiY2NiNTJhYjZkMDU2NjNiYjQ1NmJmZDZiNDIwM2I1OTYiLCJ1c2VySWQiOiIzMTAzNjM5ODcifQ==</vt:lpwstr>
  </property>
  <property fmtid="{D5CDD505-2E9C-101B-9397-08002B2CF9AE}" pid="3" name="KSOProductBuildVer">
    <vt:lpwstr>2052-12.1.0.28505</vt:lpwstr>
  </property>
  <property fmtid="{D5CDD505-2E9C-101B-9397-08002B2CF9AE}" pid="4" name="ICV">
    <vt:lpwstr>1B7A06BACB644A4AA704B3F9D1091721_12</vt:lpwstr>
  </property>
</Properties>
</file>