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20433">
      <w:pPr>
        <w:pStyle w:val="16"/>
        <w:spacing w:before="0" w:after="120" w:line="360" w:lineRule="auto"/>
        <w:ind w:firstLine="0"/>
        <w:jc w:val="center"/>
        <w:rPr>
          <w:sz w:val="30"/>
          <w:szCs w:val="30"/>
        </w:rPr>
      </w:pPr>
      <w:bookmarkStart w:id="0" w:name="基于频域增强与双域恢复的-sar-图像去噪方法研究"/>
      <w:r>
        <w:rPr>
          <w:rFonts w:ascii="Times New Roman" w:hAnsi="Times New Roman" w:eastAsia="黑体" w:cs="Times New Roman"/>
          <w:b/>
          <w:color w:val="000000"/>
          <w:sz w:val="30"/>
          <w:szCs w:val="30"/>
        </w:rPr>
        <w:t>基于频域增强与双域恢复的 SAR 图像去噪方法研究</w:t>
      </w:r>
    </w:p>
    <w:p w14:paraId="4FBCB418">
      <w:pPr>
        <w:spacing w:before="0" w:after="120" w:line="360" w:lineRule="auto"/>
        <w:ind w:firstLine="0"/>
        <w:jc w:val="center"/>
      </w:pPr>
      <w:bookmarkStart w:id="1" w:name="陈虹羽"/>
      <w:r>
        <w:rPr>
          <w:rFonts w:ascii="Times New Roman" w:hAnsi="Times New Roman" w:eastAsia="楷体" w:cs="Times New Roman"/>
          <w:b w:val="0"/>
          <w:color w:val="000000"/>
          <w:sz w:val="21"/>
        </w:rPr>
        <w:t>陈虹羽</w:t>
      </w:r>
    </w:p>
    <w:bookmarkEnd w:id="1"/>
    <w:p w14:paraId="51AE609D">
      <w:pPr>
        <w:pStyle w:val="2"/>
        <w:spacing w:before="120" w:after="60" w:line="360" w:lineRule="auto"/>
        <w:ind w:firstLine="0"/>
        <w:jc w:val="left"/>
      </w:pPr>
      <w:bookmarkStart w:id="2" w:name="摘要"/>
      <w:r>
        <w:rPr>
          <w:rFonts w:ascii="Times New Roman" w:hAnsi="Times New Roman" w:eastAsia="黑体" w:cs="Times New Roman"/>
          <w:b/>
          <w:color w:val="000000"/>
          <w:sz w:val="28"/>
        </w:rPr>
        <w:t>摘要</w:t>
      </w:r>
    </w:p>
    <w:p w14:paraId="64DBF062">
      <w:pPr>
        <w:spacing w:before="0" w:after="0" w:line="360" w:lineRule="auto"/>
        <w:ind w:firstLine="420"/>
        <w:jc w:val="both"/>
      </w:pPr>
      <w:r>
        <w:rPr>
          <w:rFonts w:ascii="Times New Roman" w:hAnsi="Times New Roman" w:eastAsia="楷体" w:cs="Times New Roman"/>
          <w:color w:val="000000"/>
          <w:sz w:val="21"/>
        </w:rPr>
        <w:t>合成孔径雷达（Synthetic Aperture Radar, SAR）图像在相干成像过程中不可避免地受到 speckle 噪声退化。该噪声通常表现为与后向散射强度相关的乘性扰动，其统计特性与光学图像中的加性高斯噪声存在显著差异。Speckle 噪声会引起局部灰度随机波动、边缘梯度响应衰减以及纹理结构混叠，从而降低 SAR 图像在目标检测、地物分类和变化检测等后续解译任务中的特征可分性。针对上述问题，本文围绕乘性 speckle 噪声抑制与结构细节保持之间的矛盾，构建了一种频域增强双域 SAR 图像去噪网络，实验模型记为 DFNG-SARNet（Dual-domain Frequency-enhanced Noise-gated SAR Despeckling Network）。</w:t>
      </w:r>
    </w:p>
    <w:p w14:paraId="7C77A616">
      <w:pPr>
        <w:spacing w:before="0" w:after="0" w:line="360" w:lineRule="auto"/>
        <w:ind w:firstLine="420"/>
        <w:jc w:val="both"/>
      </w:pPr>
      <w:r>
        <w:rPr>
          <w:rFonts w:ascii="Times New Roman" w:hAnsi="Times New Roman" w:eastAsia="楷体" w:cs="Times New Roman"/>
          <w:color w:val="000000"/>
          <w:sz w:val="21"/>
        </w:rPr>
        <w:t>DFNG-SARNet 以五阶段 Transformer 编码器和 CNN 解码器为基础主干，其中编码器用于提取跨尺度上下文表征，解码器用于逐级恢复空间分辨率并重建局部结构。区别于仅依赖空间域映射的去噪网络，本文将模型设计重心放在频域结构增强与双域协同恢复上：在解码阶段引入多尺度跳跃连接、FFT-based 频域增强模块、轻量噪声门控调制和残差重建单元，以提高模型对高频边缘、纹理细节和强散射结构的辨别能力；在图像恢复阶段构建 log-intensity 域主恢复分支与 original intensity 域残差补偿分支，使乘性扰动在 log 域中近似转化为可学习的加性分量，同时利用原始强度域信息补偿局部辐射强度与结构细节偏移。该设计使模型能够在 speckle 抑制、边缘保持和辐射一致性之间形成更稳定的联合优化。</w:t>
      </w:r>
    </w:p>
    <w:p w14:paraId="77D84F07">
      <w:pPr>
        <w:spacing w:before="0" w:after="0" w:line="360" w:lineRule="auto"/>
        <w:ind w:firstLine="420"/>
        <w:jc w:val="both"/>
      </w:pPr>
      <w:r>
        <w:rPr>
          <w:rFonts w:ascii="Times New Roman" w:hAnsi="Times New Roman" w:eastAsia="楷体" w:cs="Times New Roman"/>
          <w:color w:val="000000"/>
          <w:sz w:val="21"/>
        </w:rPr>
        <w:t xml:space="preserve">本文实验数据包括合成 SAR 数据与真实 SAR 数据。合成数据以 NWPU-RESISC45 作为主训练集，共包含 45 类场景、31500 幅图像，并按照 </w:t>
      </w:r>
      <w:r>
        <w:rPr>
          <w:rStyle w:val="38"/>
          <w:rFonts w:ascii="Times New Roman" w:hAnsi="Times New Roman" w:eastAsia="楷体" w:cs="Times New Roman"/>
          <w:color w:val="000000"/>
          <w:sz w:val="21"/>
        </w:rPr>
        <w:t>train:val=8:2</w:t>
      </w:r>
      <w:r>
        <w:rPr>
          <w:rFonts w:ascii="Times New Roman" w:hAnsi="Times New Roman" w:eastAsia="楷体" w:cs="Times New Roman"/>
          <w:color w:val="000000"/>
          <w:sz w:val="21"/>
        </w:rPr>
        <w:t xml:space="preserve"> 构建监督训练与验证数据。UCMerced_LandUse 数据集选取 agricultural、buildings 和 residential 三类典型场景作为外部合成 SAR 测试集，用于评价模型在不同地物结构条件下的泛化能力。真实 SAR 数据采用 </w:t>
      </w:r>
      <w:r>
        <w:rPr>
          <w:rStyle w:val="38"/>
          <w:rFonts w:ascii="Times New Roman" w:hAnsi="Times New Roman" w:eastAsia="楷体" w:cs="Times New Roman"/>
          <w:color w:val="000000"/>
          <w:sz w:val="21"/>
        </w:rPr>
        <w:t>Labeled dataset for despeckling SAR imagery</w:t>
      </w:r>
      <w:r>
        <w:rPr>
          <w:rFonts w:ascii="Times New Roman" w:hAnsi="Times New Roman" w:eastAsia="楷体" w:cs="Times New Roman"/>
          <w:color w:val="000000"/>
          <w:sz w:val="21"/>
        </w:rPr>
        <w:t xml:space="preserve">，共5876幅图像，按照 </w:t>
      </w:r>
      <w:r>
        <w:rPr>
          <w:rStyle w:val="38"/>
          <w:rFonts w:ascii="Times New Roman" w:hAnsi="Times New Roman" w:eastAsia="楷体" w:cs="Times New Roman"/>
          <w:color w:val="000000"/>
          <w:sz w:val="21"/>
        </w:rPr>
        <w:t>train:val:test=8:1:1</w:t>
      </w:r>
      <w:r>
        <w:rPr>
          <w:rFonts w:ascii="Times New Roman" w:hAnsi="Times New Roman" w:eastAsia="楷体" w:cs="Times New Roman"/>
          <w:color w:val="000000"/>
          <w:sz w:val="21"/>
        </w:rPr>
        <w:t xml:space="preserve"> 划分，用于真实 SAR 自监督适应训练、验证和无参考测试。真实测试阶段进一步将 test 子集划分为 homogeneous、structural 和 texture 三类场景，并采用 ENL、M 指标和 EPI 分别评价均匀区域 speckle 抑制、比值图结构残留和边缘保持能力。</w:t>
      </w:r>
    </w:p>
    <w:p w14:paraId="73199DC1">
      <w:pPr>
        <w:spacing w:before="0" w:after="0" w:line="360" w:lineRule="auto"/>
        <w:ind w:firstLine="420"/>
        <w:jc w:val="both"/>
      </w:pPr>
      <w:r>
        <w:rPr>
          <w:rFonts w:ascii="Times New Roman" w:hAnsi="Times New Roman" w:eastAsia="楷体" w:cs="Times New Roman"/>
          <w:color w:val="000000"/>
          <w:sz w:val="21"/>
        </w:rPr>
        <w:t>目前已完成 DFNG-SARNet 主体网络设计、去模块消融实验、合成 SAR 有参考评价、UCMerced 三类场景泛化测试、真实 SAR 自监督适应实验和真实 SAR 无参考评价。实验结果表明，完整模型在合成 SAR 数据上取得最高 PSNR 和 SSIM，各去模块版本均出现不同程度性能下降；其中，频域增强模块和双域恢复机制对有参考重建精度贡献最为显著。在真实 SAR 测试中，DFNG-SARNet+AMS 相较于未适应模型进一步提高 ENL 和 EPI，并降低 M 指标，表明遮挡重建式自监督适应能够缓解合成数据与真实 SAR 数据之间的域偏移。后续工作将在现有实验结果基础上补充与传统 SAR 去斑方法、有监督深度去噪方法以及自监督/无监督去噪方法的横向对比研究，并建立统一的局部结构细节可视化评价协议，在相同测试图像、相同局部区域和相同显示动态范围下分析不同方法在边缘、纹理、强散射点以及比值图结构残留方面的差异；同时进一步引入 SAR 舰船目标检测任务作为下游应用验证。前者用于明确所提模型相较既有方法在 speckle 抑制、结构保持和真实域适应方面的相对优势，后者用于评估去噪结果对 mAP、Precision、Recall、F1-score、漏检率和误检率等解译指标的实际影响。</w:t>
      </w:r>
    </w:p>
    <w:bookmarkEnd w:id="2"/>
    <w:p w14:paraId="10D45FE8">
      <w:pPr>
        <w:pStyle w:val="2"/>
        <w:spacing w:before="120" w:after="60" w:line="360" w:lineRule="auto"/>
        <w:ind w:firstLine="0"/>
        <w:jc w:val="left"/>
      </w:pPr>
      <w:bookmarkStart w:id="3" w:name="研究背景与研究目标"/>
      <w:r>
        <w:rPr>
          <w:rFonts w:ascii="Times New Roman" w:hAnsi="Times New Roman" w:eastAsia="黑体" w:cs="Times New Roman"/>
          <w:b/>
          <w:color w:val="000000"/>
          <w:sz w:val="28"/>
        </w:rPr>
        <w:t>1. 研究背景与研究目标</w:t>
      </w:r>
    </w:p>
    <w:p w14:paraId="6A618E1F">
      <w:pPr>
        <w:pStyle w:val="4"/>
        <w:spacing w:before="120" w:after="60" w:line="360" w:lineRule="auto"/>
        <w:ind w:firstLine="0"/>
        <w:jc w:val="left"/>
      </w:pPr>
      <w:bookmarkStart w:id="4" w:name="sar-图像斑点噪声特性"/>
      <w:r>
        <w:rPr>
          <w:rFonts w:ascii="Times New Roman" w:hAnsi="Times New Roman" w:eastAsia="黑体" w:cs="Times New Roman"/>
          <w:b/>
          <w:color w:val="000000"/>
          <w:sz w:val="24"/>
        </w:rPr>
        <w:t>1.1 SAR 图像斑点噪声特性</w:t>
      </w:r>
    </w:p>
    <w:p w14:paraId="1B34AF8E">
      <w:pPr>
        <w:spacing w:before="0" w:after="0" w:line="360" w:lineRule="auto"/>
        <w:ind w:firstLine="420"/>
        <w:jc w:val="both"/>
      </w:pPr>
      <w:r>
        <w:rPr>
          <w:rFonts w:ascii="Times New Roman" w:hAnsi="Times New Roman" w:eastAsia="楷体" w:cs="Times New Roman"/>
          <w:color w:val="000000"/>
          <w:sz w:val="21"/>
        </w:rPr>
        <w:t>SAR 图像由主动微波成像系统获得，其成像结果主要反映地物后向散射特性。与光学图像不同，SAR 图像的灰度分布受入射角、极化方式、地物粗糙度、介电常数和成像几何条件影响。因此，SAR 图像在地物结构表达、目标边界响应和纹理分布方面具有较强的非均匀性。</w:t>
      </w:r>
    </w:p>
    <w:p w14:paraId="41CE8F77">
      <w:pPr>
        <w:spacing w:before="0" w:after="0" w:line="360" w:lineRule="auto"/>
        <w:ind w:firstLine="420"/>
        <w:jc w:val="both"/>
      </w:pPr>
      <w:r>
        <w:rPr>
          <w:rFonts w:ascii="Times New Roman" w:hAnsi="Times New Roman" w:eastAsia="楷体" w:cs="Times New Roman"/>
          <w:color w:val="000000"/>
          <w:sz w:val="21"/>
        </w:rPr>
        <w:t>在 SAR 相干成像过程中，同一分辨单元内多个散射体的回波信号会发生随机相干叠加，导致图像中产生斑点噪声。对于强度 SAR 图像，常用乘性噪声模型表示为：</w:t>
      </w:r>
    </w:p>
    <w:p w14:paraId="799CCF2D">
      <w:pPr>
        <w:tabs>
          <w:tab w:val="center" w:pos="4155"/>
          <w:tab w:val="right" w:pos="8310"/>
        </w:tabs>
        <w:spacing w:before="120" w:after="120" w:line="360" w:lineRule="auto"/>
        <w:jc w:val="left"/>
      </w:pPr>
      <w:r>
        <w:tab/>
      </w:r>
      <m:oMath>
        <m:r>
          <m:rPr/>
          <m:t>Y</m:t>
        </m:r>
        <m:r>
          <m:rPr>
            <m:sty m:val="p"/>
          </m:rPr>
          <m:t>=</m:t>
        </m:r>
        <m:r>
          <m:rPr/>
          <m:t>X</m:t>
        </m:r>
        <m:r>
          <m:rPr>
            <m:sty m:val="p"/>
          </m:rPr>
          <m:t>⋅</m:t>
        </m:r>
        <m:r>
          <m:rPr/>
          <m:t>N</m:t>
        </m:r>
      </m:oMath>
      <w:r>
        <w:rPr>
          <w:rFonts w:ascii="Times New Roman" w:hAnsi="Times New Roman" w:eastAsia="宋体"/>
          <w:sz w:val="21"/>
          <w:szCs w:val="21"/>
        </w:rPr>
        <w:tab/>
      </w:r>
      <w:r>
        <w:rPr>
          <w:rFonts w:ascii="Times New Roman" w:hAnsi="Times New Roman" w:eastAsia="宋体"/>
          <w:sz w:val="21"/>
          <w:szCs w:val="21"/>
        </w:rPr>
        <w:t>（1）</w:t>
      </w:r>
    </w:p>
    <w:p w14:paraId="2CF855B3">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Y</w:t>
      </w:r>
      <w:r>
        <w:rPr>
          <w:rFonts w:ascii="Times New Roman" w:hAnsi="Times New Roman" w:eastAsia="楷体" w:cs="Times New Roman"/>
          <w:color w:val="000000"/>
          <w:sz w:val="21"/>
        </w:rPr>
        <w:t xml:space="preserve"> 表示观测 SAR 图像，</w:t>
      </w:r>
      <w:r>
        <w:rPr>
          <w:rStyle w:val="38"/>
          <w:rFonts w:ascii="Times New Roman" w:hAnsi="Times New Roman" w:eastAsia="楷体" w:cs="Times New Roman"/>
          <w:color w:val="000000"/>
          <w:sz w:val="21"/>
        </w:rPr>
        <w:t>X</w:t>
      </w:r>
      <w:r>
        <w:rPr>
          <w:rFonts w:ascii="Times New Roman" w:hAnsi="Times New Roman" w:eastAsia="楷体" w:cs="Times New Roman"/>
          <w:color w:val="000000"/>
          <w:sz w:val="21"/>
        </w:rPr>
        <w:t xml:space="preserve"> 表示理想无噪声反射率图像，</w:t>
      </w:r>
      <w:r>
        <w:rPr>
          <w:rStyle w:val="38"/>
          <w:rFonts w:ascii="Times New Roman" w:hAnsi="Times New Roman" w:eastAsia="楷体" w:cs="Times New Roman"/>
          <w:color w:val="000000"/>
          <w:sz w:val="21"/>
        </w:rPr>
        <w:t>N</w:t>
      </w:r>
      <w:r>
        <w:rPr>
          <w:rFonts w:ascii="Times New Roman" w:hAnsi="Times New Roman" w:eastAsia="楷体" w:cs="Times New Roman"/>
          <w:color w:val="000000"/>
          <w:sz w:val="21"/>
        </w:rPr>
        <w:t xml:space="preserve"> 表示乘性 speckle 噪声。该模型表明，噪声幅度与图像信号强度相关，因此 SAR 图像去噪不能简单等同于普通光学图像的加性噪声去除任务。若直接采用面向加性高斯噪声的图像恢复方法，模型容易在高散射区域残留噪声，在弱纹理区域产生过平滑，并在边缘区域造成结构响应衰减。</w:t>
      </w:r>
    </w:p>
    <w:bookmarkEnd w:id="4"/>
    <w:p w14:paraId="68169CB7">
      <w:pPr>
        <w:pStyle w:val="4"/>
        <w:spacing w:before="120" w:after="60" w:line="360" w:lineRule="auto"/>
        <w:ind w:firstLine="0"/>
        <w:jc w:val="left"/>
      </w:pPr>
      <w:bookmarkStart w:id="5" w:name="sar-去噪方法研究现状与不足"/>
      <w:r>
        <w:rPr>
          <w:rFonts w:ascii="Times New Roman" w:hAnsi="Times New Roman" w:eastAsia="黑体" w:cs="Times New Roman"/>
          <w:b/>
          <w:color w:val="000000"/>
          <w:sz w:val="24"/>
        </w:rPr>
        <w:t>1.2 SAR 去噪方法研究现状与不足</w:t>
      </w:r>
    </w:p>
    <w:p w14:paraId="19A6E60D">
      <w:pPr>
        <w:spacing w:before="0" w:after="0" w:line="360" w:lineRule="auto"/>
        <w:ind w:firstLine="420"/>
        <w:jc w:val="both"/>
      </w:pPr>
      <w:r>
        <w:rPr>
          <w:rFonts w:ascii="Times New Roman" w:hAnsi="Times New Roman" w:eastAsia="楷体" w:cs="Times New Roman"/>
          <w:color w:val="000000"/>
          <w:sz w:val="21"/>
        </w:rPr>
        <w:t>传统 SAR 去斑方法主要包括 Lee 滤波、Kuan 滤波、Frost 滤波、非局部均值方法、NL-SAR 和 SAR-BM3D 等。这类方法通常依赖局部统计模型、非局部相似性搜索或变换域稀疏先验，在均匀区域能够获得一定的 speckle 平滑效果。然而，SAR 图像中建筑边缘、道路纹理、农田周期结构和强散射点往往与噪声同处于高频分量中。若模型仅依赖固定窗口统计或手工设计先验，容易将真实高频结构误判为噪声，进而产生边缘模糊、纹理损失和辐射响应削弱等问题。</w:t>
      </w:r>
    </w:p>
    <w:p w14:paraId="0023AA1B">
      <w:pPr>
        <w:spacing w:before="0" w:after="0" w:line="360" w:lineRule="auto"/>
        <w:ind w:firstLine="420"/>
        <w:jc w:val="both"/>
      </w:pPr>
      <w:r>
        <w:rPr>
          <w:rFonts w:ascii="Times New Roman" w:hAnsi="Times New Roman" w:eastAsia="楷体" w:cs="Times New Roman"/>
          <w:color w:val="000000"/>
          <w:sz w:val="21"/>
        </w:rPr>
        <w:t>深度学习方法能够通过端到端优化学习 noisy SAR 图像到 clean reference 图像之间的非线性映射，已成为 SAR 图像复原的重要技术路线。相关综述与近期研究表明，监督学习、半监督学习、自监督学习、对比学习和扩散模型已逐步成为 SAR 去斑研究中的重要分支。CNN 具有明确的局部归纳偏置，适合恢复邻域纹理、边缘和散射点结构；Transformer 能够通过自注意力机制建模长距离依赖，适合提取大范围上下文信息。然而，单一空间域网络通常需要在 speckle 抑制和纹理保持之间进行隐式折中，难以显式区分噪声高频扰动与真实结构高频响应。与此同时，合成 SAR 数据与真实 SAR 数据之间存在噪声统计、成像几何和系统扰动差异，仅依赖合成监督训练可能导致真实场景泛化不足。</w:t>
      </w:r>
    </w:p>
    <w:p w14:paraId="0AB61402">
      <w:pPr>
        <w:spacing w:before="0" w:after="0" w:line="360" w:lineRule="auto"/>
        <w:ind w:firstLine="420"/>
        <w:jc w:val="both"/>
      </w:pPr>
      <w:r>
        <w:rPr>
          <w:rFonts w:ascii="Times New Roman" w:hAnsi="Times New Roman" w:eastAsia="楷体" w:cs="Times New Roman"/>
          <w:color w:val="000000"/>
          <w:sz w:val="21"/>
        </w:rPr>
        <w:t>基于上述分析，本文将研究重点从单纯的噪声感知映射转向面向 SAR 乘性退化特性的频域—双域协同恢复。模型在编码端利用 Transformer 提取多尺度上下文，在解码端利用 CNN 和跳跃连接恢复局部结构，并通过 FFT-based 频域增强显式建模高频结构响应；同时引入 log-intensity 域恢复和 original intensity 域残差补偿，使网络同时适配乘性噪声的统计形式和原始强度域的辐射细节。噪声先验在本文中作为解码阶段的轻量门控调制机制，用于提高模型对空间非均匀 speckle 的局部适应能力，而非作为整体网络的唯一核心。</w:t>
      </w:r>
    </w:p>
    <w:bookmarkEnd w:id="5"/>
    <w:p w14:paraId="6A343371">
      <w:pPr>
        <w:pStyle w:val="4"/>
        <w:spacing w:before="120" w:after="60" w:line="360" w:lineRule="auto"/>
        <w:ind w:firstLine="0"/>
        <w:jc w:val="left"/>
      </w:pPr>
      <w:bookmarkStart w:id="6" w:name="本文研究目标与技术路线"/>
      <w:r>
        <w:rPr>
          <w:rFonts w:ascii="Times New Roman" w:hAnsi="Times New Roman" w:eastAsia="黑体" w:cs="Times New Roman"/>
          <w:b/>
          <w:color w:val="000000"/>
          <w:sz w:val="24"/>
        </w:rPr>
        <w:t>1.3 本文研究目标与技术路线</w:t>
      </w:r>
    </w:p>
    <w:p w14:paraId="13EA47BE">
      <w:pPr>
        <w:spacing w:before="0" w:after="0" w:line="360" w:lineRule="auto"/>
        <w:ind w:firstLine="420"/>
        <w:jc w:val="both"/>
      </w:pPr>
      <w:r>
        <w:rPr>
          <w:rFonts w:ascii="Times New Roman" w:hAnsi="Times New Roman" w:eastAsia="楷体" w:cs="Times New Roman"/>
          <w:color w:val="000000"/>
          <w:sz w:val="21"/>
        </w:rPr>
        <w:t>与开题报告中的原始研究计划相比，本阶段研究对技术路线进行了收敛和细化。开题阶段提出的研究内容包括 SAR 噪声模型分析、深度去噪网络设计、自监督去噪方法和目标检测应用验证。中期阶段将上述内容具体化为 DFNG-SARNet 及其真实 SAR 自监督适应策略。该网络保留了原计划中全局上下文建模、局部结构恢复、真实 SAR 适应和下游应用验证的研究主线，但将模型创新重心进一步聚焦于频域结构增强、log-intensity/original intensity 双域恢复和真实域遮挡重建式自监督适应。</w:t>
      </w:r>
    </w:p>
    <w:p w14:paraId="5EEB9BCD">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本文研究目标包括三个方面。其一，构建适用于 SAR 乘性 speckle 噪声的频域增强双域去噪网络，通过 Transformer 编码器、CNN 解码器、FFT 频域细化和双域残差补偿实现噪声抑制与结构保持的联合优化。其二，设计真实 SAR 自监督适应流程，降低模型对 clean label 的依赖，并缓解合成数据与真实 SAR 数据之间的域偏移。其三，引入 SAR 舰船目标检测任务作为下游应用验证，从图像复原指标和解译任务指标两个层面评价去噪模型的实际有效性。</w:t>
      </w:r>
    </w:p>
    <w:p w14:paraId="1F438283">
      <w:pPr>
        <w:spacing w:before="0" w:after="0" w:line="360" w:lineRule="auto"/>
        <w:ind w:left="0" w:leftChars="0" w:firstLine="0" w:firstLineChars="0"/>
        <w:jc w:val="both"/>
      </w:pPr>
      <w:r>
        <w:rPr>
          <w:rFonts w:hint="eastAsia" w:ascii="Times New Roman" w:hAnsi="Times New Roman" w:eastAsia="楷体" w:cs="Times New Roman"/>
          <w:color w:val="000000"/>
          <w:sz w:val="21"/>
          <w:lang w:eastAsia="zh-CN"/>
        </w:rPr>
        <w:drawing>
          <wp:inline distT="0" distB="0" distL="114300" distR="114300">
            <wp:extent cx="5347335" cy="1728470"/>
            <wp:effectExtent l="0" t="0" r="1905" b="8890"/>
            <wp:docPr id="1" name="图片 1"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
                    <pic:cNvPicPr>
                      <a:picLocks noChangeAspect="1"/>
                    </pic:cNvPicPr>
                  </pic:nvPicPr>
                  <pic:blipFill>
                    <a:blip r:embed="rId6"/>
                    <a:srcRect t="19264" b="23309"/>
                    <a:stretch>
                      <a:fillRect/>
                    </a:stretch>
                  </pic:blipFill>
                  <pic:spPr>
                    <a:xfrm>
                      <a:off x="0" y="0"/>
                      <a:ext cx="5347335" cy="1728470"/>
                    </a:xfrm>
                    <a:prstGeom prst="rect">
                      <a:avLst/>
                    </a:prstGeom>
                  </pic:spPr>
                </pic:pic>
              </a:graphicData>
            </a:graphic>
          </wp:inline>
        </w:drawing>
      </w:r>
    </w:p>
    <w:p w14:paraId="6BE2CA00">
      <w:pPr>
        <w:pStyle w:val="12"/>
        <w:spacing w:before="60" w:after="60" w:line="240" w:lineRule="auto"/>
        <w:jc w:val="center"/>
      </w:pPr>
      <w:r>
        <w:rPr>
          <w:rFonts w:ascii="楷体" w:hAnsi="楷体" w:eastAsia="楷体" w:cs="楷体"/>
          <w:b w:val="0"/>
          <w:i w:val="0"/>
          <w:color w:val="000000"/>
          <w:sz w:val="18"/>
        </w:rPr>
        <w:t>图1 总体研究技术路线图</w:t>
      </w:r>
    </w:p>
    <w:bookmarkEnd w:id="3"/>
    <w:bookmarkEnd w:id="6"/>
    <w:p w14:paraId="56C7B28B">
      <w:pPr>
        <w:pStyle w:val="2"/>
        <w:spacing w:before="120" w:after="60" w:line="360" w:lineRule="auto"/>
        <w:ind w:firstLine="0"/>
        <w:jc w:val="left"/>
      </w:pPr>
      <w:bookmarkStart w:id="7" w:name="频域增强双域-sar-去噪方法"/>
      <w:r>
        <w:rPr>
          <w:rFonts w:ascii="Times New Roman" w:hAnsi="Times New Roman" w:eastAsia="黑体" w:cs="Times New Roman"/>
          <w:b/>
          <w:color w:val="000000"/>
          <w:sz w:val="28"/>
        </w:rPr>
        <w:t>2. 频域增强双域 SAR 去噪方法</w:t>
      </w:r>
    </w:p>
    <w:p w14:paraId="0B0A2852">
      <w:pPr>
        <w:pStyle w:val="4"/>
        <w:spacing w:before="120" w:after="60" w:line="360" w:lineRule="auto"/>
        <w:ind w:firstLine="0"/>
        <w:jc w:val="left"/>
      </w:pPr>
      <w:bookmarkStart w:id="8" w:name="总体网络结构"/>
      <w:r>
        <w:rPr>
          <w:rFonts w:ascii="Times New Roman" w:hAnsi="Times New Roman" w:eastAsia="黑体" w:cs="Times New Roman"/>
          <w:b/>
          <w:color w:val="000000"/>
          <w:sz w:val="24"/>
        </w:rPr>
        <w:t>2.1 总体网络结构</w:t>
      </w:r>
    </w:p>
    <w:p w14:paraId="35B32158">
      <w:pPr>
        <w:spacing w:before="0" w:after="0" w:line="360" w:lineRule="auto"/>
        <w:ind w:firstLine="420"/>
        <w:jc w:val="both"/>
      </w:pPr>
      <w:r>
        <w:rPr>
          <w:rFonts w:ascii="Times New Roman" w:hAnsi="Times New Roman" w:eastAsia="楷体" w:cs="Times New Roman"/>
          <w:color w:val="000000"/>
          <w:sz w:val="21"/>
        </w:rPr>
        <w:t xml:space="preserve">DFNG-SARNet 是本文构建的频域增强双域 SAR 去噪网络。该名称中的 </w:t>
      </w:r>
      <w:r>
        <w:rPr>
          <w:rStyle w:val="38"/>
          <w:rFonts w:ascii="Times New Roman" w:hAnsi="Times New Roman" w:eastAsia="楷体" w:cs="Times New Roman"/>
          <w:color w:val="000000"/>
          <w:sz w:val="21"/>
        </w:rPr>
        <w:t>D</w:t>
      </w:r>
      <w:r>
        <w:rPr>
          <w:rFonts w:ascii="Times New Roman" w:hAnsi="Times New Roman" w:eastAsia="楷体" w:cs="Times New Roman"/>
          <w:color w:val="000000"/>
          <w:sz w:val="21"/>
        </w:rPr>
        <w:t xml:space="preserve"> 表示 dual-domain 双域恢复机制，</w:t>
      </w:r>
      <w:r>
        <w:rPr>
          <w:rStyle w:val="38"/>
          <w:rFonts w:ascii="Times New Roman" w:hAnsi="Times New Roman" w:eastAsia="楷体" w:cs="Times New Roman"/>
          <w:color w:val="000000"/>
          <w:sz w:val="21"/>
        </w:rPr>
        <w:t>F</w:t>
      </w:r>
      <w:r>
        <w:rPr>
          <w:rFonts w:ascii="Times New Roman" w:hAnsi="Times New Roman" w:eastAsia="楷体" w:cs="Times New Roman"/>
          <w:color w:val="000000"/>
          <w:sz w:val="21"/>
        </w:rPr>
        <w:t xml:space="preserve"> 表示 frequency-enhanced 频域结构增强，</w:t>
      </w:r>
      <w:r>
        <w:rPr>
          <w:rStyle w:val="38"/>
          <w:rFonts w:ascii="Times New Roman" w:hAnsi="Times New Roman" w:eastAsia="楷体" w:cs="Times New Roman"/>
          <w:color w:val="000000"/>
          <w:sz w:val="21"/>
        </w:rPr>
        <w:t>NG</w:t>
      </w:r>
      <w:r>
        <w:rPr>
          <w:rFonts w:ascii="Times New Roman" w:hAnsi="Times New Roman" w:eastAsia="楷体" w:cs="Times New Roman"/>
          <w:color w:val="000000"/>
          <w:sz w:val="21"/>
        </w:rPr>
        <w:t xml:space="preserve"> 表示 noise-gated 噪声门控调制。需要强调的是，本文的核心结构并非单一的噪声引导 Transformer，而是由频域增强、双域恢复和多尺度解码共同组成的 SAR speckle 去噪框架；噪声先验图在该框架中作为解码阶段的辅助调制信息，用于增强空间非均匀噪声条件下的局部自适应恢复能力。</w:t>
      </w:r>
    </w:p>
    <w:p w14:paraId="79C3694D">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 xml:space="preserve">从前向传播流程看，输入 SAR 强度图像首先被约束到 </w:t>
      </w:r>
      <w:r>
        <w:rPr>
          <w:rStyle w:val="38"/>
          <w:rFonts w:ascii="Times New Roman" w:hAnsi="Times New Roman" w:eastAsia="楷体" w:cs="Times New Roman"/>
          <w:color w:val="000000"/>
          <w:sz w:val="21"/>
        </w:rPr>
        <w:t>[0,1]</w:t>
      </w:r>
      <w:r>
        <w:rPr>
          <w:rFonts w:ascii="Times New Roman" w:hAnsi="Times New Roman" w:eastAsia="楷体" w:cs="Times New Roman"/>
          <w:color w:val="000000"/>
          <w:sz w:val="21"/>
        </w:rPr>
        <w:t xml:space="preserve"> 范围，并通过 </w:t>
      </w:r>
      <w:r>
        <w:rPr>
          <w:rStyle w:val="38"/>
          <w:rFonts w:ascii="Times New Roman" w:hAnsi="Times New Roman" w:eastAsia="楷体" w:cs="Times New Roman"/>
          <w:color w:val="000000"/>
          <w:sz w:val="21"/>
        </w:rPr>
        <w:t>log_transform_01</w:t>
      </w:r>
      <w:r>
        <w:rPr>
          <w:rFonts w:ascii="Times New Roman" w:hAnsi="Times New Roman" w:eastAsia="楷体" w:cs="Times New Roman"/>
          <w:color w:val="000000"/>
          <w:sz w:val="21"/>
        </w:rPr>
        <w:t xml:space="preserve"> 构造 log-intensity 表示。log 域输入进入由五阶段 Transformer 编码器、瓶颈特征增强模块和频域增强噪声门控解码器组成的主恢复分支，得到初步恢复结果 </w:t>
      </w:r>
      <w:r>
        <w:rPr>
          <w:rStyle w:val="38"/>
          <w:rFonts w:ascii="Times New Roman" w:hAnsi="Times New Roman" w:eastAsia="楷体" w:cs="Times New Roman"/>
          <w:color w:val="000000"/>
          <w:sz w:val="21"/>
        </w:rPr>
        <w:t>X_log</w:t>
      </w:r>
      <w:r>
        <w:rPr>
          <w:rFonts w:ascii="Times New Roman" w:hAnsi="Times New Roman" w:eastAsia="楷体" w:cs="Times New Roman"/>
          <w:color w:val="000000"/>
          <w:sz w:val="21"/>
        </w:rPr>
        <w:t xml:space="preserve">。随后，原始强度域输入 </w:t>
      </w:r>
      <w:r>
        <w:rPr>
          <w:rStyle w:val="38"/>
          <w:rFonts w:ascii="Times New Roman" w:hAnsi="Times New Roman" w:eastAsia="楷体" w:cs="Times New Roman"/>
          <w:color w:val="000000"/>
          <w:sz w:val="21"/>
        </w:rPr>
        <w:t>Y</w:t>
      </w:r>
      <w:r>
        <w:rPr>
          <w:rFonts w:ascii="Times New Roman" w:hAnsi="Times New Roman" w:eastAsia="楷体" w:cs="Times New Roman"/>
          <w:color w:val="000000"/>
          <w:sz w:val="21"/>
        </w:rPr>
        <w:t xml:space="preserve"> 与 log 域恢复结果 </w:t>
      </w:r>
      <w:r>
        <w:rPr>
          <w:rStyle w:val="38"/>
          <w:rFonts w:ascii="Times New Roman" w:hAnsi="Times New Roman" w:eastAsia="楷体" w:cs="Times New Roman"/>
          <w:color w:val="000000"/>
          <w:sz w:val="21"/>
        </w:rPr>
        <w:t>X_log</w:t>
      </w:r>
      <w:r>
        <w:rPr>
          <w:rFonts w:ascii="Times New Roman" w:hAnsi="Times New Roman" w:eastAsia="楷体" w:cs="Times New Roman"/>
          <w:color w:val="000000"/>
          <w:sz w:val="21"/>
        </w:rPr>
        <w:t xml:space="preserve"> 共同输入 </w:t>
      </w:r>
      <w:r>
        <w:rPr>
          <w:rStyle w:val="38"/>
          <w:rFonts w:ascii="Times New Roman" w:hAnsi="Times New Roman" w:eastAsia="楷体" w:cs="Times New Roman"/>
          <w:color w:val="000000"/>
          <w:sz w:val="21"/>
        </w:rPr>
        <w:t>DualDomainFusion</w:t>
      </w:r>
      <w:r>
        <w:rPr>
          <w:rFonts w:ascii="Times New Roman" w:hAnsi="Times New Roman" w:eastAsia="楷体" w:cs="Times New Roman"/>
          <w:color w:val="000000"/>
          <w:sz w:val="21"/>
        </w:rPr>
        <w:t>，通过轻量卷积生成残差修正项，用于补偿 log 域压缩可能带来的局部亮度偏移和结构细节损失。若进一步在真实 SAR 数据上执行遮挡重建式自监督适应训练，则得到最终实验版本 DFNG-SARNet+AMS。</w:t>
      </w:r>
    </w:p>
    <w:p w14:paraId="3DBC1584">
      <w:pPr>
        <w:spacing w:before="0" w:after="0" w:line="360" w:lineRule="auto"/>
        <w:ind w:firstLine="420"/>
        <w:jc w:val="both"/>
        <w:rPr>
          <w:rFonts w:ascii="Times New Roman" w:hAnsi="Times New Roman" w:eastAsia="楷体" w:cs="Times New Roman"/>
          <w:color w:val="000000"/>
          <w:sz w:val="21"/>
        </w:rPr>
      </w:pPr>
    </w:p>
    <w:p w14:paraId="213171D4">
      <w:pPr>
        <w:spacing w:before="0" w:after="0" w:line="360" w:lineRule="auto"/>
        <w:ind w:left="0" w:leftChars="0" w:firstLine="0" w:firstLineChars="0"/>
        <w:jc w:val="both"/>
      </w:pPr>
      <w:r>
        <w:rPr>
          <w:rFonts w:hint="eastAsia" w:ascii="Times New Roman" w:hAnsi="Times New Roman" w:eastAsia="楷体" w:cs="Times New Roman"/>
          <w:color w:val="000000"/>
          <w:sz w:val="21"/>
          <w:lang w:eastAsia="zh-CN"/>
        </w:rPr>
        <w:drawing>
          <wp:inline distT="0" distB="0" distL="114300" distR="114300">
            <wp:extent cx="5483225" cy="3086735"/>
            <wp:effectExtent l="0" t="0" r="3175" b="6985"/>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7"/>
                    <a:stretch>
                      <a:fillRect/>
                    </a:stretch>
                  </pic:blipFill>
                  <pic:spPr>
                    <a:xfrm>
                      <a:off x="0" y="0"/>
                      <a:ext cx="5483225" cy="3086735"/>
                    </a:xfrm>
                    <a:prstGeom prst="rect">
                      <a:avLst/>
                    </a:prstGeom>
                  </pic:spPr>
                </pic:pic>
              </a:graphicData>
            </a:graphic>
          </wp:inline>
        </w:drawing>
      </w:r>
    </w:p>
    <w:p w14:paraId="225CF38D">
      <w:pPr>
        <w:pStyle w:val="12"/>
        <w:spacing w:before="60" w:after="60" w:line="240" w:lineRule="auto"/>
        <w:jc w:val="center"/>
      </w:pPr>
      <w:r>
        <w:rPr>
          <w:rFonts w:ascii="楷体" w:hAnsi="楷体" w:eastAsia="楷体" w:cs="楷体"/>
          <w:b w:val="0"/>
          <w:i w:val="0"/>
          <w:color w:val="000000"/>
          <w:sz w:val="18"/>
        </w:rPr>
        <w:t>图2 DFNG-SARNet 总体网络结构图</w:t>
      </w:r>
    </w:p>
    <w:p w14:paraId="525A7C8A">
      <w:pPr>
        <w:spacing w:before="0" w:after="0" w:line="360" w:lineRule="auto"/>
        <w:ind w:firstLine="420"/>
        <w:jc w:val="both"/>
        <w:rPr>
          <w:rFonts w:ascii="Times New Roman" w:hAnsi="Times New Roman" w:eastAsia="楷体" w:cs="Times New Roman"/>
          <w:color w:val="000000"/>
          <w:sz w:val="21"/>
        </w:rPr>
      </w:pPr>
    </w:p>
    <w:p w14:paraId="4CFC123A">
      <w:pPr>
        <w:spacing w:before="0" w:after="0" w:line="360" w:lineRule="auto"/>
        <w:ind w:firstLine="420"/>
        <w:jc w:val="both"/>
      </w:pPr>
      <w:r>
        <w:rPr>
          <w:rFonts w:ascii="Times New Roman" w:hAnsi="Times New Roman" w:eastAsia="楷体" w:cs="Times New Roman"/>
          <w:color w:val="000000"/>
          <w:sz w:val="21"/>
        </w:rPr>
        <w:t xml:space="preserve">DFNG-SARNet 的主干采用编码器—解码器结构。本文所有训练、验证和测试实验均采用 </w:t>
      </w:r>
      <w:r>
        <w:rPr>
          <w:rStyle w:val="38"/>
          <w:rFonts w:ascii="Times New Roman" w:hAnsi="Times New Roman" w:eastAsia="楷体" w:cs="Times New Roman"/>
          <w:color w:val="000000"/>
          <w:sz w:val="21"/>
        </w:rPr>
        <w:t>batch size=1</w:t>
      </w:r>
      <w:r>
        <w:rPr>
          <w:rFonts w:ascii="Times New Roman" w:hAnsi="Times New Roman" w:eastAsia="楷体" w:cs="Times New Roman"/>
          <w:color w:val="000000"/>
          <w:sz w:val="21"/>
        </w:rPr>
        <w:t xml:space="preserve">，因此单通道 SAR 图像的输入张量尺寸为 </w:t>
      </w:r>
      <w:r>
        <w:rPr>
          <w:rStyle w:val="38"/>
          <w:rFonts w:ascii="Times New Roman" w:hAnsi="Times New Roman" w:eastAsia="楷体" w:cs="Times New Roman"/>
          <w:color w:val="000000"/>
          <w:sz w:val="21"/>
        </w:rPr>
        <w:t>[1, 1, 256, 256]</w:t>
      </w:r>
      <w:r>
        <w:rPr>
          <w:rFonts w:ascii="Times New Roman" w:hAnsi="Times New Roman" w:eastAsia="楷体" w:cs="Times New Roman"/>
          <w:color w:val="000000"/>
          <w:sz w:val="21"/>
        </w:rPr>
        <w:t>。编码端采用五阶段重叠块 Transformer 编码器提取多尺度上下文特征，解码端通过频域增强与卷积重建逐级恢复空间分辨率。编码器负责建模 SAR 图像中的长距离依赖关系和区域上下文信息，解码器负责利用局部卷积约束恢复边缘、纹理和强散射点等细粒度结构。</w:t>
      </w:r>
    </w:p>
    <w:p w14:paraId="2AB3B954">
      <w:pPr>
        <w:spacing w:before="0" w:after="0" w:line="360" w:lineRule="auto"/>
        <w:ind w:firstLine="420"/>
        <w:jc w:val="both"/>
      </w:pPr>
      <w:r>
        <w:rPr>
          <w:rFonts w:ascii="Times New Roman" w:hAnsi="Times New Roman" w:eastAsia="楷体" w:cs="Times New Roman"/>
          <w:color w:val="000000"/>
          <w:sz w:val="21"/>
        </w:rPr>
        <w:t>SAR 图像去噪同时要求均匀区域的 speckle 抑制和结构区域的边缘保持。单纯依赖局部卷积容易受感受野限制，单纯依赖 Transformer 又可能在高分辨率恢复阶段缺少稳定的局部细节约束。因此，本文采用 Transformer 编码器与 CNN 解码器协同建模，并进一步在解码阶段引入频域增强和双域残差补偿，使网络同时具备全局上下文表达能力、局部结构恢复能力和乘性噪声适配能力。</w:t>
      </w:r>
    </w:p>
    <w:bookmarkEnd w:id="8"/>
    <w:p w14:paraId="665F8417">
      <w:pPr>
        <w:pStyle w:val="4"/>
        <w:spacing w:before="120" w:after="60" w:line="360" w:lineRule="auto"/>
        <w:ind w:firstLine="0"/>
        <w:jc w:val="left"/>
      </w:pPr>
      <w:bookmarkStart w:id="9" w:name="五阶段-transformer-编码器"/>
      <w:r>
        <w:rPr>
          <w:rFonts w:ascii="Times New Roman" w:hAnsi="Times New Roman" w:eastAsia="黑体" w:cs="Times New Roman"/>
          <w:b/>
          <w:color w:val="000000"/>
          <w:sz w:val="24"/>
        </w:rPr>
        <w:t>2.2 五阶段 Transformer 编码器</w:t>
      </w:r>
    </w:p>
    <w:p w14:paraId="17056324">
      <w:pPr>
        <w:spacing w:before="0" w:after="0" w:line="360" w:lineRule="auto"/>
        <w:ind w:firstLine="420"/>
        <w:jc w:val="both"/>
      </w:pPr>
      <w:r>
        <w:rPr>
          <w:rFonts w:ascii="Times New Roman" w:hAnsi="Times New Roman" w:eastAsia="楷体" w:cs="Times New Roman"/>
          <w:color w:val="000000"/>
          <w:sz w:val="21"/>
        </w:rPr>
        <w:t xml:space="preserve">编码器采用五阶段重叠块 Transformer 结构，共包含五个层级。每个层级由重叠块嵌入（overlap patch embedding）和 Transformer Block 组成。各阶段嵌入维度设置为 </w:t>
      </w:r>
      <w:r>
        <w:rPr>
          <w:rStyle w:val="38"/>
          <w:rFonts w:ascii="Times New Roman" w:hAnsi="Times New Roman" w:eastAsia="楷体" w:cs="Times New Roman"/>
          <w:color w:val="000000"/>
          <w:sz w:val="21"/>
        </w:rPr>
        <w:t>[32, 64, 128, 320, 512]</w:t>
      </w:r>
      <w:r>
        <w:rPr>
          <w:rFonts w:ascii="Times New Roman" w:hAnsi="Times New Roman" w:eastAsia="楷体" w:cs="Times New Roman"/>
          <w:color w:val="000000"/>
          <w:sz w:val="21"/>
        </w:rPr>
        <w:t xml:space="preserve">，注意力头数设置为 </w:t>
      </w:r>
      <w:r>
        <w:rPr>
          <w:rStyle w:val="38"/>
          <w:rFonts w:ascii="Times New Roman" w:hAnsi="Times New Roman" w:eastAsia="楷体" w:cs="Times New Roman"/>
          <w:color w:val="000000"/>
          <w:sz w:val="21"/>
        </w:rPr>
        <w:t>[1, 1, 2, 4, 8]</w:t>
      </w:r>
      <w:r>
        <w:rPr>
          <w:rFonts w:ascii="Times New Roman" w:hAnsi="Times New Roman" w:eastAsia="楷体" w:cs="Times New Roman"/>
          <w:color w:val="000000"/>
          <w:sz w:val="21"/>
        </w:rPr>
        <w:t xml:space="preserve">，深度设置为 </w:t>
      </w:r>
      <w:r>
        <w:rPr>
          <w:rStyle w:val="38"/>
          <w:rFonts w:ascii="Times New Roman" w:hAnsi="Times New Roman" w:eastAsia="楷体" w:cs="Times New Roman"/>
          <w:color w:val="000000"/>
          <w:sz w:val="21"/>
        </w:rPr>
        <w:t>[3, 3, 4, 6, 3]</w:t>
      </w:r>
      <w:r>
        <w:rPr>
          <w:rFonts w:ascii="Times New Roman" w:hAnsi="Times New Roman" w:eastAsia="楷体" w:cs="Times New Roman"/>
          <w:color w:val="000000"/>
          <w:sz w:val="21"/>
        </w:rPr>
        <w:t xml:space="preserve">，空间降采样比例设置为 </w:t>
      </w:r>
      <w:r>
        <w:rPr>
          <w:rStyle w:val="38"/>
          <w:rFonts w:ascii="Times New Roman" w:hAnsi="Times New Roman" w:eastAsia="楷体" w:cs="Times New Roman"/>
          <w:color w:val="000000"/>
          <w:sz w:val="21"/>
        </w:rPr>
        <w:t>[8, 8, 4, 2, 1]</w:t>
      </w:r>
      <w:r>
        <w:rPr>
          <w:rFonts w:ascii="Times New Roman" w:hAnsi="Times New Roman" w:eastAsia="楷体" w:cs="Times New Roman"/>
          <w:color w:val="000000"/>
          <w:sz w:val="21"/>
        </w:rPr>
        <w:t>。重叠块嵌入通过卷积投影完成 token 化，可缓解非重叠 patch 划分造成的边界割裂问题，使 SAR 图像中的边缘、纹理和散射点结构在编码阶段得到更充分保留。</w:t>
      </w:r>
    </w:p>
    <w:p w14:paraId="3F94BFC6">
      <w:pPr>
        <w:spacing w:before="0" w:after="0" w:line="360" w:lineRule="auto"/>
        <w:ind w:firstLine="420"/>
        <w:jc w:val="both"/>
      </w:pPr>
      <w:r>
        <w:rPr>
          <w:rFonts w:ascii="Times New Roman" w:hAnsi="Times New Roman" w:eastAsia="楷体" w:cs="Times New Roman"/>
          <w:color w:val="000000"/>
          <w:sz w:val="21"/>
        </w:rPr>
        <w:t>编码器输出五个尺度的层级特征，其空间分辨率与通道维度如表所示。该特征金字塔为后续解码阶段的跨尺度重建提供了由浅层纹理到深层上下文的多粒度表征。</w:t>
      </w:r>
    </w:p>
    <w:p w14:paraId="41BB166E">
      <w:pPr>
        <w:pStyle w:val="12"/>
        <w:spacing w:before="60" w:after="60" w:line="240" w:lineRule="auto"/>
        <w:jc w:val="center"/>
      </w:pPr>
      <w:r>
        <w:rPr>
          <w:rFonts w:ascii="楷体" w:hAnsi="楷体" w:eastAsia="楷体" w:cs="楷体"/>
          <w:b w:val="0"/>
          <w:i w:val="0"/>
          <w:color w:val="000000"/>
          <w:sz w:val="18"/>
        </w:rPr>
        <w:t>表1 五阶段 Transformer 编码器多尺度输出特征</w:t>
      </w:r>
    </w:p>
    <w:tbl>
      <w:tblPr>
        <w:tblStyle w:val="31"/>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883"/>
        <w:gridCol w:w="1891"/>
        <w:gridCol w:w="4254"/>
      </w:tblGrid>
      <w:tr w14:paraId="38B470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W w:w="883" w:type="dxa"/>
            <w:tcMar>
              <w:top w:w="80" w:type="dxa"/>
              <w:left w:w="80" w:type="dxa"/>
              <w:bottom w:w="80" w:type="dxa"/>
              <w:right w:w="80" w:type="dxa"/>
            </w:tcMar>
            <w:vAlign w:val="center"/>
          </w:tcPr>
          <w:p w14:paraId="179E4359">
            <w:pPr>
              <w:pStyle w:val="25"/>
              <w:spacing w:before="0" w:after="0" w:line="240" w:lineRule="auto"/>
              <w:ind w:firstLine="0"/>
              <w:jc w:val="left"/>
            </w:pPr>
            <w:r>
              <w:rPr>
                <w:rFonts w:ascii="楷体" w:hAnsi="楷体" w:eastAsia="楷体" w:cs="楷体"/>
                <w:b/>
                <w:color w:val="000000"/>
                <w:sz w:val="18"/>
              </w:rPr>
              <w:t>编码特征</w:t>
            </w:r>
          </w:p>
        </w:tc>
        <w:tc>
          <w:tcPr>
            <w:tcW w:w="1891" w:type="dxa"/>
            <w:tcMar>
              <w:top w:w="80" w:type="dxa"/>
              <w:left w:w="80" w:type="dxa"/>
              <w:bottom w:w="80" w:type="dxa"/>
              <w:right w:w="80" w:type="dxa"/>
            </w:tcMar>
            <w:vAlign w:val="center"/>
          </w:tcPr>
          <w:p w14:paraId="65B52294">
            <w:pPr>
              <w:pStyle w:val="25"/>
              <w:spacing w:before="0" w:after="0" w:line="240" w:lineRule="auto"/>
              <w:ind w:firstLine="0"/>
              <w:jc w:val="right"/>
            </w:pPr>
            <w:r>
              <w:rPr>
                <w:rFonts w:ascii="楷体" w:hAnsi="楷体" w:eastAsia="楷体" w:cs="楷体"/>
                <w:b/>
                <w:color w:val="000000"/>
                <w:sz w:val="18"/>
              </w:rPr>
              <w:t>张量尺寸</w:t>
            </w:r>
          </w:p>
        </w:tc>
        <w:tc>
          <w:tcPr>
            <w:tcW w:w="4254" w:type="dxa"/>
            <w:tcMar>
              <w:top w:w="80" w:type="dxa"/>
              <w:left w:w="80" w:type="dxa"/>
              <w:bottom w:w="80" w:type="dxa"/>
              <w:right w:w="80" w:type="dxa"/>
            </w:tcMar>
            <w:vAlign w:val="center"/>
          </w:tcPr>
          <w:p w14:paraId="67E8BBF4">
            <w:pPr>
              <w:pStyle w:val="25"/>
              <w:spacing w:before="0" w:after="0" w:line="240" w:lineRule="auto"/>
              <w:ind w:firstLine="0"/>
              <w:jc w:val="left"/>
            </w:pPr>
            <w:r>
              <w:rPr>
                <w:rFonts w:ascii="楷体" w:hAnsi="楷体" w:eastAsia="楷体" w:cs="楷体"/>
                <w:b/>
                <w:color w:val="000000"/>
                <w:sz w:val="18"/>
              </w:rPr>
              <w:t>表征属性</w:t>
            </w:r>
          </w:p>
        </w:tc>
      </w:tr>
      <w:tr w14:paraId="44F8AA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883" w:type="dxa"/>
            <w:tcMar>
              <w:top w:w="80" w:type="dxa"/>
              <w:left w:w="80" w:type="dxa"/>
              <w:bottom w:w="80" w:type="dxa"/>
              <w:right w:w="80" w:type="dxa"/>
            </w:tcMar>
            <w:vAlign w:val="center"/>
          </w:tcPr>
          <w:p w14:paraId="07640868">
            <w:pPr>
              <w:pStyle w:val="25"/>
              <w:spacing w:before="0" w:after="0" w:line="240" w:lineRule="auto"/>
              <w:ind w:firstLine="0"/>
              <w:jc w:val="left"/>
            </w:pPr>
            <w:r>
              <w:rPr>
                <w:rFonts w:ascii="楷体" w:hAnsi="楷体" w:eastAsia="楷体" w:cs="楷体"/>
                <w:color w:val="000000"/>
                <w:sz w:val="18"/>
              </w:rPr>
              <w:t>x1[0]</w:t>
            </w:r>
          </w:p>
        </w:tc>
        <w:tc>
          <w:tcPr>
            <w:tcW w:w="1891" w:type="dxa"/>
            <w:tcMar>
              <w:top w:w="80" w:type="dxa"/>
              <w:left w:w="80" w:type="dxa"/>
              <w:bottom w:w="80" w:type="dxa"/>
              <w:right w:w="80" w:type="dxa"/>
            </w:tcMar>
            <w:vAlign w:val="center"/>
          </w:tcPr>
          <w:p w14:paraId="6617F7FC">
            <w:pPr>
              <w:pStyle w:val="25"/>
              <w:spacing w:before="0" w:after="0" w:line="240" w:lineRule="auto"/>
              <w:ind w:firstLine="0"/>
              <w:jc w:val="right"/>
            </w:pPr>
            <w:r>
              <w:rPr>
                <w:rFonts w:ascii="楷体" w:hAnsi="楷体" w:eastAsia="楷体" w:cs="楷体"/>
                <w:color w:val="000000"/>
                <w:sz w:val="18"/>
              </w:rPr>
              <w:t>[1, 32, 128, 128]</w:t>
            </w:r>
          </w:p>
        </w:tc>
        <w:tc>
          <w:tcPr>
            <w:tcW w:w="4254" w:type="dxa"/>
            <w:tcMar>
              <w:top w:w="80" w:type="dxa"/>
              <w:left w:w="80" w:type="dxa"/>
              <w:bottom w:w="80" w:type="dxa"/>
              <w:right w:w="80" w:type="dxa"/>
            </w:tcMar>
            <w:vAlign w:val="center"/>
          </w:tcPr>
          <w:p w14:paraId="2632148E">
            <w:pPr>
              <w:pStyle w:val="25"/>
              <w:spacing w:before="0" w:after="0" w:line="240" w:lineRule="auto"/>
              <w:ind w:firstLine="0"/>
              <w:jc w:val="left"/>
            </w:pPr>
            <w:r>
              <w:rPr>
                <w:rFonts w:ascii="楷体" w:hAnsi="楷体" w:eastAsia="楷体" w:cs="楷体"/>
                <w:color w:val="000000"/>
                <w:sz w:val="18"/>
              </w:rPr>
              <w:t>浅层边缘、纹理与局部灰度变化</w:t>
            </w:r>
          </w:p>
        </w:tc>
      </w:tr>
      <w:tr w14:paraId="56A44B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883" w:type="dxa"/>
            <w:tcMar>
              <w:top w:w="80" w:type="dxa"/>
              <w:left w:w="80" w:type="dxa"/>
              <w:bottom w:w="80" w:type="dxa"/>
              <w:right w:w="80" w:type="dxa"/>
            </w:tcMar>
            <w:vAlign w:val="center"/>
          </w:tcPr>
          <w:p w14:paraId="1FFBA2B2">
            <w:pPr>
              <w:pStyle w:val="25"/>
              <w:spacing w:before="0" w:after="0" w:line="240" w:lineRule="auto"/>
              <w:ind w:firstLine="0"/>
              <w:jc w:val="left"/>
            </w:pPr>
            <w:r>
              <w:rPr>
                <w:rFonts w:ascii="楷体" w:hAnsi="楷体" w:eastAsia="楷体" w:cs="楷体"/>
                <w:color w:val="000000"/>
                <w:sz w:val="18"/>
              </w:rPr>
              <w:t>x1[1]</w:t>
            </w:r>
          </w:p>
        </w:tc>
        <w:tc>
          <w:tcPr>
            <w:tcW w:w="1891" w:type="dxa"/>
            <w:tcMar>
              <w:top w:w="80" w:type="dxa"/>
              <w:left w:w="80" w:type="dxa"/>
              <w:bottom w:w="80" w:type="dxa"/>
              <w:right w:w="80" w:type="dxa"/>
            </w:tcMar>
            <w:vAlign w:val="center"/>
          </w:tcPr>
          <w:p w14:paraId="53C9E55D">
            <w:pPr>
              <w:pStyle w:val="25"/>
              <w:spacing w:before="0" w:after="0" w:line="240" w:lineRule="auto"/>
              <w:ind w:firstLine="0"/>
              <w:jc w:val="right"/>
            </w:pPr>
            <w:r>
              <w:rPr>
                <w:rFonts w:ascii="楷体" w:hAnsi="楷体" w:eastAsia="楷体" w:cs="楷体"/>
                <w:color w:val="000000"/>
                <w:sz w:val="18"/>
              </w:rPr>
              <w:t>[1, 64, 64, 64]</w:t>
            </w:r>
          </w:p>
        </w:tc>
        <w:tc>
          <w:tcPr>
            <w:tcW w:w="4254" w:type="dxa"/>
            <w:tcMar>
              <w:top w:w="80" w:type="dxa"/>
              <w:left w:w="80" w:type="dxa"/>
              <w:bottom w:w="80" w:type="dxa"/>
              <w:right w:w="80" w:type="dxa"/>
            </w:tcMar>
            <w:vAlign w:val="center"/>
          </w:tcPr>
          <w:p w14:paraId="53B341DE">
            <w:pPr>
              <w:pStyle w:val="25"/>
              <w:spacing w:before="0" w:after="0" w:line="240" w:lineRule="auto"/>
              <w:ind w:firstLine="0"/>
              <w:jc w:val="left"/>
            </w:pPr>
            <w:r>
              <w:rPr>
                <w:rFonts w:ascii="楷体" w:hAnsi="楷体" w:eastAsia="楷体" w:cs="楷体"/>
                <w:color w:val="000000"/>
                <w:sz w:val="18"/>
              </w:rPr>
              <w:t>局部结构与中尺度空间模式</w:t>
            </w:r>
          </w:p>
        </w:tc>
      </w:tr>
      <w:tr w14:paraId="7839A7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883" w:type="dxa"/>
            <w:tcMar>
              <w:top w:w="80" w:type="dxa"/>
              <w:left w:w="80" w:type="dxa"/>
              <w:bottom w:w="80" w:type="dxa"/>
              <w:right w:w="80" w:type="dxa"/>
            </w:tcMar>
            <w:vAlign w:val="center"/>
          </w:tcPr>
          <w:p w14:paraId="68CD604E">
            <w:pPr>
              <w:pStyle w:val="25"/>
              <w:spacing w:before="0" w:after="0" w:line="240" w:lineRule="auto"/>
              <w:ind w:firstLine="0"/>
              <w:jc w:val="left"/>
            </w:pPr>
            <w:r>
              <w:rPr>
                <w:rFonts w:ascii="楷体" w:hAnsi="楷体" w:eastAsia="楷体" w:cs="楷体"/>
                <w:color w:val="000000"/>
                <w:sz w:val="18"/>
              </w:rPr>
              <w:t>x1[2]</w:t>
            </w:r>
          </w:p>
        </w:tc>
        <w:tc>
          <w:tcPr>
            <w:tcW w:w="1891" w:type="dxa"/>
            <w:tcMar>
              <w:top w:w="80" w:type="dxa"/>
              <w:left w:w="80" w:type="dxa"/>
              <w:bottom w:w="80" w:type="dxa"/>
              <w:right w:w="80" w:type="dxa"/>
            </w:tcMar>
            <w:vAlign w:val="center"/>
          </w:tcPr>
          <w:p w14:paraId="6F5AF409">
            <w:pPr>
              <w:pStyle w:val="25"/>
              <w:spacing w:before="0" w:after="0" w:line="240" w:lineRule="auto"/>
              <w:ind w:firstLine="0"/>
              <w:jc w:val="right"/>
            </w:pPr>
            <w:r>
              <w:rPr>
                <w:rFonts w:ascii="楷体" w:hAnsi="楷体" w:eastAsia="楷体" w:cs="楷体"/>
                <w:color w:val="000000"/>
                <w:sz w:val="18"/>
              </w:rPr>
              <w:t>[1, 128, 32, 32]</w:t>
            </w:r>
          </w:p>
        </w:tc>
        <w:tc>
          <w:tcPr>
            <w:tcW w:w="4254" w:type="dxa"/>
            <w:tcMar>
              <w:top w:w="80" w:type="dxa"/>
              <w:left w:w="80" w:type="dxa"/>
              <w:bottom w:w="80" w:type="dxa"/>
              <w:right w:w="80" w:type="dxa"/>
            </w:tcMar>
            <w:vAlign w:val="center"/>
          </w:tcPr>
          <w:p w14:paraId="53F8F7A1">
            <w:pPr>
              <w:pStyle w:val="25"/>
              <w:spacing w:before="0" w:after="0" w:line="240" w:lineRule="auto"/>
              <w:ind w:firstLine="0"/>
              <w:jc w:val="left"/>
            </w:pPr>
            <w:r>
              <w:rPr>
                <w:rFonts w:ascii="楷体" w:hAnsi="楷体" w:eastAsia="楷体" w:cs="楷体"/>
                <w:color w:val="000000"/>
                <w:sz w:val="18"/>
              </w:rPr>
              <w:t>中层语义与区域结构信息</w:t>
            </w:r>
          </w:p>
        </w:tc>
      </w:tr>
      <w:tr w14:paraId="29C870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883" w:type="dxa"/>
            <w:tcMar>
              <w:top w:w="80" w:type="dxa"/>
              <w:left w:w="80" w:type="dxa"/>
              <w:bottom w:w="80" w:type="dxa"/>
              <w:right w:w="80" w:type="dxa"/>
            </w:tcMar>
            <w:vAlign w:val="center"/>
          </w:tcPr>
          <w:p w14:paraId="630ED5B5">
            <w:pPr>
              <w:pStyle w:val="25"/>
              <w:spacing w:before="0" w:after="0" w:line="240" w:lineRule="auto"/>
              <w:ind w:firstLine="0"/>
              <w:jc w:val="left"/>
            </w:pPr>
            <w:r>
              <w:rPr>
                <w:rFonts w:ascii="楷体" w:hAnsi="楷体" w:eastAsia="楷体" w:cs="楷体"/>
                <w:color w:val="000000"/>
                <w:sz w:val="18"/>
              </w:rPr>
              <w:t>x1[3]</w:t>
            </w:r>
          </w:p>
        </w:tc>
        <w:tc>
          <w:tcPr>
            <w:tcW w:w="1891" w:type="dxa"/>
            <w:tcMar>
              <w:top w:w="80" w:type="dxa"/>
              <w:left w:w="80" w:type="dxa"/>
              <w:bottom w:w="80" w:type="dxa"/>
              <w:right w:w="80" w:type="dxa"/>
            </w:tcMar>
            <w:vAlign w:val="center"/>
          </w:tcPr>
          <w:p w14:paraId="23D6C57A">
            <w:pPr>
              <w:pStyle w:val="25"/>
              <w:spacing w:before="0" w:after="0" w:line="240" w:lineRule="auto"/>
              <w:ind w:firstLine="0"/>
              <w:jc w:val="right"/>
            </w:pPr>
            <w:r>
              <w:rPr>
                <w:rFonts w:ascii="楷体" w:hAnsi="楷体" w:eastAsia="楷体" w:cs="楷体"/>
                <w:color w:val="000000"/>
                <w:sz w:val="18"/>
              </w:rPr>
              <w:t>[1, 320, 16, 16]</w:t>
            </w:r>
          </w:p>
        </w:tc>
        <w:tc>
          <w:tcPr>
            <w:tcW w:w="4254" w:type="dxa"/>
            <w:tcMar>
              <w:top w:w="80" w:type="dxa"/>
              <w:left w:w="80" w:type="dxa"/>
              <w:bottom w:w="80" w:type="dxa"/>
              <w:right w:w="80" w:type="dxa"/>
            </w:tcMar>
            <w:vAlign w:val="center"/>
          </w:tcPr>
          <w:p w14:paraId="578E5AF5">
            <w:pPr>
              <w:pStyle w:val="25"/>
              <w:spacing w:before="0" w:after="0" w:line="240" w:lineRule="auto"/>
              <w:ind w:firstLine="0"/>
              <w:jc w:val="left"/>
            </w:pPr>
            <w:r>
              <w:rPr>
                <w:rFonts w:ascii="楷体" w:hAnsi="楷体" w:eastAsia="楷体" w:cs="楷体"/>
                <w:color w:val="000000"/>
                <w:sz w:val="18"/>
              </w:rPr>
              <w:t>高层上下文与大尺度结构约束</w:t>
            </w:r>
          </w:p>
        </w:tc>
      </w:tr>
      <w:tr w14:paraId="33B66D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883" w:type="dxa"/>
            <w:tcMar>
              <w:top w:w="80" w:type="dxa"/>
              <w:left w:w="80" w:type="dxa"/>
              <w:bottom w:w="80" w:type="dxa"/>
              <w:right w:w="80" w:type="dxa"/>
            </w:tcMar>
            <w:vAlign w:val="center"/>
          </w:tcPr>
          <w:p w14:paraId="1C340D32">
            <w:pPr>
              <w:pStyle w:val="25"/>
              <w:spacing w:before="0" w:after="0" w:line="240" w:lineRule="auto"/>
              <w:ind w:firstLine="0"/>
              <w:jc w:val="left"/>
            </w:pPr>
            <w:r>
              <w:rPr>
                <w:rFonts w:ascii="楷体" w:hAnsi="楷体" w:eastAsia="楷体" w:cs="楷体"/>
                <w:color w:val="000000"/>
                <w:sz w:val="18"/>
              </w:rPr>
              <w:t>x1[4]</w:t>
            </w:r>
          </w:p>
        </w:tc>
        <w:tc>
          <w:tcPr>
            <w:tcW w:w="1891" w:type="dxa"/>
            <w:tcMar>
              <w:top w:w="80" w:type="dxa"/>
              <w:left w:w="80" w:type="dxa"/>
              <w:bottom w:w="80" w:type="dxa"/>
              <w:right w:w="80" w:type="dxa"/>
            </w:tcMar>
            <w:vAlign w:val="center"/>
          </w:tcPr>
          <w:p w14:paraId="222406F6">
            <w:pPr>
              <w:pStyle w:val="25"/>
              <w:spacing w:before="0" w:after="0" w:line="240" w:lineRule="auto"/>
              <w:ind w:firstLine="0"/>
              <w:jc w:val="right"/>
            </w:pPr>
            <w:r>
              <w:rPr>
                <w:rFonts w:ascii="楷体" w:hAnsi="楷体" w:eastAsia="楷体" w:cs="楷体"/>
                <w:color w:val="000000"/>
                <w:sz w:val="18"/>
              </w:rPr>
              <w:t>[1, 512, 8, 8]</w:t>
            </w:r>
          </w:p>
        </w:tc>
        <w:tc>
          <w:tcPr>
            <w:tcW w:w="4254" w:type="dxa"/>
            <w:tcMar>
              <w:top w:w="80" w:type="dxa"/>
              <w:left w:w="80" w:type="dxa"/>
              <w:bottom w:w="80" w:type="dxa"/>
              <w:right w:w="80" w:type="dxa"/>
            </w:tcMar>
            <w:vAlign w:val="center"/>
          </w:tcPr>
          <w:p w14:paraId="1BDCDA2F">
            <w:pPr>
              <w:pStyle w:val="25"/>
              <w:spacing w:before="0" w:after="0" w:line="240" w:lineRule="auto"/>
              <w:ind w:firstLine="0"/>
              <w:jc w:val="left"/>
            </w:pPr>
            <w:r>
              <w:rPr>
                <w:rFonts w:ascii="楷体" w:hAnsi="楷体" w:eastAsia="楷体" w:cs="楷体"/>
                <w:color w:val="000000"/>
                <w:sz w:val="18"/>
              </w:rPr>
              <w:t>全局上下文与瓶颈语义表征</w:t>
            </w:r>
          </w:p>
        </w:tc>
      </w:tr>
    </w:tbl>
    <w:p w14:paraId="660518F4">
      <w:pPr>
        <w:spacing w:before="0" w:after="0" w:line="360" w:lineRule="auto"/>
        <w:ind w:firstLine="420"/>
        <w:jc w:val="both"/>
        <w:rPr>
          <w:rFonts w:ascii="Times New Roman" w:hAnsi="Times New Roman" w:eastAsia="楷体" w:cs="Times New Roman"/>
          <w:color w:val="000000"/>
          <w:sz w:val="21"/>
        </w:rPr>
      </w:pPr>
    </w:p>
    <w:p w14:paraId="5FC34332">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 xml:space="preserve">随着网络层级加深，空间分辨率逐步降低，通道维度逐步增加。浅层特征主要包含边缘、纹理和局部灰度变化信息，深层特征则包含更强的区域语义和全局上下文信息。在 Transformer Block 中，模型通过自注意力机制建模空间 token 之间的依赖关系，并通过 </w:t>
      </w:r>
      <w:r>
        <w:rPr>
          <w:rStyle w:val="38"/>
          <w:rFonts w:ascii="Times New Roman" w:hAnsi="Times New Roman" w:eastAsia="楷体" w:cs="Times New Roman"/>
          <w:color w:val="000000"/>
          <w:sz w:val="21"/>
        </w:rPr>
        <w:t>sr_ratio</w:t>
      </w:r>
      <w:r>
        <w:rPr>
          <w:rFonts w:ascii="Times New Roman" w:hAnsi="Times New Roman" w:eastAsia="楷体" w:cs="Times New Roman"/>
          <w:color w:val="000000"/>
          <w:sz w:val="21"/>
        </w:rPr>
        <w:t xml:space="preserve"> 降低高分辨率阶段的注意力计算开销。MLP 部分引入深度卷积结构，使 token 表示在通道变换过程中仍能够保留局部空间归纳偏置。</w:t>
      </w:r>
    </w:p>
    <w:p w14:paraId="4EB8851A">
      <w:pPr>
        <w:spacing w:before="0" w:after="0" w:line="360" w:lineRule="auto"/>
        <w:ind w:left="0" w:leftChars="0" w:firstLine="0" w:firstLineChars="0"/>
        <w:jc w:val="both"/>
        <w:rPr>
          <w:rFonts w:ascii="Times New Roman" w:hAnsi="Times New Roman" w:eastAsia="楷体" w:cs="Times New Roman"/>
          <w:color w:val="000000"/>
          <w:sz w:val="21"/>
        </w:rPr>
      </w:pPr>
      <w:r>
        <w:rPr>
          <w:rFonts w:hint="eastAsia" w:ascii="Times New Roman" w:hAnsi="Times New Roman" w:eastAsia="楷体" w:cs="Times New Roman"/>
          <w:color w:val="000000"/>
          <w:sz w:val="21"/>
          <w:lang w:eastAsia="zh-CN"/>
        </w:rPr>
        <w:drawing>
          <wp:inline distT="0" distB="0" distL="114300" distR="114300">
            <wp:extent cx="5596255" cy="2108835"/>
            <wp:effectExtent l="0" t="0" r="12065" b="9525"/>
            <wp:docPr id="3" name="图片 3"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
                    <pic:cNvPicPr>
                      <a:picLocks noChangeAspect="1"/>
                    </pic:cNvPicPr>
                  </pic:nvPicPr>
                  <pic:blipFill>
                    <a:blip r:embed="rId8"/>
                    <a:srcRect t="15497" b="17551"/>
                    <a:stretch>
                      <a:fillRect/>
                    </a:stretch>
                  </pic:blipFill>
                  <pic:spPr>
                    <a:xfrm>
                      <a:off x="0" y="0"/>
                      <a:ext cx="5596255" cy="2108835"/>
                    </a:xfrm>
                    <a:prstGeom prst="rect">
                      <a:avLst/>
                    </a:prstGeom>
                  </pic:spPr>
                </pic:pic>
              </a:graphicData>
            </a:graphic>
          </wp:inline>
        </w:drawing>
      </w:r>
    </w:p>
    <w:p w14:paraId="112C8E4C">
      <w:pPr>
        <w:pStyle w:val="12"/>
        <w:spacing w:before="60" w:after="60" w:line="240" w:lineRule="auto"/>
        <w:jc w:val="center"/>
      </w:pPr>
      <w:r>
        <w:rPr>
          <w:rFonts w:ascii="楷体" w:hAnsi="楷体" w:eastAsia="楷体" w:cs="楷体"/>
          <w:b w:val="0"/>
          <w:i w:val="0"/>
          <w:color w:val="000000"/>
          <w:sz w:val="18"/>
        </w:rPr>
        <w:t>图 3 五阶段 Transformer 编码器特征金字塔图</w:t>
      </w:r>
    </w:p>
    <w:bookmarkEnd w:id="9"/>
    <w:p w14:paraId="4AB4BBB3">
      <w:pPr>
        <w:pStyle w:val="4"/>
        <w:spacing w:before="120" w:after="60" w:line="360" w:lineRule="auto"/>
        <w:ind w:firstLine="0"/>
        <w:jc w:val="left"/>
      </w:pPr>
      <w:bookmarkStart w:id="10" w:name="多尺度特征融合与频域增强解码器"/>
      <w:r>
        <w:rPr>
          <w:rFonts w:ascii="Times New Roman" w:hAnsi="Times New Roman" w:eastAsia="黑体" w:cs="Times New Roman"/>
          <w:b/>
          <w:color w:val="000000"/>
          <w:sz w:val="24"/>
        </w:rPr>
        <w:t>2.3 多尺度特征融合与频域增强解码器</w:t>
      </w:r>
    </w:p>
    <w:p w14:paraId="1F8EF493">
      <w:pPr>
        <w:pStyle w:val="5"/>
        <w:spacing w:before="120" w:after="60" w:line="360" w:lineRule="auto"/>
        <w:ind w:firstLine="0"/>
        <w:jc w:val="left"/>
      </w:pPr>
      <w:bookmarkStart w:id="11" w:name="基础-cnn-解码器与空间重建路径"/>
      <w:r>
        <w:rPr>
          <w:rFonts w:ascii="Times New Roman" w:hAnsi="Times New Roman" w:eastAsia="黑体" w:cs="Times New Roman"/>
          <w:b/>
          <w:color w:val="000000"/>
          <w:sz w:val="21"/>
        </w:rPr>
        <w:t>2.3.1 基础 CNN 解码器与空间重建路径</w:t>
      </w:r>
    </w:p>
    <w:p w14:paraId="7DA7BF99">
      <w:pPr>
        <w:spacing w:before="0" w:after="0" w:line="360" w:lineRule="auto"/>
        <w:ind w:firstLine="420"/>
        <w:jc w:val="both"/>
      </w:pPr>
      <w:r>
        <w:rPr>
          <w:rFonts w:ascii="Times New Roman" w:hAnsi="Times New Roman" w:eastAsia="楷体" w:cs="Times New Roman"/>
          <w:color w:val="000000"/>
          <w:sz w:val="21"/>
        </w:rPr>
        <w:t xml:space="preserve">在 MSFormer-SARNet 中，Transformer 编码器输出的多尺度特征需要通过卷积解码器重新映射到图像空间，以完成由低分辨率上下文表征到高分辨率去噪结果的结构重建。该解码器对应基础网络中的 </w:t>
      </w:r>
      <w:r>
        <w:rPr>
          <w:rStyle w:val="38"/>
          <w:rFonts w:ascii="Times New Roman" w:hAnsi="Times New Roman" w:eastAsia="楷体" w:cs="Times New Roman"/>
          <w:color w:val="000000"/>
          <w:sz w:val="21"/>
        </w:rPr>
        <w:t>convprojection_baseV2</w:t>
      </w:r>
      <w:r>
        <w:rPr>
          <w:rFonts w:ascii="Times New Roman" w:hAnsi="Times New Roman" w:eastAsia="楷体" w:cs="Times New Roman"/>
          <w:color w:val="000000"/>
          <w:sz w:val="21"/>
        </w:rPr>
        <w:t xml:space="preserve">，其输入为五阶段编码特征 </w:t>
      </w:r>
      <w:r>
        <w:rPr>
          <w:rStyle w:val="38"/>
          <w:rFonts w:ascii="Times New Roman" w:hAnsi="Times New Roman" w:eastAsia="楷体" w:cs="Times New Roman"/>
          <w:color w:val="000000"/>
          <w:sz w:val="21"/>
        </w:rPr>
        <w:t>{x1[0], x1[1], x1[2], x1[3], x1[4]}</w:t>
      </w: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x1[4]</w:t>
      </w:r>
      <w:r>
        <w:rPr>
          <w:rFonts w:ascii="Times New Roman" w:hAnsi="Times New Roman" w:eastAsia="楷体" w:cs="Times New Roman"/>
          <w:color w:val="000000"/>
          <w:sz w:val="21"/>
        </w:rPr>
        <w:t xml:space="preserve"> 具有最低空间分辨率和最高通道维度，主要表征全局上下文与大尺度区域一致性；</w:t>
      </w:r>
      <w:r>
        <w:rPr>
          <w:rStyle w:val="38"/>
          <w:rFonts w:ascii="Times New Roman" w:hAnsi="Times New Roman" w:eastAsia="楷体" w:cs="Times New Roman"/>
          <w:color w:val="000000"/>
          <w:sz w:val="21"/>
        </w:rPr>
        <w:t>x1[0]</w:t>
      </w:r>
      <w:r>
        <w:rPr>
          <w:rFonts w:ascii="Times New Roman" w:hAnsi="Times New Roman" w:eastAsia="楷体" w:cs="Times New Roman"/>
          <w:color w:val="000000"/>
          <w:sz w:val="21"/>
        </w:rPr>
        <w:t xml:space="preserve"> 具有较高空间分辨率，保留了更多边缘、纹理和局部灰度变化信息。解码器的目标是在逐级恢复空间尺度的同时，将深层语义表征与浅层空间细节重新整合，从而生成与输入 SAR 图像尺寸一致的去噪输出。</w:t>
      </w:r>
    </w:p>
    <w:p w14:paraId="732C963B">
      <w:pPr>
        <w:spacing w:before="0" w:after="0" w:line="360" w:lineRule="auto"/>
        <w:ind w:firstLine="420"/>
        <w:jc w:val="both"/>
      </w:pPr>
      <w:r>
        <w:rPr>
          <w:rFonts w:ascii="Times New Roman" w:hAnsi="Times New Roman" w:eastAsia="楷体" w:cs="Times New Roman"/>
          <w:color w:val="000000"/>
          <w:sz w:val="21"/>
        </w:rPr>
        <w:t>基础 CNN 解码器采用自顶向下的逐级重建方式。最深层特征首先由 512 通道映射至 320 通道，并由 8×8 尺度恢复至 16×16 尺度；随后解码特征依次恢复至 32×32、64×64、128×128 和 256×256。在该过程中，UpsampleConvLayer 同时承担尺度恢复和通道投影功能，残差块用于对上采样后的特征进行局部结构细化。残差学习、U 形编码—解码结构以及通道/空间注意力机制为该类重建路径提供了重要结构基础。前四个解码阶段通过与编码器同尺度特征相加实现跨层信息传递，使编码端保留的高分辨率结构能够参与图像重建。与仅依赖深层特征直接上采样的解码方式相比，该结构能够降低连续下采样造成的空间细节损失，并在一定程度上改善 SAR 图像边缘和散射点结构的恢复质量。</w:t>
      </w:r>
    </w:p>
    <w:p w14:paraId="6DAA3100">
      <w:pPr>
        <w:pStyle w:val="12"/>
        <w:spacing w:before="60" w:after="60" w:line="240" w:lineRule="auto"/>
        <w:jc w:val="center"/>
      </w:pPr>
      <w:r>
        <w:rPr>
          <w:rFonts w:ascii="楷体" w:hAnsi="楷体" w:eastAsia="楷体" w:cs="楷体"/>
          <w:b w:val="0"/>
          <w:i w:val="0"/>
          <w:color w:val="000000"/>
          <w:sz w:val="18"/>
        </w:rPr>
        <w:t>表2 基础 CNN 解码器逐级重建流程</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1151"/>
        <w:gridCol w:w="1617"/>
        <w:gridCol w:w="4552"/>
        <w:gridCol w:w="1152"/>
      </w:tblGrid>
      <w:tr w14:paraId="29C10B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7565D6A0">
            <w:pPr>
              <w:pStyle w:val="25"/>
              <w:spacing w:before="0" w:after="0" w:line="240" w:lineRule="auto"/>
              <w:ind w:firstLine="0"/>
              <w:jc w:val="left"/>
            </w:pPr>
            <w:r>
              <w:rPr>
                <w:rFonts w:ascii="楷体" w:hAnsi="楷体" w:eastAsia="楷体" w:cs="楷体"/>
                <w:b/>
                <w:color w:val="000000"/>
                <w:sz w:val="18"/>
              </w:rPr>
              <w:t>解码阶段</w:t>
            </w:r>
          </w:p>
        </w:tc>
        <w:tc>
          <w:tcPr>
            <w:tcMar>
              <w:top w:w="80" w:type="dxa"/>
              <w:left w:w="80" w:type="dxa"/>
              <w:bottom w:w="80" w:type="dxa"/>
              <w:right w:w="80" w:type="dxa"/>
            </w:tcMar>
            <w:vAlign w:val="center"/>
          </w:tcPr>
          <w:p w14:paraId="3CF76B4E">
            <w:pPr>
              <w:pStyle w:val="25"/>
              <w:spacing w:before="0" w:after="0" w:line="240" w:lineRule="auto"/>
              <w:ind w:firstLine="0"/>
              <w:jc w:val="left"/>
            </w:pPr>
            <w:r>
              <w:rPr>
                <w:rFonts w:ascii="楷体" w:hAnsi="楷体" w:eastAsia="楷体" w:cs="楷体"/>
                <w:b/>
                <w:color w:val="000000"/>
                <w:sz w:val="18"/>
              </w:rPr>
              <w:t>输入特征</w:t>
            </w:r>
          </w:p>
        </w:tc>
        <w:tc>
          <w:tcPr>
            <w:tcMar>
              <w:top w:w="80" w:type="dxa"/>
              <w:left w:w="80" w:type="dxa"/>
              <w:bottom w:w="80" w:type="dxa"/>
              <w:right w:w="80" w:type="dxa"/>
            </w:tcMar>
            <w:vAlign w:val="center"/>
          </w:tcPr>
          <w:p w14:paraId="04881377">
            <w:pPr>
              <w:pStyle w:val="25"/>
              <w:spacing w:before="0" w:after="0" w:line="240" w:lineRule="auto"/>
              <w:ind w:firstLine="0"/>
              <w:jc w:val="left"/>
            </w:pPr>
            <w:r>
              <w:rPr>
                <w:rFonts w:ascii="楷体" w:hAnsi="楷体" w:eastAsia="楷体" w:cs="楷体"/>
                <w:b/>
                <w:color w:val="000000"/>
                <w:sz w:val="18"/>
              </w:rPr>
              <w:t>主要操作</w:t>
            </w:r>
          </w:p>
        </w:tc>
        <w:tc>
          <w:tcPr>
            <w:tcMar>
              <w:top w:w="80" w:type="dxa"/>
              <w:left w:w="80" w:type="dxa"/>
              <w:bottom w:w="80" w:type="dxa"/>
              <w:right w:w="80" w:type="dxa"/>
            </w:tcMar>
            <w:vAlign w:val="center"/>
          </w:tcPr>
          <w:p w14:paraId="6BDCAD1A">
            <w:pPr>
              <w:pStyle w:val="25"/>
              <w:spacing w:before="0" w:after="0" w:line="240" w:lineRule="auto"/>
              <w:ind w:firstLine="0"/>
              <w:jc w:val="right"/>
            </w:pPr>
            <w:r>
              <w:rPr>
                <w:rFonts w:ascii="楷体" w:hAnsi="楷体" w:eastAsia="楷体" w:cs="楷体"/>
                <w:b/>
                <w:color w:val="000000"/>
                <w:sz w:val="18"/>
              </w:rPr>
              <w:t>输出尺度</w:t>
            </w:r>
          </w:p>
        </w:tc>
      </w:tr>
      <w:tr w14:paraId="1C5B0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1CF5E280">
            <w:pPr>
              <w:pStyle w:val="25"/>
              <w:spacing w:before="0" w:after="0" w:line="240" w:lineRule="auto"/>
              <w:ind w:firstLine="0"/>
              <w:jc w:val="left"/>
            </w:pPr>
            <w:r>
              <w:rPr>
                <w:rFonts w:ascii="楷体" w:hAnsi="楷体" w:eastAsia="楷体" w:cs="楷体"/>
                <w:color w:val="000000"/>
                <w:sz w:val="18"/>
              </w:rPr>
              <w:t>Stage 1</w:t>
            </w:r>
          </w:p>
        </w:tc>
        <w:tc>
          <w:tcPr>
            <w:tcMar>
              <w:top w:w="80" w:type="dxa"/>
              <w:left w:w="80" w:type="dxa"/>
              <w:bottom w:w="80" w:type="dxa"/>
              <w:right w:w="80" w:type="dxa"/>
            </w:tcMar>
            <w:vAlign w:val="center"/>
          </w:tcPr>
          <w:p w14:paraId="6F6E8A61">
            <w:pPr>
              <w:pStyle w:val="25"/>
              <w:spacing w:before="0" w:after="0" w:line="240" w:lineRule="auto"/>
              <w:ind w:firstLine="0"/>
              <w:jc w:val="left"/>
            </w:pPr>
            <w:r>
              <w:rPr>
                <w:rFonts w:ascii="楷体" w:hAnsi="楷体" w:eastAsia="楷体" w:cs="楷体"/>
                <w:color w:val="000000"/>
                <w:sz w:val="18"/>
              </w:rPr>
              <w:t>x1[4]</w:t>
            </w:r>
          </w:p>
        </w:tc>
        <w:tc>
          <w:tcPr>
            <w:tcMar>
              <w:top w:w="80" w:type="dxa"/>
              <w:left w:w="80" w:type="dxa"/>
              <w:bottom w:w="80" w:type="dxa"/>
              <w:right w:w="80" w:type="dxa"/>
            </w:tcMar>
            <w:vAlign w:val="center"/>
          </w:tcPr>
          <w:p w14:paraId="6DB1F16D">
            <w:pPr>
              <w:pStyle w:val="25"/>
              <w:spacing w:before="0" w:after="0" w:line="240" w:lineRule="auto"/>
              <w:ind w:firstLine="0"/>
              <w:jc w:val="left"/>
            </w:pPr>
            <w:r>
              <w:rPr>
                <w:rFonts w:ascii="楷体" w:hAnsi="楷体" w:eastAsia="楷体" w:cs="楷体"/>
                <w:color w:val="000000"/>
                <w:sz w:val="18"/>
              </w:rPr>
              <w:t>上采样卷积 + 残差细化 + 与 x1[3] 融合</w:t>
            </w:r>
          </w:p>
        </w:tc>
        <w:tc>
          <w:tcPr>
            <w:tcMar>
              <w:top w:w="80" w:type="dxa"/>
              <w:left w:w="80" w:type="dxa"/>
              <w:bottom w:w="80" w:type="dxa"/>
              <w:right w:w="80" w:type="dxa"/>
            </w:tcMar>
            <w:vAlign w:val="center"/>
          </w:tcPr>
          <w:p w14:paraId="4B841254">
            <w:pPr>
              <w:pStyle w:val="25"/>
              <w:spacing w:before="0" w:after="0" w:line="240" w:lineRule="auto"/>
              <w:ind w:firstLine="0"/>
              <w:jc w:val="right"/>
            </w:pPr>
            <w:r>
              <w:rPr>
                <w:rFonts w:ascii="楷体" w:hAnsi="楷体" w:eastAsia="楷体" w:cs="楷体"/>
                <w:color w:val="000000"/>
                <w:sz w:val="18"/>
              </w:rPr>
              <w:t>16×16</w:t>
            </w:r>
          </w:p>
        </w:tc>
      </w:tr>
      <w:tr w14:paraId="0A3833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1D6DE03F">
            <w:pPr>
              <w:pStyle w:val="25"/>
              <w:spacing w:before="0" w:after="0" w:line="240" w:lineRule="auto"/>
              <w:ind w:firstLine="0"/>
              <w:jc w:val="left"/>
            </w:pPr>
            <w:r>
              <w:rPr>
                <w:rFonts w:ascii="楷体" w:hAnsi="楷体" w:eastAsia="楷体" w:cs="楷体"/>
                <w:color w:val="000000"/>
                <w:sz w:val="18"/>
              </w:rPr>
              <w:t>Stage 2</w:t>
            </w:r>
          </w:p>
        </w:tc>
        <w:tc>
          <w:tcPr>
            <w:tcMar>
              <w:top w:w="80" w:type="dxa"/>
              <w:left w:w="80" w:type="dxa"/>
              <w:bottom w:w="80" w:type="dxa"/>
              <w:right w:w="80" w:type="dxa"/>
            </w:tcMar>
            <w:vAlign w:val="center"/>
          </w:tcPr>
          <w:p w14:paraId="2C6F7D84">
            <w:pPr>
              <w:pStyle w:val="25"/>
              <w:spacing w:before="0" w:after="0" w:line="240" w:lineRule="auto"/>
              <w:ind w:firstLine="0"/>
              <w:jc w:val="left"/>
            </w:pPr>
            <w:r>
              <w:rPr>
                <w:rFonts w:ascii="楷体" w:hAnsi="楷体" w:eastAsia="楷体" w:cs="楷体"/>
                <w:color w:val="000000"/>
                <w:sz w:val="18"/>
              </w:rPr>
              <w:t>Stage 1 输出</w:t>
            </w:r>
          </w:p>
        </w:tc>
        <w:tc>
          <w:tcPr>
            <w:tcMar>
              <w:top w:w="80" w:type="dxa"/>
              <w:left w:w="80" w:type="dxa"/>
              <w:bottom w:w="80" w:type="dxa"/>
              <w:right w:w="80" w:type="dxa"/>
            </w:tcMar>
            <w:vAlign w:val="center"/>
          </w:tcPr>
          <w:p w14:paraId="27253FE9">
            <w:pPr>
              <w:pStyle w:val="25"/>
              <w:spacing w:before="0" w:after="0" w:line="240" w:lineRule="auto"/>
              <w:ind w:firstLine="0"/>
              <w:jc w:val="left"/>
            </w:pPr>
            <w:r>
              <w:rPr>
                <w:rFonts w:ascii="楷体" w:hAnsi="楷体" w:eastAsia="楷体" w:cs="楷体"/>
                <w:color w:val="000000"/>
                <w:sz w:val="18"/>
              </w:rPr>
              <w:t>上采样卷积 + 残差细化 + 与 x1[2] 融合</w:t>
            </w:r>
          </w:p>
        </w:tc>
        <w:tc>
          <w:tcPr>
            <w:tcMar>
              <w:top w:w="80" w:type="dxa"/>
              <w:left w:w="80" w:type="dxa"/>
              <w:bottom w:w="80" w:type="dxa"/>
              <w:right w:w="80" w:type="dxa"/>
            </w:tcMar>
            <w:vAlign w:val="center"/>
          </w:tcPr>
          <w:p w14:paraId="08525391">
            <w:pPr>
              <w:pStyle w:val="25"/>
              <w:spacing w:before="0" w:after="0" w:line="240" w:lineRule="auto"/>
              <w:ind w:firstLine="0"/>
              <w:jc w:val="right"/>
            </w:pPr>
            <w:r>
              <w:rPr>
                <w:rFonts w:ascii="楷体" w:hAnsi="楷体" w:eastAsia="楷体" w:cs="楷体"/>
                <w:color w:val="000000"/>
                <w:sz w:val="18"/>
              </w:rPr>
              <w:t>32×32</w:t>
            </w:r>
          </w:p>
        </w:tc>
      </w:tr>
      <w:tr w14:paraId="35437C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6F8CDEA">
            <w:pPr>
              <w:pStyle w:val="25"/>
              <w:spacing w:before="0" w:after="0" w:line="240" w:lineRule="auto"/>
              <w:ind w:firstLine="0"/>
              <w:jc w:val="left"/>
            </w:pPr>
            <w:r>
              <w:rPr>
                <w:rFonts w:ascii="楷体" w:hAnsi="楷体" w:eastAsia="楷体" w:cs="楷体"/>
                <w:color w:val="000000"/>
                <w:sz w:val="18"/>
              </w:rPr>
              <w:t>Stage 3</w:t>
            </w:r>
          </w:p>
        </w:tc>
        <w:tc>
          <w:tcPr>
            <w:tcMar>
              <w:top w:w="80" w:type="dxa"/>
              <w:left w:w="80" w:type="dxa"/>
              <w:bottom w:w="80" w:type="dxa"/>
              <w:right w:w="80" w:type="dxa"/>
            </w:tcMar>
            <w:vAlign w:val="center"/>
          </w:tcPr>
          <w:p w14:paraId="14DD90B4">
            <w:pPr>
              <w:pStyle w:val="25"/>
              <w:spacing w:before="0" w:after="0" w:line="240" w:lineRule="auto"/>
              <w:ind w:firstLine="0"/>
              <w:jc w:val="left"/>
            </w:pPr>
            <w:r>
              <w:rPr>
                <w:rFonts w:ascii="楷体" w:hAnsi="楷体" w:eastAsia="楷体" w:cs="楷体"/>
                <w:color w:val="000000"/>
                <w:sz w:val="18"/>
              </w:rPr>
              <w:t>Stage 2 输出</w:t>
            </w:r>
          </w:p>
        </w:tc>
        <w:tc>
          <w:tcPr>
            <w:tcMar>
              <w:top w:w="80" w:type="dxa"/>
              <w:left w:w="80" w:type="dxa"/>
              <w:bottom w:w="80" w:type="dxa"/>
              <w:right w:w="80" w:type="dxa"/>
            </w:tcMar>
            <w:vAlign w:val="center"/>
          </w:tcPr>
          <w:p w14:paraId="3E1CADB4">
            <w:pPr>
              <w:pStyle w:val="25"/>
              <w:spacing w:before="0" w:after="0" w:line="240" w:lineRule="auto"/>
              <w:ind w:firstLine="0"/>
              <w:jc w:val="left"/>
            </w:pPr>
            <w:r>
              <w:rPr>
                <w:rFonts w:ascii="楷体" w:hAnsi="楷体" w:eastAsia="楷体" w:cs="楷体"/>
                <w:color w:val="000000"/>
                <w:sz w:val="18"/>
              </w:rPr>
              <w:t>上采样卷积 + 残差细化 + 与 x1[1] 融合</w:t>
            </w:r>
          </w:p>
        </w:tc>
        <w:tc>
          <w:tcPr>
            <w:tcMar>
              <w:top w:w="80" w:type="dxa"/>
              <w:left w:w="80" w:type="dxa"/>
              <w:bottom w:w="80" w:type="dxa"/>
              <w:right w:w="80" w:type="dxa"/>
            </w:tcMar>
            <w:vAlign w:val="center"/>
          </w:tcPr>
          <w:p w14:paraId="0F0BCDB6">
            <w:pPr>
              <w:pStyle w:val="25"/>
              <w:spacing w:before="0" w:after="0" w:line="240" w:lineRule="auto"/>
              <w:ind w:firstLine="0"/>
              <w:jc w:val="right"/>
            </w:pPr>
            <w:r>
              <w:rPr>
                <w:rFonts w:ascii="楷体" w:hAnsi="楷体" w:eastAsia="楷体" w:cs="楷体"/>
                <w:color w:val="000000"/>
                <w:sz w:val="18"/>
              </w:rPr>
              <w:t>64×64</w:t>
            </w:r>
          </w:p>
        </w:tc>
      </w:tr>
      <w:tr w14:paraId="0B7A87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41B156B1">
            <w:pPr>
              <w:pStyle w:val="25"/>
              <w:spacing w:before="0" w:after="0" w:line="240" w:lineRule="auto"/>
              <w:ind w:firstLine="0"/>
              <w:jc w:val="left"/>
            </w:pPr>
            <w:r>
              <w:rPr>
                <w:rFonts w:ascii="楷体" w:hAnsi="楷体" w:eastAsia="楷体" w:cs="楷体"/>
                <w:color w:val="000000"/>
                <w:sz w:val="18"/>
              </w:rPr>
              <w:t>Stage 4</w:t>
            </w:r>
          </w:p>
        </w:tc>
        <w:tc>
          <w:tcPr>
            <w:tcMar>
              <w:top w:w="80" w:type="dxa"/>
              <w:left w:w="80" w:type="dxa"/>
              <w:bottom w:w="80" w:type="dxa"/>
              <w:right w:w="80" w:type="dxa"/>
            </w:tcMar>
            <w:vAlign w:val="center"/>
          </w:tcPr>
          <w:p w14:paraId="2787628E">
            <w:pPr>
              <w:pStyle w:val="25"/>
              <w:spacing w:before="0" w:after="0" w:line="240" w:lineRule="auto"/>
              <w:ind w:firstLine="0"/>
              <w:jc w:val="left"/>
            </w:pPr>
            <w:r>
              <w:rPr>
                <w:rFonts w:ascii="楷体" w:hAnsi="楷体" w:eastAsia="楷体" w:cs="楷体"/>
                <w:color w:val="000000"/>
                <w:sz w:val="18"/>
              </w:rPr>
              <w:t>Stage 3 输出</w:t>
            </w:r>
          </w:p>
        </w:tc>
        <w:tc>
          <w:tcPr>
            <w:tcMar>
              <w:top w:w="80" w:type="dxa"/>
              <w:left w:w="80" w:type="dxa"/>
              <w:bottom w:w="80" w:type="dxa"/>
              <w:right w:w="80" w:type="dxa"/>
            </w:tcMar>
            <w:vAlign w:val="center"/>
          </w:tcPr>
          <w:p w14:paraId="7DDFFCFF">
            <w:pPr>
              <w:pStyle w:val="25"/>
              <w:spacing w:before="0" w:after="0" w:line="240" w:lineRule="auto"/>
              <w:ind w:firstLine="0"/>
              <w:jc w:val="left"/>
            </w:pPr>
            <w:r>
              <w:rPr>
                <w:rFonts w:ascii="楷体" w:hAnsi="楷体" w:eastAsia="楷体" w:cs="楷体"/>
                <w:color w:val="000000"/>
                <w:sz w:val="18"/>
              </w:rPr>
              <w:t>上采样卷积 + 残差细化 + 与 x1[0] 融合</w:t>
            </w:r>
          </w:p>
        </w:tc>
        <w:tc>
          <w:tcPr>
            <w:tcMar>
              <w:top w:w="80" w:type="dxa"/>
              <w:left w:w="80" w:type="dxa"/>
              <w:bottom w:w="80" w:type="dxa"/>
              <w:right w:w="80" w:type="dxa"/>
            </w:tcMar>
            <w:vAlign w:val="center"/>
          </w:tcPr>
          <w:p w14:paraId="085602BD">
            <w:pPr>
              <w:pStyle w:val="25"/>
              <w:spacing w:before="0" w:after="0" w:line="240" w:lineRule="auto"/>
              <w:ind w:firstLine="0"/>
              <w:jc w:val="right"/>
            </w:pPr>
            <w:r>
              <w:rPr>
                <w:rFonts w:ascii="楷体" w:hAnsi="楷体" w:eastAsia="楷体" w:cs="楷体"/>
                <w:color w:val="000000"/>
                <w:sz w:val="18"/>
              </w:rPr>
              <w:t>128×128</w:t>
            </w:r>
          </w:p>
        </w:tc>
      </w:tr>
      <w:tr w14:paraId="63C456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4D5BE96">
            <w:pPr>
              <w:pStyle w:val="25"/>
              <w:spacing w:before="0" w:after="0" w:line="240" w:lineRule="auto"/>
              <w:ind w:firstLine="0"/>
              <w:jc w:val="left"/>
            </w:pPr>
            <w:r>
              <w:rPr>
                <w:rFonts w:ascii="楷体" w:hAnsi="楷体" w:eastAsia="楷体" w:cs="楷体"/>
                <w:color w:val="000000"/>
                <w:sz w:val="18"/>
              </w:rPr>
              <w:t>Stage 5</w:t>
            </w:r>
          </w:p>
        </w:tc>
        <w:tc>
          <w:tcPr>
            <w:tcMar>
              <w:top w:w="80" w:type="dxa"/>
              <w:left w:w="80" w:type="dxa"/>
              <w:bottom w:w="80" w:type="dxa"/>
              <w:right w:w="80" w:type="dxa"/>
            </w:tcMar>
            <w:vAlign w:val="center"/>
          </w:tcPr>
          <w:p w14:paraId="08371D40">
            <w:pPr>
              <w:pStyle w:val="25"/>
              <w:spacing w:before="0" w:after="0" w:line="240" w:lineRule="auto"/>
              <w:ind w:firstLine="0"/>
              <w:jc w:val="left"/>
            </w:pPr>
            <w:r>
              <w:rPr>
                <w:rFonts w:ascii="楷体" w:hAnsi="楷体" w:eastAsia="楷体" w:cs="楷体"/>
                <w:color w:val="000000"/>
                <w:sz w:val="18"/>
              </w:rPr>
              <w:t>Stage 4 输出</w:t>
            </w:r>
          </w:p>
        </w:tc>
        <w:tc>
          <w:tcPr>
            <w:tcMar>
              <w:top w:w="80" w:type="dxa"/>
              <w:left w:w="80" w:type="dxa"/>
              <w:bottom w:w="80" w:type="dxa"/>
              <w:right w:w="80" w:type="dxa"/>
            </w:tcMar>
            <w:vAlign w:val="center"/>
          </w:tcPr>
          <w:p w14:paraId="168648FE">
            <w:pPr>
              <w:pStyle w:val="25"/>
              <w:spacing w:before="0" w:after="0" w:line="240" w:lineRule="auto"/>
              <w:ind w:firstLine="0"/>
              <w:jc w:val="left"/>
            </w:pPr>
            <w:r>
              <w:rPr>
                <w:rFonts w:ascii="楷体" w:hAnsi="楷体" w:eastAsia="楷体" w:cs="楷体"/>
                <w:color w:val="000000"/>
                <w:sz w:val="18"/>
              </w:rPr>
              <w:t>上采样重建 + Conv(8→1) + Tanh</w:t>
            </w:r>
          </w:p>
        </w:tc>
        <w:tc>
          <w:tcPr>
            <w:tcMar>
              <w:top w:w="80" w:type="dxa"/>
              <w:left w:w="80" w:type="dxa"/>
              <w:bottom w:w="80" w:type="dxa"/>
              <w:right w:w="80" w:type="dxa"/>
            </w:tcMar>
            <w:vAlign w:val="center"/>
          </w:tcPr>
          <w:p w14:paraId="4968BC5E">
            <w:pPr>
              <w:pStyle w:val="25"/>
              <w:spacing w:before="0" w:after="0" w:line="240" w:lineRule="auto"/>
              <w:ind w:firstLine="0"/>
              <w:jc w:val="right"/>
            </w:pPr>
            <w:r>
              <w:rPr>
                <w:rFonts w:ascii="楷体" w:hAnsi="楷体" w:eastAsia="楷体" w:cs="楷体"/>
                <w:color w:val="000000"/>
                <w:sz w:val="18"/>
              </w:rPr>
              <w:t>256×256</w:t>
            </w:r>
          </w:p>
        </w:tc>
      </w:tr>
    </w:tbl>
    <w:p w14:paraId="23EA8970">
      <w:pPr>
        <w:spacing w:before="0" w:after="0" w:line="360" w:lineRule="auto"/>
        <w:ind w:firstLine="420"/>
        <w:jc w:val="both"/>
        <w:rPr>
          <w:rFonts w:ascii="Times New Roman" w:hAnsi="Times New Roman" w:eastAsia="楷体" w:cs="Times New Roman"/>
          <w:color w:val="000000"/>
          <w:sz w:val="21"/>
        </w:rPr>
      </w:pPr>
    </w:p>
    <w:p w14:paraId="211FEB92">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从表征机理看，CNN 解码器在该网络中主要发挥两方面作用。一方面，卷积操作具有明确的局部归纳偏置，能够在邻域范围内约束灰度连续性和结构一致性，有利于抑制 speckle 噪声引起的随机颗粒状扰动。另一方面，逐级上采样与残差细化能够将 Transformer 编码器获得的全局上下文逐步转换为像素级恢复结果，使网络同时具有长距离依赖建模能力和局部纹理重建能力。因此，MSFormer-SARNet 可被视为本文最终网络体系中的基础编码—解码主干，用于验证五阶段 Transformer 编码器与 CNN 解码器耦合用于 SAR 图像去噪的可行性。</w:t>
      </w:r>
    </w:p>
    <w:p w14:paraId="39284021">
      <w:pPr>
        <w:spacing w:before="0" w:after="0" w:line="360" w:lineRule="auto"/>
        <w:ind w:left="0" w:leftChars="0" w:firstLine="0" w:firstLineChars="0"/>
        <w:jc w:val="both"/>
        <w:rPr>
          <w:rFonts w:ascii="Times New Roman" w:hAnsi="Times New Roman" w:eastAsia="楷体" w:cs="Times New Roman"/>
          <w:color w:val="000000"/>
          <w:sz w:val="21"/>
        </w:rPr>
      </w:pPr>
      <w:r>
        <w:rPr>
          <w:rFonts w:hint="eastAsia" w:eastAsia="楷体"/>
          <w:lang w:eastAsia="zh-CN"/>
        </w:rPr>
        <w:drawing>
          <wp:inline distT="0" distB="0" distL="114300" distR="114300">
            <wp:extent cx="5295265" cy="3344545"/>
            <wp:effectExtent l="0" t="0" r="8255" b="8255"/>
            <wp:docPr id="4" name="图片 4"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4"/>
                    <pic:cNvPicPr>
                      <a:picLocks noChangeAspect="1"/>
                    </pic:cNvPicPr>
                  </pic:nvPicPr>
                  <pic:blipFill>
                    <a:blip r:embed="rId9"/>
                    <a:srcRect r="-543" b="4756"/>
                    <a:stretch>
                      <a:fillRect/>
                    </a:stretch>
                  </pic:blipFill>
                  <pic:spPr>
                    <a:xfrm>
                      <a:off x="0" y="0"/>
                      <a:ext cx="5295265" cy="3344545"/>
                    </a:xfrm>
                    <a:prstGeom prst="rect">
                      <a:avLst/>
                    </a:prstGeom>
                  </pic:spPr>
                </pic:pic>
              </a:graphicData>
            </a:graphic>
          </wp:inline>
        </w:drawing>
      </w:r>
    </w:p>
    <w:p w14:paraId="58C8ECF9">
      <w:pPr>
        <w:pStyle w:val="12"/>
        <w:spacing w:before="60" w:after="60" w:line="240" w:lineRule="auto"/>
        <w:jc w:val="center"/>
        <w:rPr>
          <w:rFonts w:ascii="Times New Roman" w:hAnsi="Times New Roman" w:eastAsia="楷体" w:cs="Times New Roman"/>
          <w:color w:val="000000"/>
          <w:sz w:val="21"/>
        </w:rPr>
      </w:pPr>
      <w:r>
        <w:rPr>
          <w:rFonts w:ascii="楷体" w:hAnsi="楷体" w:eastAsia="楷体" w:cs="楷体"/>
          <w:b w:val="0"/>
          <w:i w:val="0"/>
          <w:color w:val="000000"/>
          <w:sz w:val="18"/>
        </w:rPr>
        <w:t>图4 MSFormer-SARNet 基础 CNN 解码器结构图</w:t>
      </w:r>
    </w:p>
    <w:p w14:paraId="748CF0DA">
      <w:pPr>
        <w:spacing w:before="0" w:after="0" w:line="360" w:lineRule="auto"/>
        <w:ind w:firstLine="420"/>
        <w:jc w:val="both"/>
        <w:rPr>
          <w:rFonts w:ascii="Times New Roman" w:hAnsi="Times New Roman" w:eastAsia="楷体" w:cs="Times New Roman"/>
          <w:color w:val="000000"/>
          <w:sz w:val="21"/>
        </w:rPr>
      </w:pPr>
    </w:p>
    <w:p w14:paraId="1C463EB5">
      <w:pPr>
        <w:spacing w:before="0" w:after="0" w:line="360" w:lineRule="auto"/>
        <w:ind w:firstLine="420"/>
        <w:jc w:val="both"/>
      </w:pPr>
      <w:r>
        <w:rPr>
          <w:rFonts w:ascii="Times New Roman" w:hAnsi="Times New Roman" w:eastAsia="楷体" w:cs="Times New Roman"/>
          <w:color w:val="000000"/>
          <w:sz w:val="21"/>
        </w:rPr>
        <w:t>需要指出的是，MSFormer-SARNet 中的跨层信息交互主要采用加和式连接。该方式计算开销较低，结构稳定性较好，但在融合前要求编码特征与解码特征具有一致的通道表达，并会在相加过程中压缩二者的独立信息分布。对于建筑边缘、道路纹理、农田周期结构和强散射点等复杂区域，直接相加可能不足以充分建模浅层细节与深层上下文之间的互补关系。因此，后续 MSFF-SARNet 在该主干基础上进一步引入拼接式跳跃连接、多尺度特征融合和残差重建，以增强解码阶段的跨尺度特征选择与局部结构恢复能力。</w:t>
      </w:r>
    </w:p>
    <w:bookmarkEnd w:id="11"/>
    <w:p w14:paraId="1CDB5EC5">
      <w:pPr>
        <w:pStyle w:val="5"/>
        <w:spacing w:before="120" w:after="60" w:line="360" w:lineRule="auto"/>
        <w:ind w:firstLine="0"/>
        <w:jc w:val="left"/>
      </w:pPr>
      <w:bookmarkStart w:id="12" w:name="msff-sarnet-增强型多尺度解码结构"/>
      <w:r>
        <w:rPr>
          <w:rFonts w:ascii="Times New Roman" w:hAnsi="Times New Roman" w:eastAsia="黑体" w:cs="Times New Roman"/>
          <w:b/>
          <w:color w:val="000000"/>
          <w:sz w:val="21"/>
        </w:rPr>
        <w:t>2.3.2 MSFF-SARNet 增强型多尺度解码结构</w:t>
      </w:r>
    </w:p>
    <w:p w14:paraId="3A55C940">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MSFF-SARNet 是在 MSFormer-SARNet 基础上形成的增强型多尺度特征融合网络，其结构改动集中于解码端。该网络不改变五阶段 Transformer 编码器的多尺度上下文提取方式，而是针对基础 CNN 解码器中跨层信息利用不足的问题，对解码路径进行重构。具体而言，MSFF-SARNet 将原有加和式跨层连接扩展为拼接式跳跃连接，并在每一级解码尺度上引入显式特征融合模块和残差重建单元，从而提高浅层空间细节与深层上下文特征之间的协同表达能力。</w:t>
      </w:r>
    </w:p>
    <w:p w14:paraId="377AB51E">
      <w:pPr>
        <w:spacing w:before="0" w:after="0" w:line="360" w:lineRule="auto"/>
        <w:ind w:left="0" w:leftChars="0" w:firstLine="0" w:firstLineChars="0"/>
        <w:jc w:val="both"/>
        <w:rPr>
          <w:rFonts w:hint="eastAsia" w:eastAsia="楷体"/>
          <w:lang w:eastAsia="zh-CN"/>
        </w:rPr>
      </w:pPr>
      <w:r>
        <w:rPr>
          <w:rFonts w:hint="eastAsia" w:eastAsia="楷体"/>
          <w:lang w:eastAsia="zh-CN"/>
        </w:rPr>
        <w:drawing>
          <wp:inline distT="0" distB="0" distL="114300" distR="114300">
            <wp:extent cx="5297805" cy="2981960"/>
            <wp:effectExtent l="0" t="0" r="5715" b="5080"/>
            <wp:docPr id="5" name="图片 5"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5"/>
                    <pic:cNvPicPr>
                      <a:picLocks noChangeAspect="1"/>
                    </pic:cNvPicPr>
                  </pic:nvPicPr>
                  <pic:blipFill>
                    <a:blip r:embed="rId10"/>
                    <a:stretch>
                      <a:fillRect/>
                    </a:stretch>
                  </pic:blipFill>
                  <pic:spPr>
                    <a:xfrm>
                      <a:off x="0" y="0"/>
                      <a:ext cx="5297805" cy="2981960"/>
                    </a:xfrm>
                    <a:prstGeom prst="rect">
                      <a:avLst/>
                    </a:prstGeom>
                  </pic:spPr>
                </pic:pic>
              </a:graphicData>
            </a:graphic>
          </wp:inline>
        </w:drawing>
      </w:r>
    </w:p>
    <w:p w14:paraId="42448D17">
      <w:pPr>
        <w:pStyle w:val="12"/>
        <w:spacing w:before="60" w:after="60" w:line="240" w:lineRule="auto"/>
        <w:jc w:val="center"/>
        <w:rPr>
          <w:rFonts w:ascii="Times New Roman" w:hAnsi="Times New Roman" w:eastAsia="楷体" w:cs="Times New Roman"/>
          <w:color w:val="000000"/>
          <w:sz w:val="21"/>
        </w:rPr>
      </w:pPr>
      <w:r>
        <w:rPr>
          <w:rFonts w:ascii="楷体" w:hAnsi="楷体" w:eastAsia="楷体" w:cs="楷体"/>
          <w:b w:val="0"/>
          <w:i w:val="0"/>
          <w:color w:val="000000"/>
          <w:sz w:val="18"/>
        </w:rPr>
        <w:t>图5 MSFormer-SARNet 与 MSFF-SARNet 解码结构对比图</w:t>
      </w:r>
    </w:p>
    <w:p w14:paraId="1F215FA5">
      <w:pPr>
        <w:spacing w:before="0" w:after="0" w:line="360" w:lineRule="auto"/>
        <w:ind w:firstLine="420"/>
        <w:jc w:val="both"/>
        <w:rPr>
          <w:rFonts w:ascii="Times New Roman" w:hAnsi="Times New Roman" w:eastAsia="楷体" w:cs="Times New Roman"/>
          <w:color w:val="000000"/>
          <w:sz w:val="21"/>
        </w:rPr>
      </w:pPr>
    </w:p>
    <w:p w14:paraId="6CFCBF30">
      <w:pPr>
        <w:spacing w:before="0" w:after="0" w:line="360" w:lineRule="auto"/>
        <w:ind w:firstLine="420"/>
        <w:jc w:val="both"/>
      </w:pPr>
      <w:r>
        <w:rPr>
          <w:rFonts w:ascii="Times New Roman" w:hAnsi="Times New Roman" w:eastAsia="楷体" w:cs="Times New Roman"/>
          <w:color w:val="000000"/>
          <w:sz w:val="21"/>
        </w:rPr>
        <w:t>SAR 图像去噪并非单纯的平滑问题。对于均匀区域，模型需要有效抑制由相干成像引起的随机颗粒状扰动；对于非均匀区域，模型还需要保持建筑边缘、道路结构、农田纹理和强散射点等高频信息。基础 MSFormer-SARNet 已通过 Transformer 编码器获得多尺度上下文表征，并通过 CNN 解码器恢复图像空间分辨率，但其跨层连接主要依赖同尺度特征相加。该融合方式虽然能够降低参数量并保持训练稳定性，但在深浅层特征分布差异较大时，容易造成细节信息被削弱或上下文信息被局部纹理干扰。</w:t>
      </w:r>
    </w:p>
    <w:p w14:paraId="46BCF472">
      <w:pPr>
        <w:spacing w:before="0" w:after="0" w:line="360" w:lineRule="auto"/>
        <w:ind w:firstLine="420"/>
        <w:jc w:val="both"/>
      </w:pPr>
      <w:r>
        <w:rPr>
          <w:rFonts w:ascii="Times New Roman" w:hAnsi="Times New Roman" w:eastAsia="楷体" w:cs="Times New Roman"/>
          <w:color w:val="000000"/>
          <w:sz w:val="21"/>
        </w:rPr>
        <w:t>基于上述问题，MSFF-SARNet 对解码端进行针对性增强。其核心思想是在每一级解码阶段保留编码特征与解码特征的独立通道表征，再通过可学习卷积映射完成自适应融合，使网络能够根据不同尺度和不同区域的结构复杂度动态调整特征利用方式。该设计使解码器不再仅执行分辨率恢复，而是进一步承担跨尺度特征选择、局部结构校正和细节重建功能。</w:t>
      </w:r>
    </w:p>
    <w:bookmarkEnd w:id="12"/>
    <w:p w14:paraId="6FEA7731">
      <w:pPr>
        <w:pStyle w:val="5"/>
        <w:spacing w:before="120" w:after="60" w:line="360" w:lineRule="auto"/>
        <w:ind w:firstLine="0"/>
        <w:jc w:val="left"/>
      </w:pPr>
      <w:bookmarkStart w:id="13" w:name="拼接式跳跃连接"/>
      <w:r>
        <w:rPr>
          <w:rFonts w:ascii="Times New Roman" w:hAnsi="Times New Roman" w:eastAsia="黑体" w:cs="Times New Roman"/>
          <w:b/>
          <w:color w:val="000000"/>
          <w:sz w:val="21"/>
        </w:rPr>
        <w:t>2.3.3 拼接式跳跃连接</w:t>
      </w:r>
    </w:p>
    <w:p w14:paraId="7E558517">
      <w:pPr>
        <w:spacing w:before="0" w:after="0" w:line="360" w:lineRule="auto"/>
        <w:ind w:firstLine="420"/>
        <w:jc w:val="both"/>
      </w:pPr>
      <w:r>
        <w:rPr>
          <w:rFonts w:ascii="Times New Roman" w:hAnsi="Times New Roman" w:eastAsia="楷体" w:cs="Times New Roman"/>
          <w:color w:val="000000"/>
          <w:sz w:val="21"/>
        </w:rPr>
        <w:t xml:space="preserve">在 MSFF-SARNet 中，解码特征首先由上一层低分辨率表示经过上采样卷积映射到当前尺度，然后与编码器中对应尺度的特征沿通道维度拼接。设第 </w:t>
      </w:r>
      <w:r>
        <w:rPr>
          <w:rStyle w:val="38"/>
          <w:rFonts w:ascii="Times New Roman" w:hAnsi="Times New Roman" w:eastAsia="楷体" w:cs="Times New Roman"/>
          <w:color w:val="000000"/>
          <w:sz w:val="21"/>
        </w:rPr>
        <w:t>s</w:t>
      </w:r>
      <w:r>
        <w:rPr>
          <w:rFonts w:ascii="Times New Roman" w:hAnsi="Times New Roman" w:eastAsia="楷体" w:cs="Times New Roman"/>
          <w:color w:val="000000"/>
          <w:sz w:val="21"/>
        </w:rPr>
        <w:t xml:space="preserve"> 个尺度的上采样解码特征为 </w:t>
      </w:r>
      <w:r>
        <w:rPr>
          <w:rStyle w:val="38"/>
          <w:rFonts w:ascii="Times New Roman" w:hAnsi="Times New Roman" w:eastAsia="楷体" w:cs="Times New Roman"/>
          <w:color w:val="000000"/>
          <w:sz w:val="21"/>
        </w:rPr>
        <w:t>D_s</w:t>
      </w:r>
      <w:r>
        <w:rPr>
          <w:rFonts w:ascii="Times New Roman" w:hAnsi="Times New Roman" w:eastAsia="楷体" w:cs="Times New Roman"/>
          <w:color w:val="000000"/>
          <w:sz w:val="21"/>
        </w:rPr>
        <w:t xml:space="preserve">，编码器同尺度特征为 </w:t>
      </w:r>
      <w:r>
        <w:rPr>
          <w:rStyle w:val="38"/>
          <w:rFonts w:ascii="Times New Roman" w:hAnsi="Times New Roman" w:eastAsia="楷体" w:cs="Times New Roman"/>
          <w:color w:val="000000"/>
          <w:sz w:val="21"/>
        </w:rPr>
        <w:t>E_s</w:t>
      </w:r>
      <w:r>
        <w:rPr>
          <w:rFonts w:ascii="Times New Roman" w:hAnsi="Times New Roman" w:eastAsia="楷体" w:cs="Times New Roman"/>
          <w:color w:val="000000"/>
          <w:sz w:val="21"/>
        </w:rPr>
        <w:t>，则拼接式跳跃连接可表示为</w:t>
      </w:r>
    </w:p>
    <w:p w14:paraId="5C3B8398">
      <w:pPr>
        <w:tabs>
          <w:tab w:val="center" w:pos="4155"/>
          <w:tab w:val="right" w:pos="8310"/>
        </w:tabs>
        <w:spacing w:before="120" w:after="120" w:line="360" w:lineRule="auto"/>
        <w:jc w:val="left"/>
      </w:pPr>
      <w:r>
        <w:tab/>
      </w:r>
      <m:oMath>
        <m:sSub>
          <m:sSubPr>
            <m:ctrlPr>
              <w:rPr>
                <w:rFonts w:hint="default" w:ascii="Cambria Math" w:hAnsi="Cambria Math"/>
              </w:rPr>
            </m:ctrlPr>
          </m:sSubPr>
          <m:e>
            <m:r>
              <m:rPr/>
              <w:rPr>
                <w:rFonts w:hint="default" w:ascii="Cambria Math" w:hAnsi="Cambria Math"/>
              </w:rPr>
              <m:t>F</m:t>
            </m:r>
            <m:ctrlPr>
              <w:rPr>
                <w:rFonts w:ascii="Cambria Math" w:hAnsi="Cambria Math"/>
              </w:rPr>
            </m:ctrlPr>
          </m:e>
          <m:sub>
            <m:r>
              <m:rPr/>
              <w:rPr>
                <w:rFonts w:hint="default" w:ascii="Cambria Math" w:hAnsi="Cambria Math"/>
              </w:rPr>
              <m:t>s</m:t>
            </m:r>
            <m:ctrlPr>
              <w:rPr>
                <w:rFonts w:ascii="Cambria Math" w:hAnsi="Cambria Math"/>
              </w:rPr>
            </m:ctrlPr>
          </m:sub>
        </m:sSub>
        <m:r>
          <m:rPr>
            <m:sty m:val="p"/>
          </m:rPr>
          <w:rPr>
            <w:rFonts w:hint="default" w:ascii="Cambria Math" w:hAnsi="Cambria Math"/>
          </w:rPr>
          <m:t>=Concat</m:t>
        </m:r>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D</m:t>
                </m:r>
                <m:ctrlPr>
                  <w:rPr>
                    <w:rFonts w:ascii="Cambria Math" w:hAnsi="Cambria Math"/>
                  </w:rPr>
                </m:ctrlPr>
              </m:e>
              <m:sub>
                <m:r>
                  <m:rPr/>
                  <w:rPr>
                    <w:rFonts w:hint="default" w:ascii="Cambria Math" w:hAnsi="Cambria Math"/>
                  </w:rPr>
                  <m:t>s</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w:rPr>
                    <w:rFonts w:hint="default" w:ascii="Cambria Math" w:hAnsi="Cambria Math"/>
                  </w:rPr>
                  <m:t>s</m:t>
                </m:r>
                <m:ctrlPr>
                  <w:rPr>
                    <w:rFonts w:ascii="Cambria Math" w:hAnsi="Cambria Math"/>
                  </w:rPr>
                </m:ctrlPr>
              </m:sub>
            </m:sSub>
            <m:ctrlPr>
              <w:rPr>
                <w:rFonts w:hint="default" w:ascii="Cambria Math" w:hAnsi="Cambria Math"/>
              </w:rPr>
            </m:ctrlPr>
          </m:e>
        </m:d>
      </m:oMath>
      <w:r>
        <w:rPr>
          <w:rFonts w:ascii="Times New Roman" w:hAnsi="Times New Roman" w:eastAsia="宋体"/>
          <w:sz w:val="21"/>
          <w:szCs w:val="21"/>
        </w:rPr>
        <w:tab/>
      </w:r>
      <w:r>
        <w:rPr>
          <w:rFonts w:ascii="Times New Roman" w:hAnsi="Times New Roman" w:eastAsia="宋体"/>
          <w:sz w:val="21"/>
          <w:szCs w:val="21"/>
        </w:rPr>
        <w:t>（2）</w:t>
      </w:r>
    </w:p>
    <w:p w14:paraId="33E87559">
      <w:pPr>
        <w:spacing w:before="0" w:after="0" w:line="360" w:lineRule="auto"/>
        <w:ind w:firstLine="420"/>
        <w:jc w:val="both"/>
      </w:pPr>
      <w:r>
        <w:rPr>
          <w:rFonts w:ascii="Times New Roman" w:hAnsi="Times New Roman" w:eastAsia="楷体" w:cs="Times New Roman"/>
          <w:color w:val="000000"/>
          <w:sz w:val="21"/>
        </w:rPr>
        <w:t>该连接方式与加和式跳跃连接具有本质区别。加和连接要求两类特征在相同通道位置上直接叠加，融合过程缺少显式选择机制；拼接连接则在通道维度上保留二者的完整表征，使后续卷积层能够学习不同通道之间的权重关系。对于 SAR 图像中的复杂地物区域，浅层特征提供边缘和纹理定位信息，深层特征提供区域一致性和上下文约束。拼接式连接能够避免二者在融合前发生信息抵消，从而提高细节保持和区域平滑之间的平衡能力。</w:t>
      </w:r>
    </w:p>
    <w:p w14:paraId="2E80124C">
      <w:pPr>
        <w:spacing w:before="0" w:after="0" w:line="360" w:lineRule="auto"/>
        <w:ind w:firstLine="420"/>
        <w:jc w:val="both"/>
      </w:pPr>
      <w:r>
        <w:rPr>
          <w:rFonts w:ascii="Times New Roman" w:hAnsi="Times New Roman" w:eastAsia="楷体" w:cs="Times New Roman"/>
          <w:color w:val="000000"/>
          <w:sz w:val="21"/>
        </w:rPr>
        <w:t xml:space="preserve">在具体解码流程中，最深层 </w:t>
      </w:r>
      <w:r>
        <w:rPr>
          <w:rStyle w:val="38"/>
          <w:rFonts w:ascii="Times New Roman" w:hAnsi="Times New Roman" w:eastAsia="楷体" w:cs="Times New Roman"/>
          <w:color w:val="000000"/>
          <w:sz w:val="21"/>
        </w:rPr>
        <w:t>8×8</w:t>
      </w:r>
      <w:r>
        <w:rPr>
          <w:rFonts w:ascii="Times New Roman" w:hAnsi="Times New Roman" w:eastAsia="楷体" w:cs="Times New Roman"/>
          <w:color w:val="000000"/>
          <w:sz w:val="21"/>
        </w:rPr>
        <w:t xml:space="preserve"> 特征经上采样后与 </w:t>
      </w:r>
      <w:r>
        <w:rPr>
          <w:rStyle w:val="38"/>
          <w:rFonts w:ascii="Times New Roman" w:hAnsi="Times New Roman" w:eastAsia="楷体" w:cs="Times New Roman"/>
          <w:color w:val="000000"/>
          <w:sz w:val="21"/>
        </w:rPr>
        <w:t>16×16</w:t>
      </w:r>
      <w:r>
        <w:rPr>
          <w:rFonts w:ascii="Times New Roman" w:hAnsi="Times New Roman" w:eastAsia="楷体" w:cs="Times New Roman"/>
          <w:color w:val="000000"/>
          <w:sz w:val="21"/>
        </w:rPr>
        <w:t xml:space="preserve"> 编码特征拼接，形成联合特征；随后在 </w:t>
      </w:r>
      <w:r>
        <w:rPr>
          <w:rStyle w:val="38"/>
          <w:rFonts w:ascii="Times New Roman" w:hAnsi="Times New Roman" w:eastAsia="楷体" w:cs="Times New Roman"/>
          <w:color w:val="000000"/>
          <w:sz w:val="21"/>
        </w:rPr>
        <w:t>32×32</w:t>
      </w:r>
      <w:r>
        <w:rPr>
          <w:rFonts w:ascii="Times New Roman" w:hAnsi="Times New Roman" w:eastAsia="楷体" w:cs="Times New Roman"/>
          <w:color w:val="000000"/>
          <w:sz w:val="21"/>
        </w:rPr>
        <w:t>、</w:t>
      </w:r>
      <w:r>
        <w:rPr>
          <w:rStyle w:val="38"/>
          <w:rFonts w:ascii="Times New Roman" w:hAnsi="Times New Roman" w:eastAsia="楷体" w:cs="Times New Roman"/>
          <w:color w:val="000000"/>
          <w:sz w:val="21"/>
        </w:rPr>
        <w:t>64×64</w:t>
      </w:r>
      <w:r>
        <w:rPr>
          <w:rFonts w:ascii="Times New Roman" w:hAnsi="Times New Roman" w:eastAsia="楷体" w:cs="Times New Roman"/>
          <w:color w:val="000000"/>
          <w:sz w:val="21"/>
        </w:rPr>
        <w:t xml:space="preserve"> 和 </w:t>
      </w:r>
      <w:r>
        <w:rPr>
          <w:rStyle w:val="38"/>
          <w:rFonts w:ascii="Times New Roman" w:hAnsi="Times New Roman" w:eastAsia="楷体" w:cs="Times New Roman"/>
          <w:color w:val="000000"/>
          <w:sz w:val="21"/>
        </w:rPr>
        <w:t>128×128</w:t>
      </w:r>
      <w:r>
        <w:rPr>
          <w:rFonts w:ascii="Times New Roman" w:hAnsi="Times New Roman" w:eastAsia="楷体" w:cs="Times New Roman"/>
          <w:color w:val="000000"/>
          <w:sz w:val="21"/>
        </w:rPr>
        <w:t xml:space="preserve"> 尺度重复该操作。该多尺度跳跃结构使编码器在不同分辨率下提取的空间信息均能参与最终重建，减少由连续下采样带来的边缘退化和纹理损失。</w:t>
      </w:r>
    </w:p>
    <w:bookmarkEnd w:id="13"/>
    <w:p w14:paraId="0548C907">
      <w:pPr>
        <w:pStyle w:val="5"/>
        <w:spacing w:before="120" w:after="60" w:line="360" w:lineRule="auto"/>
        <w:ind w:firstLine="0"/>
        <w:jc w:val="left"/>
      </w:pPr>
      <w:bookmarkStart w:id="14" w:name="多尺度特征融合模块"/>
      <w:r>
        <w:rPr>
          <w:rFonts w:ascii="Times New Roman" w:hAnsi="Times New Roman" w:eastAsia="黑体" w:cs="Times New Roman"/>
          <w:b/>
          <w:color w:val="000000"/>
          <w:sz w:val="21"/>
        </w:rPr>
        <w:t>2.3.4 多尺度特征融合模块</w:t>
      </w:r>
    </w:p>
    <w:p w14:paraId="1835580E">
      <w:pPr>
        <w:spacing w:before="0" w:after="0" w:line="360" w:lineRule="auto"/>
        <w:ind w:firstLine="420"/>
        <w:jc w:val="both"/>
      </w:pPr>
      <w:r>
        <w:rPr>
          <w:rFonts w:ascii="Times New Roman" w:hAnsi="Times New Roman" w:eastAsia="楷体" w:cs="Times New Roman"/>
          <w:color w:val="000000"/>
          <w:sz w:val="21"/>
        </w:rPr>
        <w:t xml:space="preserve">拼接后的联合特征具有较高通道维度，不能直接作为稳定的重建特征使用。因此，MSFF-SARNet 在每一级跳跃连接后引入 </w:t>
      </w:r>
      <w:r>
        <w:rPr>
          <w:rStyle w:val="38"/>
          <w:rFonts w:ascii="Times New Roman" w:hAnsi="Times New Roman" w:eastAsia="楷体" w:cs="Times New Roman"/>
          <w:color w:val="000000"/>
          <w:sz w:val="21"/>
        </w:rPr>
        <w:t>FusionBlock</w:t>
      </w:r>
      <w:r>
        <w:rPr>
          <w:rFonts w:ascii="Times New Roman" w:hAnsi="Times New Roman" w:eastAsia="楷体" w:cs="Times New Roman"/>
          <w:color w:val="000000"/>
          <w:sz w:val="21"/>
        </w:rPr>
        <w:t xml:space="preserve">，用于完成通道压缩、特征筛选和跨尺度信息交互。设拼接特征为 </w:t>
      </w:r>
      <w:r>
        <w:rPr>
          <w:rStyle w:val="38"/>
          <w:rFonts w:ascii="Times New Roman" w:hAnsi="Times New Roman" w:eastAsia="楷体" w:cs="Times New Roman"/>
          <w:color w:val="000000"/>
          <w:sz w:val="21"/>
        </w:rPr>
        <w:t>F_s</w:t>
      </w:r>
      <w:r>
        <w:rPr>
          <w:rFonts w:ascii="Times New Roman" w:hAnsi="Times New Roman" w:eastAsia="楷体" w:cs="Times New Roman"/>
          <w:color w:val="000000"/>
          <w:sz w:val="21"/>
        </w:rPr>
        <w:t xml:space="preserve">，融合输出为 </w:t>
      </w:r>
      <w:r>
        <w:rPr>
          <w:rStyle w:val="38"/>
          <w:rFonts w:ascii="Times New Roman" w:hAnsi="Times New Roman" w:eastAsia="楷体" w:cs="Times New Roman"/>
          <w:color w:val="000000"/>
          <w:sz w:val="21"/>
        </w:rPr>
        <w:t>\hat{F}_s</w:t>
      </w:r>
      <w:r>
        <w:rPr>
          <w:rFonts w:ascii="Times New Roman" w:hAnsi="Times New Roman" w:eastAsia="楷体" w:cs="Times New Roman"/>
          <w:color w:val="000000"/>
          <w:sz w:val="21"/>
        </w:rPr>
        <w:t>，则该过程可写为</w:t>
      </w:r>
    </w:p>
    <w:p w14:paraId="141DBA84">
      <w:pPr>
        <w:tabs>
          <w:tab w:val="center" w:pos="4155"/>
          <w:tab w:val="right" w:pos="8310"/>
        </w:tabs>
        <w:spacing w:before="120" w:after="120" w:line="360" w:lineRule="auto"/>
        <w:jc w:val="left"/>
      </w:pPr>
      <w:r>
        <w:tab/>
      </w:r>
      <m:oMath>
        <m:sSub>
          <m:sSubPr/>
          <m:e>
            <m:acc>
              <m:accPr/>
              <m:e>
                <m:r>
                  <m:rPr/>
                  <m:t>F</m:t>
                </m:r>
              </m:e>
            </m:acc>
          </m:e>
          <m:sub>
            <m:r>
              <m:rPr/>
              <m:t>s</m:t>
            </m:r>
          </m:sub>
        </m:sSub>
        <m:r>
          <m:rPr>
            <m:sty m:val="p"/>
          </m:rPr>
          <m:t>=</m:t>
        </m:r>
        <m:sSub>
          <m:sSubPr/>
          <m:e>
            <m:r>
              <m:rPr/>
              <m:t>Φ</m:t>
            </m:r>
          </m:e>
          <m:sub>
            <m:r>
              <m:rPr/>
              <m:t>s</m:t>
            </m:r>
          </m:sub>
        </m:sSub>
        <m:d>
          <m:dPr>
            <m:sepChr m:val=""/>
          </m:dPr>
          <m:e>
            <m:sSub>
              <m:sSubPr/>
              <m:e>
                <m:r>
                  <m:rPr/>
                  <m:t>F</m:t>
                </m:r>
              </m:e>
              <m:sub>
                <m:r>
                  <m:rPr/>
                  <m:t>s</m:t>
                </m:r>
              </m:sub>
            </m:sSub>
          </m:e>
        </m:d>
      </m:oMath>
      <w:r>
        <w:rPr>
          <w:rFonts w:ascii="Times New Roman" w:hAnsi="Times New Roman" w:eastAsia="宋体"/>
          <w:sz w:val="21"/>
          <w:szCs w:val="21"/>
        </w:rPr>
        <w:tab/>
      </w:r>
      <w:r>
        <w:rPr>
          <w:rFonts w:ascii="Times New Roman" w:hAnsi="Times New Roman" w:eastAsia="宋体"/>
          <w:sz w:val="21"/>
          <w:szCs w:val="21"/>
        </w:rPr>
        <w:t>（3）</w:t>
      </w:r>
    </w:p>
    <w:p w14:paraId="41EFE81C">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Φ_s</w:t>
      </w:r>
      <w:r>
        <w:rPr>
          <w:rFonts w:ascii="Times New Roman" w:hAnsi="Times New Roman" w:eastAsia="楷体" w:cs="Times New Roman"/>
          <w:color w:val="000000"/>
          <w:sz w:val="21"/>
        </w:rPr>
        <w:t xml:space="preserve"> 表示当前尺度上的卷积融合映射。该模块的作用并不局限于降低通道数，而是通过局部卷积运算学习编码特征与解码特征之间的互补关系。对于强散射点和边缘区域，融合模块可增强浅层高频响应；对于均匀区域，融合模块可更多利用深层上下文约束，以抑制 speckle 噪声导致的随机波动。</w:t>
      </w:r>
    </w:p>
    <w:p w14:paraId="72242A21">
      <w:pPr>
        <w:spacing w:before="0" w:after="0" w:line="360" w:lineRule="auto"/>
        <w:ind w:firstLine="420"/>
        <w:jc w:val="both"/>
      </w:pPr>
      <w:r>
        <w:rPr>
          <w:rFonts w:ascii="Times New Roman" w:hAnsi="Times New Roman" w:eastAsia="楷体" w:cs="Times New Roman"/>
          <w:color w:val="000000"/>
          <w:sz w:val="21"/>
        </w:rPr>
        <w:t>多尺度融合机制还改善了解码器的尺度一致性。由于 SAR 图像中的结构信息分布在不同空间尺度上，单一尺度的特征恢复难以同时兼顾大尺度区域平滑和小尺度纹理保持。</w:t>
      </w:r>
      <w:r>
        <w:rPr>
          <w:rStyle w:val="38"/>
          <w:rFonts w:ascii="Times New Roman" w:hAnsi="Times New Roman" w:eastAsia="楷体" w:cs="Times New Roman"/>
          <w:color w:val="000000"/>
          <w:sz w:val="21"/>
        </w:rPr>
        <w:t>FusionBlock</w:t>
      </w:r>
      <w:r>
        <w:rPr>
          <w:rFonts w:ascii="Times New Roman" w:hAnsi="Times New Roman" w:eastAsia="楷体" w:cs="Times New Roman"/>
          <w:color w:val="000000"/>
          <w:sz w:val="21"/>
        </w:rPr>
        <w:t xml:space="preserve"> 在各级解码阶段分别执行特征重标定，使网络能够在粗尺度上建模区域结构，在细尺度上恢复边缘和纹理，从而形成逐级递进的空间重建过程。</w:t>
      </w:r>
    </w:p>
    <w:bookmarkEnd w:id="14"/>
    <w:p w14:paraId="1DB1901B">
      <w:pPr>
        <w:pStyle w:val="5"/>
        <w:spacing w:before="120" w:after="60" w:line="360" w:lineRule="auto"/>
        <w:ind w:firstLine="0"/>
        <w:jc w:val="left"/>
      </w:pPr>
      <w:bookmarkStart w:id="15" w:name="残差重建机制"/>
      <w:r>
        <w:rPr>
          <w:rFonts w:ascii="Times New Roman" w:hAnsi="Times New Roman" w:eastAsia="黑体" w:cs="Times New Roman"/>
          <w:b/>
          <w:color w:val="000000"/>
          <w:sz w:val="21"/>
        </w:rPr>
        <w:t>2.3.5 残差重建机制</w:t>
      </w:r>
    </w:p>
    <w:p w14:paraId="07866B91">
      <w:pPr>
        <w:spacing w:before="0" w:after="0" w:line="360" w:lineRule="auto"/>
        <w:ind w:firstLine="420"/>
        <w:jc w:val="both"/>
      </w:pPr>
      <w:r>
        <w:rPr>
          <w:rFonts w:ascii="Times New Roman" w:hAnsi="Times New Roman" w:eastAsia="楷体" w:cs="Times New Roman"/>
          <w:color w:val="000000"/>
          <w:sz w:val="21"/>
        </w:rPr>
        <w:t>在完成特征融合后，MSFF-SARNet 进一步引入残差重建单元，对当前尺度的融合特征进行局部细化。该过程可表示为</w:t>
      </w:r>
    </w:p>
    <w:p w14:paraId="33197231">
      <w:pPr>
        <w:tabs>
          <w:tab w:val="center" w:pos="4155"/>
          <w:tab w:val="right" w:pos="8310"/>
        </w:tabs>
        <w:spacing w:before="120" w:after="120" w:line="360" w:lineRule="auto"/>
        <w:jc w:val="left"/>
      </w:pPr>
      <w:r>
        <w:tab/>
      </w:r>
      <m:oMath>
        <m:sSub>
          <m:sSubPr/>
          <m:e>
            <m:acc>
              <m:accPr>
                <m:chr m:val="̃"/>
              </m:accPr>
              <m:e>
                <m:r>
                  <m:rPr/>
                  <m:t>F</m:t>
                </m:r>
              </m:e>
            </m:acc>
          </m:e>
          <m:sub>
            <m:r>
              <m:rPr/>
              <m:t>s</m:t>
            </m:r>
          </m:sub>
        </m:sSub>
        <m:r>
          <m:rPr>
            <m:sty m:val="p"/>
          </m:rPr>
          <m:t>=</m:t>
        </m:r>
        <m:sSub>
          <m:sSubPr/>
          <m:e>
            <m:acc>
              <m:accPr/>
              <m:e>
                <m:r>
                  <m:rPr/>
                  <m:t>F</m:t>
                </m:r>
              </m:e>
            </m:acc>
          </m:e>
          <m:sub>
            <m:r>
              <m:rPr/>
              <m:t>s</m:t>
            </m:r>
          </m:sub>
        </m:sSub>
        <m:r>
          <m:rPr>
            <m:sty m:val="p"/>
          </m:rPr>
          <m:t>+</m:t>
        </m:r>
        <m:sSub>
          <m:sSubPr/>
          <m:e>
            <m:r>
              <m:rPr>
                <m:sty m:val="p"/>
                <m:scr m:val="script"/>
              </m:rPr>
              <m:t>ℛ</m:t>
            </m:r>
          </m:e>
          <m:sub>
            <m:r>
              <m:rPr/>
              <m:t>s</m:t>
            </m:r>
          </m:sub>
        </m:sSub>
        <m:d>
          <m:dPr>
            <m:sepChr m:val=""/>
          </m:dPr>
          <m:e>
            <m:sSub>
              <m:sSubPr/>
              <m:e>
                <m:acc>
                  <m:accPr/>
                  <m:e>
                    <m:r>
                      <m:rPr/>
                      <m:t>F</m:t>
                    </m:r>
                  </m:e>
                </m:acc>
              </m:e>
              <m:sub>
                <m:r>
                  <m:rPr/>
                  <m:t>s</m:t>
                </m:r>
              </m:sub>
            </m:sSub>
          </m:e>
        </m:d>
      </m:oMath>
      <w:r>
        <w:rPr>
          <w:rFonts w:ascii="Times New Roman" w:hAnsi="Times New Roman" w:eastAsia="宋体"/>
          <w:sz w:val="21"/>
          <w:szCs w:val="21"/>
        </w:rPr>
        <w:tab/>
      </w:r>
      <w:r>
        <w:rPr>
          <w:rFonts w:ascii="Times New Roman" w:hAnsi="Times New Roman" w:eastAsia="宋体"/>
          <w:sz w:val="21"/>
          <w:szCs w:val="21"/>
        </w:rPr>
        <w:t>（4）</w:t>
      </w:r>
    </w:p>
    <w:p w14:paraId="57F5242B">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𝓡_s</w:t>
      </w:r>
      <w:r>
        <w:rPr>
          <w:rFonts w:ascii="Times New Roman" w:hAnsi="Times New Roman" w:eastAsia="楷体" w:cs="Times New Roman"/>
          <w:color w:val="000000"/>
          <w:sz w:val="21"/>
        </w:rPr>
        <w:t xml:space="preserve"> 表示由卷积层构成的残差映射。残差重建的引入具有明确的图像恢复意义：主分支保留已融合的稳定特征，残差分支学习由上采样和特征融合引起的局部偏差修正。与直接堆叠卷积层相比，残差形式能够改善梯度传播并降低深层解码器的优化难度，同时有助于减少上采样过程中可能产生的纹理断裂、边缘扩散和局部灰度失真。</w:t>
      </w:r>
    </w:p>
    <w:p w14:paraId="12F900A6">
      <w:pPr>
        <w:spacing w:before="0" w:after="0" w:line="360" w:lineRule="auto"/>
        <w:ind w:firstLine="420"/>
        <w:jc w:val="both"/>
      </w:pPr>
      <w:r>
        <w:rPr>
          <w:rFonts w:ascii="Times New Roman" w:hAnsi="Times New Roman" w:eastAsia="楷体" w:cs="Times New Roman"/>
          <w:color w:val="000000"/>
          <w:sz w:val="21"/>
        </w:rPr>
        <w:t>在 SAR 去噪任务中，残差重建单元可被理解为对结构细节的二次校正。斑点噪声与真实纹理在局部高频分量上具有一定相似性，若解码器缺少精细修正机制，容易出现噪声残留或纹理过平滑。残差重建通过学习尺度内的局部修正项，使模型能够在保持主干恢复稳定性的同时增强边缘连续性和纹理可辨性。</w:t>
      </w:r>
    </w:p>
    <w:bookmarkEnd w:id="15"/>
    <w:p w14:paraId="18FFFA6A">
      <w:pPr>
        <w:pStyle w:val="5"/>
        <w:spacing w:before="120" w:after="60" w:line="360" w:lineRule="auto"/>
        <w:ind w:firstLine="0"/>
        <w:jc w:val="left"/>
      </w:pPr>
      <w:bookmarkStart w:id="16" w:name="解码路径与结构定位"/>
      <w:r>
        <w:rPr>
          <w:rFonts w:ascii="Times New Roman" w:hAnsi="Times New Roman" w:eastAsia="黑体" w:cs="Times New Roman"/>
          <w:b/>
          <w:color w:val="000000"/>
          <w:sz w:val="21"/>
        </w:rPr>
        <w:t>2.3.6 解码路径与结构定位</w:t>
      </w:r>
    </w:p>
    <w:p w14:paraId="773CBDB1">
      <w:pPr>
        <w:spacing w:before="0" w:after="0" w:line="360" w:lineRule="auto"/>
        <w:ind w:firstLine="420"/>
        <w:jc w:val="both"/>
      </w:pPr>
      <w:r>
        <w:rPr>
          <w:rFonts w:ascii="Times New Roman" w:hAnsi="Times New Roman" w:eastAsia="楷体" w:cs="Times New Roman"/>
          <w:color w:val="000000"/>
          <w:sz w:val="21"/>
        </w:rPr>
        <w:t>综合上述模块，MSFF-SARNet 的解码过程可整理为表格形式。该路径表明，MSFF-SARNet 并非对基础网络进行简单堆叠，而是围绕解码阶段的跨尺度信息交互能力进行结构重构。相较于 MSFormer-SARNet，其主要优势体现在三点：拼接式跳跃连接保留了深浅层特征的完整表达，FusionBlock 提供了可学习的跨尺度特征选择机制，残差重建单元增强了局部结构校正能力。因此，MSFF-SARNet 在本文网络体系中承担承上启下的作用：向前继承 MSFormer-SARNet 的五阶段 Transformer-CNN 编码—解码主干，向后为频域增强、噪声先验门控和双域恢复机制提供更稳定的多尺度解码基础。</w:t>
      </w:r>
    </w:p>
    <w:p w14:paraId="0CD781F1">
      <w:pPr>
        <w:pStyle w:val="12"/>
        <w:spacing w:before="60" w:after="60" w:line="240" w:lineRule="auto"/>
        <w:jc w:val="center"/>
      </w:pPr>
      <w:r>
        <w:rPr>
          <w:rFonts w:ascii="楷体" w:hAnsi="楷体" w:eastAsia="楷体" w:cs="楷体"/>
          <w:b w:val="0"/>
          <w:i w:val="0"/>
          <w:color w:val="000000"/>
          <w:sz w:val="18"/>
        </w:rPr>
        <w:t>表3 MSFF-SARNet 解码路径与结构作用</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836"/>
        <w:gridCol w:w="1630"/>
        <w:gridCol w:w="3414"/>
        <w:gridCol w:w="2592"/>
      </w:tblGrid>
      <w:tr w14:paraId="5C1559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07932395">
            <w:pPr>
              <w:pStyle w:val="25"/>
              <w:spacing w:before="0" w:after="0" w:line="240" w:lineRule="auto"/>
              <w:ind w:firstLine="0"/>
              <w:jc w:val="left"/>
            </w:pPr>
            <w:r>
              <w:rPr>
                <w:rFonts w:ascii="楷体" w:hAnsi="楷体" w:eastAsia="楷体" w:cs="楷体"/>
                <w:b/>
                <w:color w:val="000000"/>
                <w:sz w:val="18"/>
              </w:rPr>
              <w:t>解码阶段</w:t>
            </w:r>
          </w:p>
        </w:tc>
        <w:tc>
          <w:tcPr>
            <w:tcMar>
              <w:top w:w="80" w:type="dxa"/>
              <w:left w:w="80" w:type="dxa"/>
              <w:bottom w:w="80" w:type="dxa"/>
              <w:right w:w="80" w:type="dxa"/>
            </w:tcMar>
            <w:vAlign w:val="center"/>
          </w:tcPr>
          <w:p w14:paraId="6FCBD9F5">
            <w:pPr>
              <w:pStyle w:val="25"/>
              <w:spacing w:before="0" w:after="0" w:line="240" w:lineRule="auto"/>
              <w:ind w:firstLine="0"/>
              <w:jc w:val="left"/>
            </w:pPr>
            <w:r>
              <w:rPr>
                <w:rFonts w:ascii="楷体" w:hAnsi="楷体" w:eastAsia="楷体" w:cs="楷体"/>
                <w:b/>
                <w:color w:val="000000"/>
                <w:sz w:val="18"/>
              </w:rPr>
              <w:t>跨尺度输入</w:t>
            </w:r>
          </w:p>
        </w:tc>
        <w:tc>
          <w:tcPr>
            <w:tcMar>
              <w:top w:w="80" w:type="dxa"/>
              <w:left w:w="80" w:type="dxa"/>
              <w:bottom w:w="80" w:type="dxa"/>
              <w:right w:w="80" w:type="dxa"/>
            </w:tcMar>
            <w:vAlign w:val="center"/>
          </w:tcPr>
          <w:p w14:paraId="06A2F14A">
            <w:pPr>
              <w:pStyle w:val="25"/>
              <w:spacing w:before="0" w:after="0" w:line="240" w:lineRule="auto"/>
              <w:ind w:firstLine="0"/>
              <w:jc w:val="left"/>
            </w:pPr>
            <w:r>
              <w:rPr>
                <w:rFonts w:ascii="楷体" w:hAnsi="楷体" w:eastAsia="楷体" w:cs="楷体"/>
                <w:b/>
                <w:color w:val="000000"/>
                <w:sz w:val="18"/>
              </w:rPr>
              <w:t>融合与重建操作</w:t>
            </w:r>
          </w:p>
        </w:tc>
        <w:tc>
          <w:tcPr>
            <w:tcMar>
              <w:top w:w="80" w:type="dxa"/>
              <w:left w:w="80" w:type="dxa"/>
              <w:bottom w:w="80" w:type="dxa"/>
              <w:right w:w="80" w:type="dxa"/>
            </w:tcMar>
            <w:vAlign w:val="center"/>
          </w:tcPr>
          <w:p w14:paraId="1CF80CC2">
            <w:pPr>
              <w:pStyle w:val="25"/>
              <w:spacing w:before="0" w:after="0" w:line="240" w:lineRule="auto"/>
              <w:ind w:firstLine="0"/>
              <w:jc w:val="left"/>
            </w:pPr>
            <w:r>
              <w:rPr>
                <w:rFonts w:ascii="楷体" w:hAnsi="楷体" w:eastAsia="楷体" w:cs="楷体"/>
                <w:b/>
                <w:color w:val="000000"/>
                <w:sz w:val="18"/>
              </w:rPr>
              <w:t>结构作用</w:t>
            </w:r>
          </w:p>
        </w:tc>
      </w:tr>
      <w:tr w14:paraId="05AB79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47F43E0D">
            <w:pPr>
              <w:pStyle w:val="25"/>
              <w:spacing w:before="0" w:after="0" w:line="240" w:lineRule="auto"/>
              <w:ind w:firstLine="0"/>
              <w:jc w:val="left"/>
            </w:pPr>
            <w:r>
              <w:rPr>
                <w:rFonts w:ascii="楷体" w:hAnsi="楷体" w:eastAsia="楷体" w:cs="楷体"/>
                <w:color w:val="000000"/>
                <w:sz w:val="18"/>
              </w:rPr>
              <w:t>Stage 1</w:t>
            </w:r>
          </w:p>
        </w:tc>
        <w:tc>
          <w:tcPr>
            <w:tcMar>
              <w:top w:w="80" w:type="dxa"/>
              <w:left w:w="80" w:type="dxa"/>
              <w:bottom w:w="80" w:type="dxa"/>
              <w:right w:w="80" w:type="dxa"/>
            </w:tcMar>
            <w:vAlign w:val="center"/>
          </w:tcPr>
          <w:p w14:paraId="31257A5A">
            <w:pPr>
              <w:pStyle w:val="25"/>
              <w:spacing w:before="0" w:after="0" w:line="240" w:lineRule="auto"/>
              <w:ind w:firstLine="0"/>
              <w:jc w:val="left"/>
            </w:pPr>
            <w:r>
              <w:rPr>
                <w:rFonts w:ascii="楷体" w:hAnsi="楷体" w:eastAsia="楷体" w:cs="楷体"/>
                <w:color w:val="000000"/>
                <w:sz w:val="18"/>
              </w:rPr>
              <w:t>x1[4]与x1[3]</w:t>
            </w:r>
          </w:p>
        </w:tc>
        <w:tc>
          <w:tcPr>
            <w:tcMar>
              <w:top w:w="80" w:type="dxa"/>
              <w:left w:w="80" w:type="dxa"/>
              <w:bottom w:w="80" w:type="dxa"/>
              <w:right w:w="80" w:type="dxa"/>
            </w:tcMar>
            <w:vAlign w:val="center"/>
          </w:tcPr>
          <w:p w14:paraId="7CEF097D">
            <w:pPr>
              <w:pStyle w:val="25"/>
              <w:spacing w:before="0" w:after="0" w:line="240" w:lineRule="auto"/>
              <w:ind w:firstLine="0"/>
              <w:jc w:val="left"/>
            </w:pPr>
            <w:r>
              <w:rPr>
                <w:rFonts w:ascii="楷体" w:hAnsi="楷体" w:eastAsia="楷体" w:cs="楷体"/>
                <w:color w:val="000000"/>
                <w:sz w:val="18"/>
              </w:rPr>
              <w:t>Up + Concat + FusionBlock + ResidualBlock</w:t>
            </w:r>
          </w:p>
        </w:tc>
        <w:tc>
          <w:tcPr>
            <w:tcMar>
              <w:top w:w="80" w:type="dxa"/>
              <w:left w:w="80" w:type="dxa"/>
              <w:bottom w:w="80" w:type="dxa"/>
              <w:right w:w="80" w:type="dxa"/>
            </w:tcMar>
            <w:vAlign w:val="center"/>
          </w:tcPr>
          <w:p w14:paraId="78ED08A5">
            <w:pPr>
              <w:pStyle w:val="25"/>
              <w:spacing w:before="0" w:after="0" w:line="240" w:lineRule="auto"/>
              <w:ind w:firstLine="0"/>
              <w:jc w:val="left"/>
            </w:pPr>
            <w:r>
              <w:rPr>
                <w:rFonts w:ascii="楷体" w:hAnsi="楷体" w:eastAsia="楷体" w:cs="楷体"/>
                <w:color w:val="000000"/>
                <w:sz w:val="18"/>
              </w:rPr>
              <w:t>注入高层上下文并恢复至 16×16</w:t>
            </w:r>
          </w:p>
        </w:tc>
      </w:tr>
      <w:tr w14:paraId="4E3004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5369934A">
            <w:pPr>
              <w:pStyle w:val="25"/>
              <w:spacing w:before="0" w:after="0" w:line="240" w:lineRule="auto"/>
              <w:ind w:firstLine="0"/>
              <w:jc w:val="left"/>
            </w:pPr>
            <w:r>
              <w:rPr>
                <w:rFonts w:ascii="楷体" w:hAnsi="楷体" w:eastAsia="楷体" w:cs="楷体"/>
                <w:color w:val="000000"/>
                <w:sz w:val="18"/>
              </w:rPr>
              <w:t>Stage 2</w:t>
            </w:r>
          </w:p>
        </w:tc>
        <w:tc>
          <w:tcPr>
            <w:tcMar>
              <w:top w:w="80" w:type="dxa"/>
              <w:left w:w="80" w:type="dxa"/>
              <w:bottom w:w="80" w:type="dxa"/>
              <w:right w:w="80" w:type="dxa"/>
            </w:tcMar>
            <w:vAlign w:val="center"/>
          </w:tcPr>
          <w:p w14:paraId="7B0E3C26">
            <w:pPr>
              <w:pStyle w:val="25"/>
              <w:spacing w:before="0" w:after="0" w:line="240" w:lineRule="auto"/>
              <w:ind w:firstLine="0"/>
              <w:jc w:val="left"/>
            </w:pPr>
            <w:r>
              <w:rPr>
                <w:rFonts w:ascii="楷体" w:hAnsi="楷体" w:eastAsia="楷体" w:cs="楷体"/>
                <w:color w:val="000000"/>
                <w:sz w:val="18"/>
              </w:rPr>
              <w:t>Stage1输出与 x1[2]</w:t>
            </w:r>
          </w:p>
        </w:tc>
        <w:tc>
          <w:tcPr>
            <w:tcMar>
              <w:top w:w="80" w:type="dxa"/>
              <w:left w:w="80" w:type="dxa"/>
              <w:bottom w:w="80" w:type="dxa"/>
              <w:right w:w="80" w:type="dxa"/>
            </w:tcMar>
            <w:vAlign w:val="center"/>
          </w:tcPr>
          <w:p w14:paraId="046F703D">
            <w:pPr>
              <w:pStyle w:val="25"/>
              <w:spacing w:before="0" w:after="0" w:line="240" w:lineRule="auto"/>
              <w:ind w:firstLine="0"/>
              <w:jc w:val="left"/>
            </w:pPr>
            <w:r>
              <w:rPr>
                <w:rFonts w:ascii="楷体" w:hAnsi="楷体" w:eastAsia="楷体" w:cs="楷体"/>
                <w:color w:val="000000"/>
                <w:sz w:val="18"/>
              </w:rPr>
              <w:t>Up + Concat + FusionBlock + ResidualBlock</w:t>
            </w:r>
          </w:p>
        </w:tc>
        <w:tc>
          <w:tcPr>
            <w:tcMar>
              <w:top w:w="80" w:type="dxa"/>
              <w:left w:w="80" w:type="dxa"/>
              <w:bottom w:w="80" w:type="dxa"/>
              <w:right w:w="80" w:type="dxa"/>
            </w:tcMar>
            <w:vAlign w:val="center"/>
          </w:tcPr>
          <w:p w14:paraId="73EED429">
            <w:pPr>
              <w:pStyle w:val="25"/>
              <w:spacing w:before="0" w:after="0" w:line="240" w:lineRule="auto"/>
              <w:ind w:firstLine="0"/>
              <w:jc w:val="left"/>
            </w:pPr>
            <w:r>
              <w:rPr>
                <w:rFonts w:ascii="楷体" w:hAnsi="楷体" w:eastAsia="楷体" w:cs="楷体"/>
                <w:color w:val="000000"/>
                <w:sz w:val="18"/>
              </w:rPr>
              <w:t>融合中层结构表征并恢复至 32×32</w:t>
            </w:r>
          </w:p>
        </w:tc>
      </w:tr>
      <w:tr w14:paraId="3CCF0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572786AB">
            <w:pPr>
              <w:pStyle w:val="25"/>
              <w:spacing w:before="0" w:after="0" w:line="240" w:lineRule="auto"/>
              <w:ind w:firstLine="0"/>
              <w:jc w:val="left"/>
            </w:pPr>
            <w:r>
              <w:rPr>
                <w:rFonts w:ascii="楷体" w:hAnsi="楷体" w:eastAsia="楷体" w:cs="楷体"/>
                <w:color w:val="000000"/>
                <w:sz w:val="18"/>
              </w:rPr>
              <w:t>Stage 3</w:t>
            </w:r>
          </w:p>
        </w:tc>
        <w:tc>
          <w:tcPr>
            <w:tcMar>
              <w:top w:w="80" w:type="dxa"/>
              <w:left w:w="80" w:type="dxa"/>
              <w:bottom w:w="80" w:type="dxa"/>
              <w:right w:w="80" w:type="dxa"/>
            </w:tcMar>
            <w:vAlign w:val="center"/>
          </w:tcPr>
          <w:p w14:paraId="202362D4">
            <w:pPr>
              <w:pStyle w:val="25"/>
              <w:spacing w:before="0" w:after="0" w:line="240" w:lineRule="auto"/>
              <w:ind w:firstLine="0"/>
              <w:jc w:val="left"/>
            </w:pPr>
            <w:r>
              <w:rPr>
                <w:rFonts w:ascii="楷体" w:hAnsi="楷体" w:eastAsia="楷体" w:cs="楷体"/>
                <w:color w:val="000000"/>
                <w:sz w:val="18"/>
              </w:rPr>
              <w:t>Stage2输出与 x1[1]</w:t>
            </w:r>
          </w:p>
        </w:tc>
        <w:tc>
          <w:tcPr>
            <w:tcMar>
              <w:top w:w="80" w:type="dxa"/>
              <w:left w:w="80" w:type="dxa"/>
              <w:bottom w:w="80" w:type="dxa"/>
              <w:right w:w="80" w:type="dxa"/>
            </w:tcMar>
            <w:vAlign w:val="center"/>
          </w:tcPr>
          <w:p w14:paraId="5932E5D3">
            <w:pPr>
              <w:pStyle w:val="25"/>
              <w:spacing w:before="0" w:after="0" w:line="240" w:lineRule="auto"/>
              <w:ind w:firstLine="0"/>
              <w:jc w:val="left"/>
            </w:pPr>
            <w:r>
              <w:rPr>
                <w:rFonts w:ascii="楷体" w:hAnsi="楷体" w:eastAsia="楷体" w:cs="楷体"/>
                <w:color w:val="000000"/>
                <w:sz w:val="18"/>
              </w:rPr>
              <w:t>Up + Concat + FusionBlock + ResidualBlock</w:t>
            </w:r>
          </w:p>
        </w:tc>
        <w:tc>
          <w:tcPr>
            <w:tcMar>
              <w:top w:w="80" w:type="dxa"/>
              <w:left w:w="80" w:type="dxa"/>
              <w:bottom w:w="80" w:type="dxa"/>
              <w:right w:w="80" w:type="dxa"/>
            </w:tcMar>
            <w:vAlign w:val="center"/>
          </w:tcPr>
          <w:p w14:paraId="2E6B49D1">
            <w:pPr>
              <w:pStyle w:val="25"/>
              <w:spacing w:before="0" w:after="0" w:line="240" w:lineRule="auto"/>
              <w:ind w:firstLine="0"/>
              <w:jc w:val="left"/>
            </w:pPr>
            <w:r>
              <w:rPr>
                <w:rFonts w:ascii="楷体" w:hAnsi="楷体" w:eastAsia="楷体" w:cs="楷体"/>
                <w:color w:val="000000"/>
                <w:sz w:val="18"/>
              </w:rPr>
              <w:t>强化局部纹理与空间连续性</w:t>
            </w:r>
          </w:p>
        </w:tc>
      </w:tr>
      <w:tr w14:paraId="0778F8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04791B97">
            <w:pPr>
              <w:pStyle w:val="25"/>
              <w:spacing w:before="0" w:after="0" w:line="240" w:lineRule="auto"/>
              <w:ind w:firstLine="0"/>
              <w:jc w:val="left"/>
            </w:pPr>
            <w:r>
              <w:rPr>
                <w:rFonts w:ascii="楷体" w:hAnsi="楷体" w:eastAsia="楷体" w:cs="楷体"/>
                <w:color w:val="000000"/>
                <w:sz w:val="18"/>
              </w:rPr>
              <w:t>Stage 4</w:t>
            </w:r>
          </w:p>
        </w:tc>
        <w:tc>
          <w:tcPr>
            <w:tcMar>
              <w:top w:w="80" w:type="dxa"/>
              <w:left w:w="80" w:type="dxa"/>
              <w:bottom w:w="80" w:type="dxa"/>
              <w:right w:w="80" w:type="dxa"/>
            </w:tcMar>
            <w:vAlign w:val="center"/>
          </w:tcPr>
          <w:p w14:paraId="50E6EAB2">
            <w:pPr>
              <w:pStyle w:val="25"/>
              <w:spacing w:before="0" w:after="0" w:line="240" w:lineRule="auto"/>
              <w:ind w:firstLine="0"/>
              <w:jc w:val="left"/>
            </w:pPr>
            <w:r>
              <w:rPr>
                <w:rFonts w:ascii="楷体" w:hAnsi="楷体" w:eastAsia="楷体" w:cs="楷体"/>
                <w:color w:val="000000"/>
                <w:sz w:val="18"/>
              </w:rPr>
              <w:t>Stage3输出与 x1[0]</w:t>
            </w:r>
          </w:p>
        </w:tc>
        <w:tc>
          <w:tcPr>
            <w:tcMar>
              <w:top w:w="80" w:type="dxa"/>
              <w:left w:w="80" w:type="dxa"/>
              <w:bottom w:w="80" w:type="dxa"/>
              <w:right w:w="80" w:type="dxa"/>
            </w:tcMar>
            <w:vAlign w:val="center"/>
          </w:tcPr>
          <w:p w14:paraId="2455A519">
            <w:pPr>
              <w:pStyle w:val="25"/>
              <w:spacing w:before="0" w:after="0" w:line="240" w:lineRule="auto"/>
              <w:ind w:firstLine="0"/>
              <w:jc w:val="left"/>
            </w:pPr>
            <w:r>
              <w:rPr>
                <w:rFonts w:ascii="楷体" w:hAnsi="楷体" w:eastAsia="楷体" w:cs="楷体"/>
                <w:color w:val="000000"/>
                <w:sz w:val="18"/>
              </w:rPr>
              <w:t>Up + Concat + FusionBlock + ResidualBlock</w:t>
            </w:r>
          </w:p>
        </w:tc>
        <w:tc>
          <w:tcPr>
            <w:tcMar>
              <w:top w:w="80" w:type="dxa"/>
              <w:left w:w="80" w:type="dxa"/>
              <w:bottom w:w="80" w:type="dxa"/>
              <w:right w:w="80" w:type="dxa"/>
            </w:tcMar>
            <w:vAlign w:val="center"/>
          </w:tcPr>
          <w:p w14:paraId="19B91791">
            <w:pPr>
              <w:pStyle w:val="25"/>
              <w:spacing w:before="0" w:after="0" w:line="240" w:lineRule="auto"/>
              <w:ind w:firstLine="0"/>
              <w:jc w:val="left"/>
            </w:pPr>
            <w:r>
              <w:rPr>
                <w:rFonts w:ascii="楷体" w:hAnsi="楷体" w:eastAsia="楷体" w:cs="楷体"/>
                <w:color w:val="000000"/>
                <w:sz w:val="18"/>
              </w:rPr>
              <w:t>恢复浅层边缘和散射点细节</w:t>
            </w:r>
          </w:p>
        </w:tc>
      </w:tr>
      <w:tr w14:paraId="7143E2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1E3F43B0">
            <w:pPr>
              <w:pStyle w:val="25"/>
              <w:spacing w:before="0" w:after="0" w:line="240" w:lineRule="auto"/>
              <w:ind w:firstLine="0"/>
              <w:jc w:val="left"/>
            </w:pPr>
            <w:r>
              <w:rPr>
                <w:rFonts w:ascii="楷体" w:hAnsi="楷体" w:eastAsia="楷体" w:cs="楷体"/>
                <w:color w:val="000000"/>
                <w:sz w:val="18"/>
              </w:rPr>
              <w:t>Stage 5</w:t>
            </w:r>
          </w:p>
        </w:tc>
        <w:tc>
          <w:tcPr>
            <w:tcMar>
              <w:top w:w="80" w:type="dxa"/>
              <w:left w:w="80" w:type="dxa"/>
              <w:bottom w:w="80" w:type="dxa"/>
              <w:right w:w="80" w:type="dxa"/>
            </w:tcMar>
            <w:vAlign w:val="center"/>
          </w:tcPr>
          <w:p w14:paraId="436E4D36">
            <w:pPr>
              <w:pStyle w:val="25"/>
              <w:spacing w:before="0" w:after="0" w:line="240" w:lineRule="auto"/>
              <w:ind w:firstLine="0"/>
              <w:jc w:val="left"/>
            </w:pPr>
            <w:r>
              <w:rPr>
                <w:rFonts w:ascii="楷体" w:hAnsi="楷体" w:eastAsia="楷体" w:cs="楷体"/>
                <w:color w:val="000000"/>
                <w:sz w:val="18"/>
              </w:rPr>
              <w:t>Stage4输出</w:t>
            </w:r>
          </w:p>
        </w:tc>
        <w:tc>
          <w:tcPr>
            <w:tcMar>
              <w:top w:w="80" w:type="dxa"/>
              <w:left w:w="80" w:type="dxa"/>
              <w:bottom w:w="80" w:type="dxa"/>
              <w:right w:w="80" w:type="dxa"/>
            </w:tcMar>
            <w:vAlign w:val="center"/>
          </w:tcPr>
          <w:p w14:paraId="42A31E16">
            <w:pPr>
              <w:pStyle w:val="25"/>
              <w:spacing w:before="0" w:after="0" w:line="240" w:lineRule="auto"/>
              <w:ind w:firstLine="0"/>
              <w:jc w:val="left"/>
            </w:pPr>
            <w:r>
              <w:rPr>
                <w:rFonts w:ascii="楷体" w:hAnsi="楷体" w:eastAsia="楷体" w:cs="楷体"/>
                <w:color w:val="000000"/>
                <w:sz w:val="18"/>
              </w:rPr>
              <w:t>上采样 + 残差细化 + Conv(8→1) + Tanh</w:t>
            </w:r>
          </w:p>
        </w:tc>
        <w:tc>
          <w:tcPr>
            <w:tcMar>
              <w:top w:w="80" w:type="dxa"/>
              <w:left w:w="80" w:type="dxa"/>
              <w:bottom w:w="80" w:type="dxa"/>
              <w:right w:w="80" w:type="dxa"/>
            </w:tcMar>
            <w:vAlign w:val="center"/>
          </w:tcPr>
          <w:p w14:paraId="664E01F8">
            <w:pPr>
              <w:pStyle w:val="25"/>
              <w:spacing w:before="0" w:after="0" w:line="240" w:lineRule="auto"/>
              <w:ind w:firstLine="0"/>
              <w:jc w:val="left"/>
            </w:pPr>
            <w:r>
              <w:rPr>
                <w:rFonts w:ascii="楷体" w:hAnsi="楷体" w:eastAsia="楷体" w:cs="楷体"/>
                <w:color w:val="000000"/>
                <w:sz w:val="18"/>
              </w:rPr>
              <w:t>生成 256×256 单通道去噪图像</w:t>
            </w:r>
          </w:p>
        </w:tc>
      </w:tr>
      <w:bookmarkEnd w:id="16"/>
    </w:tbl>
    <w:p w14:paraId="45672FBC">
      <w:pPr>
        <w:pStyle w:val="5"/>
        <w:spacing w:before="120" w:after="60" w:line="360" w:lineRule="auto"/>
        <w:ind w:firstLine="0"/>
        <w:jc w:val="left"/>
        <w:rPr>
          <w:rFonts w:ascii="Times New Roman" w:hAnsi="Times New Roman" w:eastAsia="黑体" w:cs="Times New Roman"/>
          <w:b/>
          <w:color w:val="000000"/>
          <w:sz w:val="21"/>
        </w:rPr>
      </w:pPr>
      <w:bookmarkStart w:id="17" w:name="频域增强与噪声门控解码路径"/>
    </w:p>
    <w:p w14:paraId="353C2D80">
      <w:pPr>
        <w:pStyle w:val="5"/>
        <w:spacing w:before="120" w:after="60" w:line="360" w:lineRule="auto"/>
        <w:ind w:firstLine="0"/>
        <w:jc w:val="left"/>
      </w:pPr>
      <w:r>
        <w:rPr>
          <w:rFonts w:ascii="Times New Roman" w:hAnsi="Times New Roman" w:eastAsia="黑体" w:cs="Times New Roman"/>
          <w:b/>
          <w:color w:val="000000"/>
          <w:sz w:val="21"/>
        </w:rPr>
        <w:t>2.3.7 频域增强与噪声门控解码路径</w:t>
      </w:r>
    </w:p>
    <w:p w14:paraId="5FC64AC8">
      <w:pPr>
        <w:spacing w:before="0" w:after="0" w:line="360" w:lineRule="auto"/>
        <w:ind w:firstLine="420"/>
        <w:jc w:val="both"/>
      </w:pPr>
      <w:r>
        <w:rPr>
          <w:rFonts w:ascii="Times New Roman" w:hAnsi="Times New Roman" w:eastAsia="楷体" w:cs="Times New Roman"/>
          <w:color w:val="000000"/>
          <w:sz w:val="21"/>
        </w:rPr>
        <w:t xml:space="preserve">最终解码器采用频域增强与噪声门控相结合的重建路径，其核心过程包括逐级上采样、跳跃连接融合、频域结构校正、残差重建和轻量噪声调制。具体而言，最深层特征首先由 </w:t>
      </w:r>
      <w:r>
        <w:rPr>
          <w:rStyle w:val="38"/>
          <w:rFonts w:ascii="Times New Roman" w:hAnsi="Times New Roman" w:eastAsia="楷体" w:cs="Times New Roman"/>
          <w:color w:val="000000"/>
          <w:sz w:val="21"/>
        </w:rPr>
        <w:t>512</w:t>
      </w:r>
      <w:r>
        <w:rPr>
          <w:rFonts w:ascii="Times New Roman" w:hAnsi="Times New Roman" w:eastAsia="楷体" w:cs="Times New Roman"/>
          <w:color w:val="000000"/>
          <w:sz w:val="21"/>
        </w:rPr>
        <w:t xml:space="preserve"> 通道上采样至 </w:t>
      </w:r>
      <w:r>
        <w:rPr>
          <w:rStyle w:val="38"/>
          <w:rFonts w:ascii="Times New Roman" w:hAnsi="Times New Roman" w:eastAsia="楷体" w:cs="Times New Roman"/>
          <w:color w:val="000000"/>
          <w:sz w:val="21"/>
        </w:rPr>
        <w:t>320</w:t>
      </w:r>
      <w:r>
        <w:rPr>
          <w:rFonts w:ascii="Times New Roman" w:hAnsi="Times New Roman" w:eastAsia="楷体" w:cs="Times New Roman"/>
          <w:color w:val="000000"/>
          <w:sz w:val="21"/>
        </w:rPr>
        <w:t xml:space="preserve"> 通道，并与编码器第 4 阶段特征拼接；随后依次恢复至 </w:t>
      </w:r>
      <w:r>
        <w:rPr>
          <w:rStyle w:val="38"/>
          <w:rFonts w:ascii="Times New Roman" w:hAnsi="Times New Roman" w:eastAsia="楷体" w:cs="Times New Roman"/>
          <w:color w:val="000000"/>
          <w:sz w:val="21"/>
        </w:rPr>
        <w:t>128</w:t>
      </w:r>
      <w:r>
        <w:rPr>
          <w:rFonts w:ascii="Times New Roman" w:hAnsi="Times New Roman" w:eastAsia="楷体" w:cs="Times New Roman"/>
          <w:color w:val="000000"/>
          <w:sz w:val="21"/>
        </w:rPr>
        <w:t>、</w:t>
      </w:r>
      <w:r>
        <w:rPr>
          <w:rStyle w:val="38"/>
          <w:rFonts w:ascii="Times New Roman" w:hAnsi="Times New Roman" w:eastAsia="楷体" w:cs="Times New Roman"/>
          <w:color w:val="000000"/>
          <w:sz w:val="21"/>
        </w:rPr>
        <w:t>64</w:t>
      </w:r>
      <w:r>
        <w:rPr>
          <w:rFonts w:ascii="Times New Roman" w:hAnsi="Times New Roman" w:eastAsia="楷体" w:cs="Times New Roman"/>
          <w:color w:val="000000"/>
          <w:sz w:val="21"/>
        </w:rPr>
        <w:t>、</w:t>
      </w:r>
      <w:r>
        <w:rPr>
          <w:rStyle w:val="38"/>
          <w:rFonts w:ascii="Times New Roman" w:hAnsi="Times New Roman" w:eastAsia="楷体" w:cs="Times New Roman"/>
          <w:color w:val="000000"/>
          <w:sz w:val="21"/>
        </w:rPr>
        <w:t>32</w:t>
      </w:r>
      <w:r>
        <w:rPr>
          <w:rFonts w:ascii="Times New Roman" w:hAnsi="Times New Roman" w:eastAsia="楷体" w:cs="Times New Roman"/>
          <w:color w:val="000000"/>
          <w:sz w:val="21"/>
        </w:rPr>
        <w:t>、</w:t>
      </w:r>
      <w:r>
        <w:rPr>
          <w:rStyle w:val="38"/>
          <w:rFonts w:ascii="Times New Roman" w:hAnsi="Times New Roman" w:eastAsia="楷体" w:cs="Times New Roman"/>
          <w:color w:val="000000"/>
          <w:sz w:val="21"/>
        </w:rPr>
        <w:t>16</w:t>
      </w:r>
      <w:r>
        <w:rPr>
          <w:rFonts w:ascii="Times New Roman" w:hAnsi="Times New Roman" w:eastAsia="楷体" w:cs="Times New Roman"/>
          <w:color w:val="000000"/>
          <w:sz w:val="21"/>
        </w:rPr>
        <w:t xml:space="preserve"> 和 </w:t>
      </w:r>
      <w:r>
        <w:rPr>
          <w:rStyle w:val="38"/>
          <w:rFonts w:ascii="Times New Roman" w:hAnsi="Times New Roman" w:eastAsia="楷体" w:cs="Times New Roman"/>
          <w:color w:val="000000"/>
          <w:sz w:val="21"/>
        </w:rPr>
        <w:t>8</w:t>
      </w:r>
      <w:r>
        <w:rPr>
          <w:rFonts w:ascii="Times New Roman" w:hAnsi="Times New Roman" w:eastAsia="楷体" w:cs="Times New Roman"/>
          <w:color w:val="000000"/>
          <w:sz w:val="21"/>
        </w:rPr>
        <w:t xml:space="preserve"> 通道，空间分辨率逐步恢复到 </w:t>
      </w:r>
      <w:r>
        <w:rPr>
          <w:rStyle w:val="38"/>
          <w:rFonts w:ascii="Times New Roman" w:hAnsi="Times New Roman" w:eastAsia="楷体" w:cs="Times New Roman"/>
          <w:color w:val="000000"/>
          <w:sz w:val="21"/>
        </w:rPr>
        <w:t>256×256</w:t>
      </w:r>
      <w:r>
        <w:rPr>
          <w:rFonts w:ascii="Times New Roman" w:hAnsi="Times New Roman" w:eastAsia="楷体" w:cs="Times New Roman"/>
          <w:color w:val="000000"/>
          <w:sz w:val="21"/>
        </w:rPr>
        <w:t>。</w:t>
      </w:r>
    </w:p>
    <w:p w14:paraId="515535B2">
      <w:pPr>
        <w:spacing w:before="0" w:after="0" w:line="360" w:lineRule="auto"/>
        <w:ind w:firstLine="420"/>
        <w:jc w:val="both"/>
      </w:pPr>
      <w:r>
        <w:rPr>
          <w:rFonts w:ascii="Times New Roman" w:hAnsi="Times New Roman" w:eastAsia="楷体" w:cs="Times New Roman"/>
          <w:color w:val="000000"/>
          <w:sz w:val="21"/>
        </w:rPr>
        <w:t xml:space="preserve">在每一级 skip fusion 后，解码器首先通过 </w:t>
      </w:r>
      <w:r>
        <w:rPr>
          <w:rStyle w:val="38"/>
          <w:rFonts w:ascii="Times New Roman" w:hAnsi="Times New Roman" w:eastAsia="楷体" w:cs="Times New Roman"/>
          <w:color w:val="000000"/>
          <w:sz w:val="21"/>
        </w:rPr>
        <w:t>FusionBlock</w:t>
      </w:r>
      <w:r>
        <w:rPr>
          <w:rFonts w:ascii="Times New Roman" w:hAnsi="Times New Roman" w:eastAsia="楷体" w:cs="Times New Roman"/>
          <w:color w:val="000000"/>
          <w:sz w:val="21"/>
        </w:rPr>
        <w:t xml:space="preserve"> 压缩拼接后的通道并重标定跨尺度特征，随后通过 </w:t>
      </w:r>
      <w:r>
        <w:rPr>
          <w:rStyle w:val="38"/>
          <w:rFonts w:ascii="Times New Roman" w:hAnsi="Times New Roman" w:eastAsia="楷体" w:cs="Times New Roman"/>
          <w:color w:val="000000"/>
          <w:sz w:val="21"/>
        </w:rPr>
        <w:t>FFTRefineBlock</w:t>
      </w:r>
      <w:r>
        <w:rPr>
          <w:rFonts w:ascii="Times New Roman" w:hAnsi="Times New Roman" w:eastAsia="楷体" w:cs="Times New Roman"/>
          <w:color w:val="000000"/>
          <w:sz w:val="21"/>
        </w:rPr>
        <w:t xml:space="preserve"> 对频域结构进行校正。</w:t>
      </w:r>
      <w:r>
        <w:rPr>
          <w:rStyle w:val="38"/>
          <w:rFonts w:ascii="Times New Roman" w:hAnsi="Times New Roman" w:eastAsia="楷体" w:cs="Times New Roman"/>
          <w:color w:val="000000"/>
          <w:sz w:val="21"/>
        </w:rPr>
        <w:t>FFTRefineBlock</w:t>
      </w:r>
      <w:r>
        <w:rPr>
          <w:rFonts w:ascii="Times New Roman" w:hAnsi="Times New Roman" w:eastAsia="楷体" w:cs="Times New Roman"/>
          <w:color w:val="000000"/>
          <w:sz w:val="21"/>
        </w:rPr>
        <w:t xml:space="preserve"> 同时包含空间卷积分支和频域分支：空间分支用于提取局部纹理与邻域连续性信息，频域分支对特征执行二维实数傅里叶变换，将实部和虚部沿通道维度拼接后进行卷积映射，再通过逆傅里叶变换恢复到空间域。两支特征经拼接和卷积融合后以残差形式输出，从而增强边缘、纹理和强散射结构的表达稳定性。</w:t>
      </w:r>
    </w:p>
    <w:p w14:paraId="1B8179AF">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 xml:space="preserve">噪声门控由 </w:t>
      </w:r>
      <w:r>
        <w:rPr>
          <w:rStyle w:val="38"/>
          <w:rFonts w:ascii="Times New Roman" w:hAnsi="Times New Roman" w:eastAsia="楷体" w:cs="Times New Roman"/>
          <w:color w:val="000000"/>
          <w:sz w:val="21"/>
        </w:rPr>
        <w:t>NoiseGuidedGate</w:t>
      </w:r>
      <w:r>
        <w:rPr>
          <w:rFonts w:ascii="Times New Roman" w:hAnsi="Times New Roman" w:eastAsia="楷体" w:cs="Times New Roman"/>
          <w:color w:val="000000"/>
          <w:sz w:val="21"/>
        </w:rPr>
        <w:t xml:space="preserve"> 实现。该模块将噪声先验图插值到当前解码尺度，与当前特征图拼接后生成门控图，并通过 </w:t>
      </w:r>
      <w:r>
        <w:rPr>
          <w:rStyle w:val="38"/>
          <w:rFonts w:ascii="Times New Roman" w:hAnsi="Times New Roman" w:eastAsia="楷体" w:cs="Times New Roman"/>
          <w:color w:val="000000"/>
          <w:sz w:val="21"/>
        </w:rPr>
        <w:t>F_s \cdot (1 + \gamma G_s)</w:t>
      </w:r>
      <w:r>
        <w:rPr>
          <w:rFonts w:ascii="Times New Roman" w:hAnsi="Times New Roman" w:eastAsia="楷体" w:cs="Times New Roman"/>
          <w:color w:val="000000"/>
          <w:sz w:val="21"/>
        </w:rPr>
        <w:t xml:space="preserve"> 的形式对解码特征进行调制。与显式依赖噪声图完成最终重建不同，该门控机制仅作为局部响应校正项参与解码过程，使模型能够在强噪声区域提高抑噪相关特征响应，在结构区域降低过度平滑风险。</w:t>
      </w:r>
    </w:p>
    <w:p w14:paraId="6F02CB79">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159375" cy="2509520"/>
            <wp:effectExtent l="0" t="0" r="0" b="0"/>
            <wp:docPr id="6" name="图片 6" descr="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6"/>
                    <pic:cNvPicPr>
                      <a:picLocks noChangeAspect="1"/>
                    </pic:cNvPicPr>
                  </pic:nvPicPr>
                  <pic:blipFill>
                    <a:blip r:embed="rId11"/>
                    <a:srcRect r="2132" b="4794"/>
                    <a:stretch>
                      <a:fillRect/>
                    </a:stretch>
                  </pic:blipFill>
                  <pic:spPr>
                    <a:xfrm>
                      <a:off x="0" y="0"/>
                      <a:ext cx="5159375" cy="2509520"/>
                    </a:xfrm>
                    <a:prstGeom prst="rect">
                      <a:avLst/>
                    </a:prstGeom>
                  </pic:spPr>
                </pic:pic>
              </a:graphicData>
            </a:graphic>
          </wp:inline>
        </w:drawing>
      </w:r>
    </w:p>
    <w:p w14:paraId="4C314411">
      <w:pPr>
        <w:pStyle w:val="12"/>
        <w:spacing w:before="60" w:after="60" w:line="240" w:lineRule="auto"/>
        <w:jc w:val="center"/>
      </w:pPr>
      <w:r>
        <w:rPr>
          <w:rFonts w:ascii="楷体" w:hAnsi="楷体" w:eastAsia="楷体" w:cs="楷体"/>
          <w:b w:val="0"/>
          <w:i w:val="0"/>
          <w:color w:val="000000"/>
          <w:sz w:val="18"/>
        </w:rPr>
        <w:t>图6 频域增强与噪声门控解码器细节图</w:t>
      </w:r>
    </w:p>
    <w:bookmarkEnd w:id="10"/>
    <w:bookmarkEnd w:id="17"/>
    <w:p w14:paraId="64D9F3CE">
      <w:pPr>
        <w:pStyle w:val="4"/>
        <w:spacing w:before="120" w:after="60" w:line="360" w:lineRule="auto"/>
        <w:ind w:firstLine="0"/>
        <w:jc w:val="left"/>
      </w:pPr>
      <w:bookmarkStart w:id="18" w:name="频域增强模块"/>
      <w:r>
        <w:rPr>
          <w:rFonts w:ascii="Times New Roman" w:hAnsi="Times New Roman" w:eastAsia="黑体" w:cs="Times New Roman"/>
          <w:b/>
          <w:color w:val="000000"/>
          <w:sz w:val="24"/>
        </w:rPr>
        <w:t>2.4 频域增强模块</w:t>
      </w:r>
    </w:p>
    <w:p w14:paraId="7772683D">
      <w:pPr>
        <w:pStyle w:val="5"/>
        <w:spacing w:before="120" w:after="60" w:line="360" w:lineRule="auto"/>
        <w:ind w:firstLine="0"/>
        <w:jc w:val="left"/>
      </w:pPr>
      <w:bookmarkStart w:id="19" w:name="设计动机"/>
      <w:r>
        <w:rPr>
          <w:rFonts w:ascii="Times New Roman" w:hAnsi="Times New Roman" w:eastAsia="黑体" w:cs="Times New Roman"/>
          <w:b/>
          <w:color w:val="000000"/>
          <w:sz w:val="21"/>
        </w:rPr>
        <w:t>2.4.1 设计动机</w:t>
      </w:r>
    </w:p>
    <w:p w14:paraId="4C3F1418">
      <w:pPr>
        <w:spacing w:before="0" w:after="0" w:line="360" w:lineRule="auto"/>
        <w:ind w:firstLine="420"/>
        <w:jc w:val="both"/>
      </w:pPr>
      <w:r>
        <w:rPr>
          <w:rFonts w:ascii="Times New Roman" w:hAnsi="Times New Roman" w:eastAsia="楷体" w:cs="Times New Roman"/>
          <w:color w:val="000000"/>
          <w:sz w:val="21"/>
        </w:rPr>
        <w:t>SAR 斑点噪声会在空间域表现为随机颗粒状扰动，并在频域中影响图像的高频成分。单纯依赖空间卷积进行恢复时，模型往往需要在噪声抑制和纹理保持之间进行隐式权衡，容易出现两类问题：一是过度平滑导致边缘和纹理损失；二是噪声残留导致均匀区域不够平滑。由于边缘、纹理和强散射点在频域中具有明显响应，因此引入频域显式建模有助于提高模型对高频结构与噪声扰动的区分能力。</w:t>
      </w:r>
    </w:p>
    <w:bookmarkEnd w:id="19"/>
    <w:p w14:paraId="702BC892">
      <w:pPr>
        <w:pStyle w:val="5"/>
        <w:spacing w:before="120" w:after="60" w:line="360" w:lineRule="auto"/>
        <w:ind w:firstLine="0"/>
        <w:jc w:val="left"/>
      </w:pPr>
      <w:bookmarkStart w:id="20" w:name="模块原理"/>
      <w:r>
        <w:rPr>
          <w:rFonts w:ascii="Times New Roman" w:hAnsi="Times New Roman" w:eastAsia="黑体" w:cs="Times New Roman"/>
          <w:b/>
          <w:color w:val="000000"/>
          <w:sz w:val="21"/>
        </w:rPr>
        <w:t>2.4.2 模块原理</w:t>
      </w:r>
    </w:p>
    <w:p w14:paraId="610A498A">
      <w:pPr>
        <w:spacing w:before="0" w:after="0" w:line="360" w:lineRule="auto"/>
        <w:ind w:firstLine="420"/>
        <w:jc w:val="both"/>
      </w:pPr>
      <w:r>
        <w:rPr>
          <w:rFonts w:ascii="Times New Roman" w:hAnsi="Times New Roman" w:eastAsia="楷体" w:cs="Times New Roman"/>
          <w:color w:val="000000"/>
          <w:sz w:val="21"/>
        </w:rPr>
        <w:t xml:space="preserve">本文设计的 </w:t>
      </w:r>
      <w:r>
        <w:rPr>
          <w:rStyle w:val="38"/>
          <w:rFonts w:ascii="Times New Roman" w:hAnsi="Times New Roman" w:eastAsia="楷体" w:cs="Times New Roman"/>
          <w:color w:val="000000"/>
          <w:sz w:val="21"/>
        </w:rPr>
        <w:t>FFTRefineBlock</w:t>
      </w:r>
      <w:r>
        <w:rPr>
          <w:rFonts w:ascii="Times New Roman" w:hAnsi="Times New Roman" w:eastAsia="楷体" w:cs="Times New Roman"/>
          <w:color w:val="000000"/>
          <w:sz w:val="21"/>
        </w:rPr>
        <w:t xml:space="preserve"> 包含空间分支、频域分支和融合分支。对于输入特征 </w:t>
      </w:r>
      <w:r>
        <w:rPr>
          <w:rStyle w:val="38"/>
          <w:rFonts w:ascii="Times New Roman" w:hAnsi="Times New Roman" w:eastAsia="楷体" w:cs="Times New Roman"/>
          <w:color w:val="000000"/>
          <w:sz w:val="21"/>
        </w:rPr>
        <w:t>F</w:t>
      </w:r>
      <w:r>
        <w:rPr>
          <w:rFonts w:ascii="Times New Roman" w:hAnsi="Times New Roman" w:eastAsia="楷体" w:cs="Times New Roman"/>
          <w:color w:val="000000"/>
          <w:sz w:val="21"/>
        </w:rPr>
        <w:t xml:space="preserve">，空间分支通过深度可分离卷积和逐点卷积提取局部纹理特征。频域分支首先对 </w:t>
      </w:r>
      <w:r>
        <w:rPr>
          <w:rStyle w:val="38"/>
          <w:rFonts w:ascii="Times New Roman" w:hAnsi="Times New Roman" w:eastAsia="楷体" w:cs="Times New Roman"/>
          <w:color w:val="000000"/>
          <w:sz w:val="21"/>
        </w:rPr>
        <w:t>F</w:t>
      </w:r>
      <w:r>
        <w:rPr>
          <w:rFonts w:ascii="Times New Roman" w:hAnsi="Times New Roman" w:eastAsia="楷体" w:cs="Times New Roman"/>
          <w:color w:val="000000"/>
          <w:sz w:val="21"/>
        </w:rPr>
        <w:t xml:space="preserve"> 进行二维快速傅里叶变换，得到复数频谱表示：</w:t>
      </w:r>
    </w:p>
    <w:p w14:paraId="491BCA14">
      <w:pPr>
        <w:tabs>
          <w:tab w:val="center" w:pos="4155"/>
          <w:tab w:val="right" w:pos="8310"/>
        </w:tabs>
        <w:spacing w:before="120" w:after="120" w:line="360" w:lineRule="auto"/>
        <w:jc w:val="left"/>
      </w:pPr>
      <w:r>
        <w:tab/>
      </w:r>
      <m:oMath>
        <m:sSub>
          <m:sSubPr/>
          <m:e>
            <m:r>
              <m:rPr/>
              <m:t>F</m:t>
            </m:r>
          </m:e>
          <m:sub>
            <m:r>
              <m:rPr>
                <m:sty m:val="p"/>
              </m:rPr>
              <m:t>fft</m:t>
            </m:r>
          </m:sub>
        </m:sSub>
        <m:r>
          <m:rPr>
            <m:sty m:val="p"/>
          </m:rPr>
          <m:t>=FFT2</m:t>
        </m:r>
        <m:d>
          <m:dPr>
            <m:sepChr m:val=""/>
          </m:dPr>
          <m:e>
            <m:r>
              <m:rPr/>
              <m:t>F</m:t>
            </m:r>
          </m:e>
        </m:d>
      </m:oMath>
      <w:r>
        <w:rPr>
          <w:rFonts w:ascii="Times New Roman" w:hAnsi="Times New Roman" w:eastAsia="宋体"/>
          <w:sz w:val="21"/>
          <w:szCs w:val="21"/>
        </w:rPr>
        <w:tab/>
      </w:r>
      <w:r>
        <w:rPr>
          <w:rFonts w:ascii="Times New Roman" w:hAnsi="Times New Roman" w:eastAsia="宋体"/>
          <w:sz w:val="21"/>
          <w:szCs w:val="21"/>
        </w:rPr>
        <w:t>（5）</w:t>
      </w:r>
    </w:p>
    <w:p w14:paraId="1C9D7336">
      <w:pPr>
        <w:spacing w:before="0" w:after="0" w:line="360" w:lineRule="auto"/>
        <w:ind w:firstLine="420"/>
        <w:jc w:val="both"/>
      </w:pPr>
      <w:r>
        <w:rPr>
          <w:rFonts w:ascii="Times New Roman" w:hAnsi="Times New Roman" w:eastAsia="楷体" w:cs="Times New Roman"/>
          <w:color w:val="000000"/>
          <w:sz w:val="21"/>
        </w:rPr>
        <w:t>由于神经网络中的卷积层不能直接处理复数特征，本文将频谱的实部和虚部沿通道维度拼接，形成实值频域特征：</w:t>
      </w:r>
    </w:p>
    <w:p w14:paraId="18F082F1">
      <w:pPr>
        <w:tabs>
          <w:tab w:val="center" w:pos="4155"/>
          <w:tab w:val="right" w:pos="8310"/>
        </w:tabs>
        <w:spacing w:before="120" w:after="120" w:line="360" w:lineRule="auto"/>
        <w:jc w:val="left"/>
      </w:pPr>
      <w:r>
        <w:tab/>
      </w:r>
      <m:oMath>
        <m:sSub>
          <m:sSubPr/>
          <m:e>
            <m:r>
              <m:rPr/>
              <m:t>F</m:t>
            </m:r>
          </m:e>
          <m:sub>
            <m:r>
              <m:rPr/>
              <m:t>c</m:t>
            </m:r>
          </m:sub>
        </m:sSub>
        <m:r>
          <m:rPr>
            <m:sty m:val="p"/>
          </m:rPr>
          <m:t>=concat</m:t>
        </m:r>
        <m:d>
          <m:dPr>
            <m:sepChr m:val=""/>
          </m:dPr>
          <m:e>
            <m:r>
              <m:rPr>
                <m:sty m:val="p"/>
              </m:rPr>
              <m:t>Re</m:t>
            </m:r>
            <m:d>
              <m:dPr>
                <m:sepChr m:val=""/>
              </m:dPr>
              <m:e>
                <m:sSub>
                  <m:sSubPr/>
                  <m:e>
                    <m:r>
                      <m:rPr/>
                      <m:t>F</m:t>
                    </m:r>
                  </m:e>
                  <m:sub>
                    <m:r>
                      <m:rPr>
                        <m:sty m:val="p"/>
                      </m:rPr>
                      <m:t>fft</m:t>
                    </m:r>
                  </m:sub>
                </m:sSub>
              </m:e>
            </m:d>
            <m:r>
              <m:rPr>
                <m:sty m:val="p"/>
              </m:rPr>
              <m:t>,</m:t>
            </m:r>
            <m:r>
              <m:rPr/>
              <m:t> </m:t>
            </m:r>
            <m:r>
              <m:rPr>
                <m:sty m:val="p"/>
              </m:rPr>
              <m:t>Im</m:t>
            </m:r>
            <m:d>
              <m:dPr>
                <m:sepChr m:val=""/>
              </m:dPr>
              <m:e>
                <m:sSub>
                  <m:sSubPr/>
                  <m:e>
                    <m:r>
                      <m:rPr/>
                      <m:t>F</m:t>
                    </m:r>
                  </m:e>
                  <m:sub>
                    <m:r>
                      <m:rPr>
                        <m:sty m:val="p"/>
                      </m:rPr>
                      <m:t>fft</m:t>
                    </m:r>
                  </m:sub>
                </m:sSub>
              </m:e>
            </m:d>
          </m:e>
        </m:d>
      </m:oMath>
      <w:r>
        <w:rPr>
          <w:rFonts w:ascii="Times New Roman" w:hAnsi="Times New Roman" w:eastAsia="宋体"/>
          <w:sz w:val="21"/>
          <w:szCs w:val="21"/>
        </w:rPr>
        <w:tab/>
      </w:r>
      <w:r>
        <w:rPr>
          <w:rFonts w:ascii="Times New Roman" w:hAnsi="Times New Roman" w:eastAsia="宋体"/>
          <w:sz w:val="21"/>
          <w:szCs w:val="21"/>
        </w:rPr>
        <w:t>（6）</w:t>
      </w:r>
    </w:p>
    <w:p w14:paraId="515E66BC">
      <w:pPr>
        <w:spacing w:before="0" w:after="0" w:line="360" w:lineRule="auto"/>
        <w:ind w:firstLine="420"/>
        <w:jc w:val="both"/>
      </w:pPr>
      <w:r>
        <w:rPr>
          <w:rFonts w:ascii="Times New Roman" w:hAnsi="Times New Roman" w:eastAsia="楷体" w:cs="Times New Roman"/>
          <w:color w:val="000000"/>
          <w:sz w:val="21"/>
        </w:rPr>
        <w:t>随后通过卷积层对频域特征进行非线性映射，再将输出重新拆分为实部和虚部，通过逆傅里叶变换恢复到空间域。最终，空间分支特征与频域分支恢复特征进行拼接，并通过卷积融合得到增强特征。该模块采用残差连接输出：</w:t>
      </w:r>
    </w:p>
    <w:p w14:paraId="0007ABD8">
      <w:pPr>
        <w:tabs>
          <w:tab w:val="center" w:pos="4155"/>
          <w:tab w:val="right" w:pos="8310"/>
        </w:tabs>
        <w:spacing w:before="120" w:after="120" w:line="360" w:lineRule="auto"/>
        <w:jc w:val="left"/>
      </w:pPr>
      <w:r>
        <w:tab/>
      </w:r>
      <m:oMath>
        <m:sSub>
          <m:sSubPr/>
          <m:e>
            <m:r>
              <m:rPr/>
              <m:t>F</m:t>
            </m:r>
          </m:e>
          <m:sub>
            <m:r>
              <m:rPr>
                <m:sty m:val="p"/>
              </m:rPr>
              <m:t>out</m:t>
            </m:r>
          </m:sub>
        </m:sSub>
        <m:r>
          <m:rPr>
            <m:sty m:val="p"/>
          </m:rPr>
          <m:t>=</m:t>
        </m:r>
        <m:r>
          <m:rPr/>
          <m:t>F</m:t>
        </m:r>
        <m:r>
          <m:rPr>
            <m:sty m:val="p"/>
          </m:rPr>
          <m:t>+</m:t>
        </m:r>
        <m:r>
          <m:rPr/>
          <m:t>Φ</m:t>
        </m:r>
        <m:d>
          <m:dPr>
            <m:sepChr m:val=""/>
          </m:dPr>
          <m:e>
            <m:r>
              <m:rPr>
                <m:sty m:val="p"/>
              </m:rPr>
              <m:t>concat</m:t>
            </m:r>
            <m:d>
              <m:dPr>
                <m:sepChr m:val=""/>
              </m:dPr>
              <m:e>
                <m:sSub>
                  <m:sSubPr/>
                  <m:e>
                    <m:r>
                      <m:rPr/>
                      <m:t>F</m:t>
                    </m:r>
                  </m:e>
                  <m:sub>
                    <m:r>
                      <m:rPr>
                        <m:sty m:val="p"/>
                      </m:rPr>
                      <m:t>spatial</m:t>
                    </m:r>
                  </m:sub>
                </m:sSub>
                <m:r>
                  <m:rPr>
                    <m:sty m:val="p"/>
                  </m:rPr>
                  <m:t>,</m:t>
                </m:r>
                <m:r>
                  <m:rPr/>
                  <m:t> </m:t>
                </m:r>
                <m:r>
                  <m:rPr>
                    <m:sty m:val="p"/>
                  </m:rPr>
                  <m:t>IFFT2</m:t>
                </m:r>
                <m:d>
                  <m:dPr>
                    <m:sepChr m:val=""/>
                  </m:dPr>
                  <m:e>
                    <m:sSub>
                      <m:sSubPr/>
                      <m:e>
                        <m:r>
                          <m:rPr/>
                          <m:t>F</m:t>
                        </m:r>
                      </m:e>
                      <m:sub>
                        <m:r>
                          <m:rPr>
                            <m:sty m:val="p"/>
                          </m:rPr>
                          <m:t>freq</m:t>
                        </m:r>
                      </m:sub>
                    </m:sSub>
                  </m:e>
                </m:d>
              </m:e>
            </m:d>
          </m:e>
        </m:d>
      </m:oMath>
      <w:r>
        <w:rPr>
          <w:rFonts w:ascii="Times New Roman" w:hAnsi="Times New Roman" w:eastAsia="宋体"/>
          <w:sz w:val="21"/>
          <w:szCs w:val="21"/>
        </w:rPr>
        <w:tab/>
      </w:r>
      <w:r>
        <w:rPr>
          <w:rFonts w:ascii="Times New Roman" w:hAnsi="Times New Roman" w:eastAsia="宋体"/>
          <w:sz w:val="21"/>
          <w:szCs w:val="21"/>
        </w:rPr>
        <w:t>（7）</w:t>
      </w:r>
    </w:p>
    <w:p w14:paraId="7283CB0E">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Φ</w:t>
      </w:r>
      <w:r>
        <w:rPr>
          <w:rFonts w:ascii="Times New Roman" w:hAnsi="Times New Roman" w:eastAsia="楷体" w:cs="Times New Roman"/>
          <w:color w:val="000000"/>
          <w:sz w:val="21"/>
        </w:rPr>
        <w:t xml:space="preserve"> 表示融合卷积映射。残差连接能够保持原始特征稳定性，降低频域变换引入训练不稳定的风险。</w:t>
      </w:r>
    </w:p>
    <w:p w14:paraId="0D847104">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725160" cy="2646680"/>
            <wp:effectExtent l="0" t="0" r="0" b="0"/>
            <wp:docPr id="8" name="图片 8" descr="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7"/>
                    <pic:cNvPicPr>
                      <a:picLocks noChangeAspect="1"/>
                    </pic:cNvPicPr>
                  </pic:nvPicPr>
                  <pic:blipFill>
                    <a:blip r:embed="rId12"/>
                    <a:srcRect r="-367" b="7233"/>
                    <a:stretch>
                      <a:fillRect/>
                    </a:stretch>
                  </pic:blipFill>
                  <pic:spPr>
                    <a:xfrm>
                      <a:off x="0" y="0"/>
                      <a:ext cx="5725160" cy="2646680"/>
                    </a:xfrm>
                    <a:prstGeom prst="rect">
                      <a:avLst/>
                    </a:prstGeom>
                  </pic:spPr>
                </pic:pic>
              </a:graphicData>
            </a:graphic>
          </wp:inline>
        </w:drawing>
      </w:r>
    </w:p>
    <w:p w14:paraId="7643644C">
      <w:pPr>
        <w:pStyle w:val="12"/>
        <w:spacing w:before="60" w:after="60" w:line="240" w:lineRule="auto"/>
        <w:jc w:val="center"/>
      </w:pPr>
      <w:r>
        <w:rPr>
          <w:rFonts w:ascii="楷体" w:hAnsi="楷体" w:eastAsia="楷体" w:cs="楷体"/>
          <w:b w:val="0"/>
          <w:i w:val="0"/>
          <w:color w:val="000000"/>
          <w:sz w:val="18"/>
        </w:rPr>
        <w:t>图7 FFTRefineBlock 模块结构图</w:t>
      </w:r>
    </w:p>
    <w:bookmarkEnd w:id="20"/>
    <w:p w14:paraId="4812A5EE">
      <w:pPr>
        <w:pStyle w:val="5"/>
        <w:spacing w:before="120" w:after="60" w:line="360" w:lineRule="auto"/>
        <w:ind w:firstLine="0"/>
        <w:jc w:val="left"/>
      </w:pPr>
      <w:bookmarkStart w:id="21" w:name="插入方式"/>
      <w:r>
        <w:rPr>
          <w:rFonts w:ascii="Times New Roman" w:hAnsi="Times New Roman" w:eastAsia="黑体" w:cs="Times New Roman"/>
          <w:b/>
          <w:color w:val="000000"/>
          <w:sz w:val="21"/>
        </w:rPr>
        <w:t>2.4.3 插入方式</w:t>
      </w:r>
    </w:p>
    <w:p w14:paraId="188DF8CB">
      <w:pPr>
        <w:spacing w:before="0" w:after="0" w:line="360" w:lineRule="auto"/>
        <w:ind w:firstLine="420"/>
        <w:jc w:val="both"/>
      </w:pPr>
      <w:r>
        <w:rPr>
          <w:rFonts w:ascii="Times New Roman" w:hAnsi="Times New Roman" w:eastAsia="楷体" w:cs="Times New Roman"/>
          <w:color w:val="000000"/>
          <w:sz w:val="21"/>
        </w:rPr>
        <w:t>在最终模型的频域增强版本 FMSF-SARNet 中，频域增强模块被插入到增强型多尺度解码器的每一级解码阶段。具体而言，当前尺度的跨层特征首先经过特征融合模块完成通道压缩与跨尺度重标定，随后输入 FFTRefineBlock 进行频域结构校正，最后通过残差重建单元完成局部细节细化。该设计使模型能够在 16×16、32×32、64×64、128×128 和 256×256 多个尺度上同时增强频域响应，从而兼顾全局结构和局部细节恢复。</w:t>
      </w:r>
    </w:p>
    <w:bookmarkEnd w:id="18"/>
    <w:bookmarkEnd w:id="21"/>
    <w:p w14:paraId="68CD2D7C">
      <w:pPr>
        <w:pStyle w:val="4"/>
        <w:spacing w:before="120" w:after="60" w:line="360" w:lineRule="auto"/>
        <w:ind w:firstLine="0"/>
        <w:jc w:val="left"/>
      </w:pPr>
      <w:bookmarkStart w:id="22" w:name="噪声先验门控模块"/>
      <w:r>
        <w:rPr>
          <w:rFonts w:ascii="Times New Roman" w:hAnsi="Times New Roman" w:eastAsia="黑体" w:cs="Times New Roman"/>
          <w:b/>
          <w:color w:val="000000"/>
          <w:sz w:val="24"/>
        </w:rPr>
        <w:t>2.5 噪声先验门控模块</w:t>
      </w:r>
    </w:p>
    <w:p w14:paraId="4E148E76">
      <w:pPr>
        <w:pStyle w:val="5"/>
        <w:spacing w:before="120" w:after="60" w:line="360" w:lineRule="auto"/>
        <w:ind w:firstLine="0"/>
        <w:jc w:val="left"/>
      </w:pPr>
      <w:bookmarkStart w:id="23" w:name="设计动机-1"/>
      <w:r>
        <w:rPr>
          <w:rFonts w:ascii="Times New Roman" w:hAnsi="Times New Roman" w:eastAsia="黑体" w:cs="Times New Roman"/>
          <w:b/>
          <w:color w:val="000000"/>
          <w:sz w:val="21"/>
        </w:rPr>
        <w:t>2.5.1 设计动机</w:t>
      </w:r>
    </w:p>
    <w:p w14:paraId="40DC4D44">
      <w:pPr>
        <w:spacing w:before="0" w:after="0" w:line="360" w:lineRule="auto"/>
        <w:ind w:firstLine="420"/>
        <w:jc w:val="both"/>
      </w:pPr>
      <w:r>
        <w:rPr>
          <w:rFonts w:ascii="Times New Roman" w:hAnsi="Times New Roman" w:eastAsia="楷体" w:cs="Times New Roman"/>
          <w:color w:val="000000"/>
          <w:sz w:val="21"/>
        </w:rPr>
        <w:t>SAR 图像中的 speckle 噪声具有明显的空间非均匀性。不同地物区域的后向散射强度、局部纹理复杂度和成像几何条件不同，导致噪声在均匀区域、建筑边缘、道路结构和强散射点附近呈现不同的局部统计特征。如果解码器在所有空间位置采用完全一致的特征恢复策略，容易在强噪声区域去斑不足，或在结构区域产生过平滑。</w:t>
      </w:r>
    </w:p>
    <w:p w14:paraId="4A7F7D3A">
      <w:pPr>
        <w:spacing w:before="0" w:after="0" w:line="360" w:lineRule="auto"/>
        <w:ind w:firstLine="420"/>
        <w:jc w:val="both"/>
      </w:pPr>
      <w:r>
        <w:rPr>
          <w:rFonts w:ascii="Times New Roman" w:hAnsi="Times New Roman" w:eastAsia="楷体" w:cs="Times New Roman"/>
          <w:color w:val="000000"/>
          <w:sz w:val="21"/>
        </w:rPr>
        <w:t>因此，本文在频域增强解码路径上引入轻量噪声先验图，并利用该先验图对多尺度解码特征进行门控调制。该模块的定位是辅助性局部自适应机制，而非独立的粗去噪分支或 Transformer 精修分支。其作用在于为解码器提供空间位置相关的噪声响应提示，使频域增强后的特征能够根据局部噪声强度进行适度放大或抑制。</w:t>
      </w:r>
    </w:p>
    <w:bookmarkEnd w:id="23"/>
    <w:p w14:paraId="748E9D7C">
      <w:pPr>
        <w:pStyle w:val="5"/>
        <w:spacing w:before="120" w:after="60" w:line="360" w:lineRule="auto"/>
        <w:ind w:firstLine="0"/>
        <w:jc w:val="left"/>
      </w:pPr>
      <w:bookmarkStart w:id="24" w:name="噪声估计网络"/>
      <w:r>
        <w:rPr>
          <w:rFonts w:ascii="Times New Roman" w:hAnsi="Times New Roman" w:eastAsia="黑体" w:cs="Times New Roman"/>
          <w:b/>
          <w:color w:val="000000"/>
          <w:sz w:val="21"/>
        </w:rPr>
        <w:t>2.5.2 噪声估计网络</w:t>
      </w:r>
    </w:p>
    <w:p w14:paraId="44FC5E57">
      <w:pPr>
        <w:spacing w:before="0" w:after="0" w:line="360" w:lineRule="auto"/>
        <w:ind w:firstLine="420"/>
        <w:jc w:val="both"/>
      </w:pPr>
      <w:r>
        <w:rPr>
          <w:rFonts w:ascii="Times New Roman" w:hAnsi="Times New Roman" w:eastAsia="楷体" w:cs="Times New Roman"/>
          <w:color w:val="000000"/>
          <w:sz w:val="21"/>
        </w:rPr>
        <w:t xml:space="preserve">噪声估计网络 </w:t>
      </w:r>
      <w:r>
        <w:rPr>
          <w:rStyle w:val="38"/>
          <w:rFonts w:ascii="Times New Roman" w:hAnsi="Times New Roman" w:eastAsia="楷体" w:cs="Times New Roman"/>
          <w:color w:val="000000"/>
          <w:sz w:val="21"/>
        </w:rPr>
        <w:t>NoiseEstimator</w:t>
      </w:r>
      <w:r>
        <w:rPr>
          <w:rFonts w:ascii="Times New Roman" w:hAnsi="Times New Roman" w:eastAsia="楷体" w:cs="Times New Roman"/>
          <w:color w:val="000000"/>
          <w:sz w:val="21"/>
        </w:rPr>
        <w:t xml:space="preserve"> 以原始 SAR 图像作为输入，通过多层卷积和 GELU 激活生成单通道噪声先验图：</w:t>
      </w:r>
    </w:p>
    <w:p w14:paraId="4391A1BD">
      <w:pPr>
        <w:tabs>
          <w:tab w:val="center" w:pos="4155"/>
          <w:tab w:val="right" w:pos="8310"/>
        </w:tabs>
        <w:spacing w:before="120" w:after="120" w:line="360" w:lineRule="auto"/>
        <w:jc w:val="left"/>
      </w:pPr>
      <w:r>
        <w:tab/>
      </w:r>
      <m:oMath>
        <m:sSub>
          <m:sSubPr/>
          <m:e>
            <m:r>
              <m:rPr/>
              <m:t>P</m:t>
            </m:r>
          </m:e>
          <m:sub>
            <m:r>
              <m:rPr/>
              <m:t>n</m:t>
            </m:r>
          </m:sub>
        </m:sSub>
        <m:r>
          <m:rPr>
            <m:sty m:val="p"/>
          </m:rPr>
          <m:t>=</m:t>
        </m:r>
        <m:sSub>
          <m:sSubPr/>
          <m:e>
            <m:r>
              <m:rPr/>
              <m:t>E</m:t>
            </m:r>
          </m:e>
          <m:sub>
            <m:r>
              <m:rPr/>
              <m:t>n</m:t>
            </m:r>
          </m:sub>
        </m:sSub>
        <m:d>
          <m:dPr>
            <m:sepChr m:val=""/>
          </m:dPr>
          <m:e>
            <m:r>
              <m:rPr/>
              <m:t>Y</m:t>
            </m:r>
          </m:e>
        </m:d>
      </m:oMath>
      <w:r>
        <w:rPr>
          <w:rFonts w:ascii="Times New Roman" w:hAnsi="Times New Roman" w:eastAsia="宋体"/>
          <w:sz w:val="21"/>
          <w:szCs w:val="21"/>
        </w:rPr>
        <w:tab/>
      </w:r>
      <w:r>
        <w:rPr>
          <w:rFonts w:ascii="Times New Roman" w:hAnsi="Times New Roman" w:eastAsia="宋体"/>
          <w:sz w:val="21"/>
          <w:szCs w:val="21"/>
        </w:rPr>
        <w:t>（8）</w:t>
      </w:r>
    </w:p>
    <w:p w14:paraId="75A0FA20">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Y</w:t>
      </w:r>
      <w:r>
        <w:rPr>
          <w:rFonts w:ascii="Times New Roman" w:hAnsi="Times New Roman" w:eastAsia="楷体" w:cs="Times New Roman"/>
          <w:color w:val="000000"/>
          <w:sz w:val="21"/>
        </w:rPr>
        <w:t xml:space="preserve"> 表示输入 SAR 图像，</w:t>
      </w:r>
      <w:r>
        <w:rPr>
          <w:rStyle w:val="38"/>
          <w:rFonts w:ascii="Times New Roman" w:hAnsi="Times New Roman" w:eastAsia="楷体" w:cs="Times New Roman"/>
          <w:color w:val="000000"/>
          <w:sz w:val="21"/>
        </w:rPr>
        <w:t>E_n</w:t>
      </w:r>
      <w:r>
        <w:rPr>
          <w:rFonts w:ascii="Times New Roman" w:hAnsi="Times New Roman" w:eastAsia="楷体" w:cs="Times New Roman"/>
          <w:color w:val="000000"/>
          <w:sz w:val="21"/>
        </w:rPr>
        <w:t xml:space="preserve"> 表示噪声估计网络，</w:t>
      </w:r>
      <w:r>
        <w:rPr>
          <w:rStyle w:val="38"/>
          <w:rFonts w:ascii="Times New Roman" w:hAnsi="Times New Roman" w:eastAsia="楷体" w:cs="Times New Roman"/>
          <w:color w:val="000000"/>
          <w:sz w:val="21"/>
        </w:rPr>
        <w:t>P_n</w:t>
      </w:r>
      <w:r>
        <w:rPr>
          <w:rFonts w:ascii="Times New Roman" w:hAnsi="Times New Roman" w:eastAsia="楷体" w:cs="Times New Roman"/>
          <w:color w:val="000000"/>
          <w:sz w:val="21"/>
        </w:rPr>
        <w:t xml:space="preserve"> 表示估计得到的空间噪声先验图。最后一层使用 </w:t>
      </w:r>
      <w:r>
        <w:rPr>
          <w:rStyle w:val="38"/>
          <w:rFonts w:ascii="Times New Roman" w:hAnsi="Times New Roman" w:eastAsia="楷体" w:cs="Times New Roman"/>
          <w:color w:val="000000"/>
          <w:sz w:val="21"/>
        </w:rPr>
        <w:t>Sigmoid</w:t>
      </w:r>
      <w:r>
        <w:rPr>
          <w:rFonts w:ascii="Times New Roman" w:hAnsi="Times New Roman" w:eastAsia="楷体" w:cs="Times New Roman"/>
          <w:color w:val="000000"/>
          <w:sz w:val="21"/>
        </w:rPr>
        <w:t xml:space="preserve"> 激活，使输出范围被约束在 </w:t>
      </w:r>
      <w:r>
        <w:rPr>
          <w:rStyle w:val="38"/>
          <w:rFonts w:ascii="Times New Roman" w:hAnsi="Times New Roman" w:eastAsia="楷体" w:cs="Times New Roman"/>
          <w:color w:val="000000"/>
          <w:sz w:val="21"/>
        </w:rPr>
        <w:t>[0, 1]</w:t>
      </w:r>
      <w:r>
        <w:rPr>
          <w:rFonts w:ascii="Times New Roman" w:hAnsi="Times New Roman" w:eastAsia="楷体" w:cs="Times New Roman"/>
          <w:color w:val="000000"/>
          <w:sz w:val="21"/>
        </w:rPr>
        <w:t>，从而可被视为归一化噪声响应或噪声权重图。</w:t>
      </w:r>
    </w:p>
    <w:p w14:paraId="5AA0917D">
      <w:pPr>
        <w:spacing w:before="0" w:after="0" w:line="360" w:lineRule="auto"/>
        <w:ind w:firstLine="420"/>
        <w:jc w:val="both"/>
      </w:pPr>
      <w:r>
        <w:rPr>
          <w:rFonts w:ascii="Times New Roman" w:hAnsi="Times New Roman" w:eastAsia="楷体" w:cs="Times New Roman"/>
          <w:color w:val="000000"/>
          <w:sz w:val="21"/>
        </w:rPr>
        <w:t>该噪声先验图不需要显式噪声标签，而是通过整体去噪损失进行端到端优化。由于噪声图仅参与特征门控而不直接作为最终输出，其训练过程能够与主恢复分支保持一致，避免将噪声估计任务与图像重建任务割裂为两个独立目标。</w:t>
      </w:r>
    </w:p>
    <w:bookmarkEnd w:id="24"/>
    <w:p w14:paraId="028BE142">
      <w:pPr>
        <w:pStyle w:val="5"/>
        <w:spacing w:before="120" w:after="60" w:line="360" w:lineRule="auto"/>
        <w:ind w:firstLine="0"/>
        <w:jc w:val="left"/>
      </w:pPr>
      <w:bookmarkStart w:id="25" w:name="噪声门控调制"/>
      <w:r>
        <w:rPr>
          <w:rFonts w:ascii="Times New Roman" w:hAnsi="Times New Roman" w:eastAsia="黑体" w:cs="Times New Roman"/>
          <w:b/>
          <w:color w:val="000000"/>
          <w:sz w:val="21"/>
        </w:rPr>
        <w:t>2.5.3 噪声门控调制</w:t>
      </w:r>
    </w:p>
    <w:p w14:paraId="6067FCCD">
      <w:pPr>
        <w:spacing w:before="0" w:after="0" w:line="360" w:lineRule="auto"/>
        <w:ind w:firstLine="420"/>
        <w:jc w:val="both"/>
      </w:pPr>
      <w:r>
        <w:rPr>
          <w:rFonts w:ascii="Times New Roman" w:hAnsi="Times New Roman" w:eastAsia="楷体" w:cs="Times New Roman"/>
          <w:color w:val="000000"/>
          <w:sz w:val="21"/>
        </w:rPr>
        <w:t xml:space="preserve">在解码器每一级特征 </w:t>
      </w:r>
      <w:r>
        <w:rPr>
          <w:rStyle w:val="38"/>
          <w:rFonts w:ascii="Times New Roman" w:hAnsi="Times New Roman" w:eastAsia="楷体" w:cs="Times New Roman"/>
          <w:color w:val="000000"/>
          <w:sz w:val="21"/>
        </w:rPr>
        <w:t>F_s</w:t>
      </w:r>
      <w:r>
        <w:rPr>
          <w:rFonts w:ascii="Times New Roman" w:hAnsi="Times New Roman" w:eastAsia="楷体" w:cs="Times New Roman"/>
          <w:color w:val="000000"/>
          <w:sz w:val="21"/>
        </w:rPr>
        <w:t xml:space="preserve"> 上，首先将噪声先验图 </w:t>
      </w:r>
      <w:r>
        <w:rPr>
          <w:rStyle w:val="38"/>
          <w:rFonts w:ascii="Times New Roman" w:hAnsi="Times New Roman" w:eastAsia="楷体" w:cs="Times New Roman"/>
          <w:color w:val="000000"/>
          <w:sz w:val="21"/>
        </w:rPr>
        <w:t>P_n</w:t>
      </w:r>
      <w:r>
        <w:rPr>
          <w:rFonts w:ascii="Times New Roman" w:hAnsi="Times New Roman" w:eastAsia="楷体" w:cs="Times New Roman"/>
          <w:color w:val="000000"/>
          <w:sz w:val="21"/>
        </w:rPr>
        <w:t xml:space="preserve"> 双线性插值到当前尺度：</w:t>
      </w:r>
    </w:p>
    <w:p w14:paraId="7DBB7031">
      <w:pPr>
        <w:tabs>
          <w:tab w:val="center" w:pos="4155"/>
          <w:tab w:val="right" w:pos="8310"/>
        </w:tabs>
        <w:spacing w:before="120" w:after="120" w:line="360" w:lineRule="auto"/>
        <w:jc w:val="left"/>
      </w:pPr>
      <w:r>
        <w:tab/>
      </w:r>
      <m:oMath>
        <m:sSub>
          <m:sSubPr/>
          <m:e>
            <m:r>
              <m:rPr/>
              <m:t>P</m:t>
            </m:r>
          </m:e>
          <m:sub>
            <m:r>
              <m:rPr/>
              <m:t>s</m:t>
            </m:r>
          </m:sub>
        </m:sSub>
        <m:r>
          <m:rPr>
            <m:sty m:val="p"/>
          </m:rPr>
          <m:t>=Resize</m:t>
        </m:r>
        <m:d>
          <m:dPr>
            <m:sepChr m:val=""/>
          </m:dPr>
          <m:e>
            <m:sSub>
              <m:sSubPr/>
              <m:e>
                <m:r>
                  <m:rPr/>
                  <m:t>P</m:t>
                </m:r>
              </m:e>
              <m:sub>
                <m:r>
                  <m:rPr/>
                  <m:t>n</m:t>
                </m:r>
              </m:sub>
            </m:sSub>
          </m:e>
        </m:d>
      </m:oMath>
      <w:r>
        <w:rPr>
          <w:rFonts w:ascii="Times New Roman" w:hAnsi="Times New Roman" w:eastAsia="宋体"/>
          <w:sz w:val="21"/>
          <w:szCs w:val="21"/>
        </w:rPr>
        <w:tab/>
      </w:r>
      <w:r>
        <w:rPr>
          <w:rFonts w:ascii="Times New Roman" w:hAnsi="Times New Roman" w:eastAsia="宋体"/>
          <w:sz w:val="21"/>
          <w:szCs w:val="21"/>
        </w:rPr>
        <w:t>（9）</w:t>
      </w:r>
    </w:p>
    <w:p w14:paraId="418207DA">
      <w:pPr>
        <w:spacing w:before="0" w:after="0" w:line="360" w:lineRule="auto"/>
        <w:ind w:firstLine="420"/>
        <w:jc w:val="both"/>
      </w:pPr>
      <w:r>
        <w:rPr>
          <w:rFonts w:ascii="Times New Roman" w:hAnsi="Times New Roman" w:eastAsia="楷体" w:cs="Times New Roman"/>
          <w:color w:val="000000"/>
          <w:sz w:val="21"/>
        </w:rPr>
        <w:t xml:space="preserve">随后将 </w:t>
      </w:r>
      <w:r>
        <w:rPr>
          <w:rStyle w:val="38"/>
          <w:rFonts w:ascii="Times New Roman" w:hAnsi="Times New Roman" w:eastAsia="楷体" w:cs="Times New Roman"/>
          <w:color w:val="000000"/>
          <w:sz w:val="21"/>
        </w:rPr>
        <w:t>F_s</w:t>
      </w:r>
      <w:r>
        <w:rPr>
          <w:rFonts w:ascii="Times New Roman" w:hAnsi="Times New Roman" w:eastAsia="楷体" w:cs="Times New Roman"/>
          <w:color w:val="000000"/>
          <w:sz w:val="21"/>
        </w:rPr>
        <w:t xml:space="preserve"> 与 </w:t>
      </w:r>
      <w:r>
        <w:rPr>
          <w:rStyle w:val="38"/>
          <w:rFonts w:ascii="Times New Roman" w:hAnsi="Times New Roman" w:eastAsia="楷体" w:cs="Times New Roman"/>
          <w:color w:val="000000"/>
          <w:sz w:val="21"/>
        </w:rPr>
        <w:t>P_s</w:t>
      </w:r>
      <w:r>
        <w:rPr>
          <w:rFonts w:ascii="Times New Roman" w:hAnsi="Times New Roman" w:eastAsia="楷体" w:cs="Times New Roman"/>
          <w:color w:val="000000"/>
          <w:sz w:val="21"/>
        </w:rPr>
        <w:t xml:space="preserve"> 沿通道维度拼接，通过卷积门控函数生成调制图 </w:t>
      </w:r>
      <w:r>
        <w:rPr>
          <w:rStyle w:val="38"/>
          <w:rFonts w:ascii="Times New Roman" w:hAnsi="Times New Roman" w:eastAsia="楷体" w:cs="Times New Roman"/>
          <w:color w:val="000000"/>
          <w:sz w:val="21"/>
        </w:rPr>
        <w:t>G_s</w:t>
      </w:r>
      <w:r>
        <w:rPr>
          <w:rFonts w:ascii="Times New Roman" w:hAnsi="Times New Roman" w:eastAsia="楷体" w:cs="Times New Roman"/>
          <w:color w:val="000000"/>
          <w:sz w:val="21"/>
        </w:rPr>
        <w:t>：</w:t>
      </w:r>
    </w:p>
    <w:p w14:paraId="4F55396B">
      <w:pPr>
        <w:tabs>
          <w:tab w:val="center" w:pos="4155"/>
          <w:tab w:val="right" w:pos="8310"/>
        </w:tabs>
        <w:spacing w:before="120" w:after="120" w:line="360" w:lineRule="auto"/>
        <w:jc w:val="left"/>
      </w:pPr>
      <w:r>
        <w:tab/>
      </w:r>
      <m:oMath>
        <m:sSub>
          <m:sSubPr/>
          <m:e>
            <m:r>
              <m:rPr/>
              <m:t>G</m:t>
            </m:r>
          </m:e>
          <m:sub>
            <m:r>
              <m:rPr/>
              <m:t>s</m:t>
            </m:r>
          </m:sub>
        </m:sSub>
        <m:r>
          <m:rPr>
            <m:sty m:val="p"/>
          </m:rPr>
          <m:t>=tanh</m:t>
        </m:r>
        <m:d>
          <m:dPr>
            <m:sepChr m:val=""/>
          </m:dPr>
          <m:e>
            <m:r>
              <m:rPr>
                <m:sty m:val="p"/>
              </m:rPr>
              <m:t>Conv</m:t>
            </m:r>
            <m:d>
              <m:dPr>
                <m:sepChr m:val=""/>
              </m:dPr>
              <m:e>
                <m:r>
                  <m:rPr>
                    <m:sty m:val="p"/>
                  </m:rPr>
                  <m:t>concat</m:t>
                </m:r>
                <m:d>
                  <m:dPr>
                    <m:sepChr m:val=""/>
                  </m:dPr>
                  <m:e>
                    <m:sSub>
                      <m:sSubPr/>
                      <m:e>
                        <m:r>
                          <m:rPr/>
                          <m:t>F</m:t>
                        </m:r>
                      </m:e>
                      <m:sub>
                        <m:r>
                          <m:rPr/>
                          <m:t>s</m:t>
                        </m:r>
                      </m:sub>
                    </m:sSub>
                    <m:r>
                      <m:rPr>
                        <m:sty m:val="p"/>
                      </m:rPr>
                      <m:t>,</m:t>
                    </m:r>
                    <m:sSub>
                      <m:sSubPr/>
                      <m:e>
                        <m:r>
                          <m:rPr/>
                          <m:t>P</m:t>
                        </m:r>
                      </m:e>
                      <m:sub>
                        <m:r>
                          <m:rPr/>
                          <m:t>s</m:t>
                        </m:r>
                      </m:sub>
                    </m:sSub>
                  </m:e>
                </m:d>
              </m:e>
            </m:d>
          </m:e>
        </m:d>
      </m:oMath>
      <w:r>
        <w:rPr>
          <w:rFonts w:ascii="Times New Roman" w:hAnsi="Times New Roman" w:eastAsia="宋体"/>
          <w:sz w:val="21"/>
          <w:szCs w:val="21"/>
        </w:rPr>
        <w:tab/>
      </w:r>
      <w:r>
        <w:rPr>
          <w:rFonts w:ascii="Times New Roman" w:hAnsi="Times New Roman" w:eastAsia="宋体"/>
          <w:sz w:val="21"/>
          <w:szCs w:val="21"/>
        </w:rPr>
        <w:t>（10）</w:t>
      </w:r>
    </w:p>
    <w:p w14:paraId="41589B89">
      <w:pPr>
        <w:spacing w:before="0" w:after="0" w:line="360" w:lineRule="auto"/>
        <w:ind w:firstLine="420"/>
        <w:jc w:val="both"/>
      </w:pPr>
      <w:r>
        <w:rPr>
          <w:rFonts w:ascii="Times New Roman" w:hAnsi="Times New Roman" w:eastAsia="楷体" w:cs="Times New Roman"/>
          <w:color w:val="000000"/>
          <w:sz w:val="21"/>
        </w:rPr>
        <w:t>最终输出特征为：</w:t>
      </w:r>
    </w:p>
    <w:p w14:paraId="052EBA65">
      <w:pPr>
        <w:tabs>
          <w:tab w:val="center" w:pos="4155"/>
          <w:tab w:val="right" w:pos="8310"/>
        </w:tabs>
        <w:spacing w:before="120" w:after="120" w:line="360" w:lineRule="auto"/>
        <w:jc w:val="left"/>
      </w:pPr>
      <w:r>
        <w:tab/>
      </w:r>
      <m:oMath>
        <m:r>
          <m:rPr/>
          <m:t>F</m:t>
        </m:r>
        <m:sSub>
          <m:sSubPr/>
          <m:e>
            <m:r>
              <m:rPr>
                <m:sty m:val="p"/>
              </m:rPr>
              <m:t>′</m:t>
            </m:r>
          </m:e>
          <m:sub>
            <m:r>
              <m:rPr/>
              <m:t>s</m:t>
            </m:r>
          </m:sub>
        </m:sSub>
        <m:r>
          <m:rPr>
            <m:sty m:val="p"/>
          </m:rPr>
          <m:t>=</m:t>
        </m:r>
        <m:sSub>
          <m:sSubPr/>
          <m:e>
            <m:r>
              <m:rPr/>
              <m:t>F</m:t>
            </m:r>
          </m:e>
          <m:sub>
            <m:r>
              <m:rPr/>
              <m:t>s</m:t>
            </m:r>
          </m:sub>
        </m:sSub>
        <m:r>
          <m:rPr>
            <m:sty m:val="p"/>
          </m:rPr>
          <m:t>⋅</m:t>
        </m:r>
        <m:d>
          <m:dPr>
            <m:sepChr m:val=""/>
          </m:dPr>
          <m:e>
            <m:r>
              <m:rPr/>
              <m:t>1</m:t>
            </m:r>
            <m:r>
              <m:rPr>
                <m:sty m:val="p"/>
              </m:rPr>
              <m:t>+</m:t>
            </m:r>
            <m:r>
              <m:rPr/>
              <m:t>γ</m:t>
            </m:r>
            <m:sSub>
              <m:sSubPr/>
              <m:e>
                <m:r>
                  <m:rPr/>
                  <m:t>G</m:t>
                </m:r>
              </m:e>
              <m:sub>
                <m:r>
                  <m:rPr/>
                  <m:t>s</m:t>
                </m:r>
              </m:sub>
            </m:sSub>
          </m:e>
        </m:d>
      </m:oMath>
      <w:r>
        <w:rPr>
          <w:rFonts w:ascii="Times New Roman" w:hAnsi="Times New Roman" w:eastAsia="宋体"/>
          <w:sz w:val="21"/>
          <w:szCs w:val="21"/>
        </w:rPr>
        <w:tab/>
      </w:r>
      <w:r>
        <w:rPr>
          <w:rFonts w:ascii="Times New Roman" w:hAnsi="Times New Roman" w:eastAsia="宋体"/>
          <w:sz w:val="21"/>
          <w:szCs w:val="21"/>
        </w:rPr>
        <w:t>（11）</w:t>
      </w:r>
    </w:p>
    <w:p w14:paraId="1F339795">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γ</w:t>
      </w:r>
      <w:r>
        <w:rPr>
          <w:rFonts w:ascii="Times New Roman" w:hAnsi="Times New Roman" w:eastAsia="楷体" w:cs="Times New Roman"/>
          <w:color w:val="000000"/>
          <w:sz w:val="21"/>
        </w:rPr>
        <w:t xml:space="preserve"> 是可学习缩放因子，初始值设为较小值以保证训练稳定性。该设计允许门控图在不同区域对特征进行增强或抑制：在噪声响应较强的区域，模型可提高去噪相关特征响应；在边缘或强散射结构区域，模型可降低过度平滑风险。因此，噪声门控模块主要用于提高频域增强解码器的空间自适应能力。</w:t>
      </w:r>
    </w:p>
    <w:p w14:paraId="57B7FB23">
      <w:pPr>
        <w:spacing w:before="0" w:after="0" w:line="360" w:lineRule="auto"/>
        <w:ind w:left="0" w:leftChars="0" w:firstLine="0" w:firstLineChars="0"/>
        <w:jc w:val="center"/>
        <w:rPr>
          <w:rFonts w:hint="eastAsia" w:ascii="Times New Roman" w:hAnsi="Times New Roman" w:eastAsia="楷体" w:cs="Times New Roman"/>
          <w:color w:val="000000"/>
          <w:sz w:val="21"/>
          <w:lang w:eastAsia="zh-CN"/>
        </w:rPr>
      </w:pPr>
      <w:r>
        <w:rPr>
          <w:rFonts w:hint="eastAsia" w:cs="Times New Roman"/>
          <w:color w:val="000000"/>
          <w:sz w:val="21"/>
          <w:lang w:val="en-US" w:eastAsia="zh-CN"/>
        </w:rPr>
        <w:t xml:space="preserve">      </w:t>
      </w:r>
      <w:r>
        <w:rPr>
          <w:rFonts w:hint="eastAsia" w:ascii="Times New Roman" w:hAnsi="Times New Roman" w:eastAsia="楷体" w:cs="Times New Roman"/>
          <w:color w:val="000000"/>
          <w:sz w:val="21"/>
          <w:lang w:eastAsia="zh-CN"/>
        </w:rPr>
        <w:drawing>
          <wp:inline distT="0" distB="0" distL="114300" distR="114300">
            <wp:extent cx="5474335" cy="2851785"/>
            <wp:effectExtent l="0" t="0" r="12065" b="13335"/>
            <wp:docPr id="10" name="图片 10" descr="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8"/>
                    <pic:cNvPicPr>
                      <a:picLocks noChangeAspect="1"/>
                    </pic:cNvPicPr>
                  </pic:nvPicPr>
                  <pic:blipFill>
                    <a:blip r:embed="rId13"/>
                    <a:srcRect t="3697" r="225" b="3977"/>
                    <a:stretch>
                      <a:fillRect/>
                    </a:stretch>
                  </pic:blipFill>
                  <pic:spPr>
                    <a:xfrm>
                      <a:off x="0" y="0"/>
                      <a:ext cx="5474335" cy="2851785"/>
                    </a:xfrm>
                    <a:prstGeom prst="rect">
                      <a:avLst/>
                    </a:prstGeom>
                  </pic:spPr>
                </pic:pic>
              </a:graphicData>
            </a:graphic>
          </wp:inline>
        </w:drawing>
      </w:r>
    </w:p>
    <w:p w14:paraId="2C00B4F9">
      <w:pPr>
        <w:pStyle w:val="12"/>
        <w:spacing w:before="60" w:after="60" w:line="240" w:lineRule="auto"/>
        <w:jc w:val="center"/>
      </w:pPr>
      <w:r>
        <w:rPr>
          <w:rFonts w:ascii="楷体" w:hAnsi="楷体" w:eastAsia="楷体" w:cs="楷体"/>
          <w:b w:val="0"/>
          <w:i w:val="0"/>
          <w:color w:val="000000"/>
          <w:sz w:val="18"/>
        </w:rPr>
        <w:t>图8 NoiseEstimator 与 NoiseGuidedGate 联合示意图</w:t>
      </w:r>
    </w:p>
    <w:bookmarkEnd w:id="22"/>
    <w:bookmarkEnd w:id="25"/>
    <w:p w14:paraId="44EC2880">
      <w:pPr>
        <w:pStyle w:val="4"/>
        <w:spacing w:before="120" w:after="60" w:line="360" w:lineRule="auto"/>
        <w:ind w:firstLine="0"/>
        <w:jc w:val="left"/>
      </w:pPr>
      <w:bookmarkStart w:id="26" w:name="瓶颈特征增强模块"/>
      <w:r>
        <w:rPr>
          <w:rFonts w:ascii="Times New Roman" w:hAnsi="Times New Roman" w:eastAsia="黑体" w:cs="Times New Roman"/>
          <w:b/>
          <w:color w:val="000000"/>
          <w:sz w:val="24"/>
        </w:rPr>
        <w:t>2.6 瓶颈特征增强模块</w:t>
      </w:r>
    </w:p>
    <w:p w14:paraId="4B95B1DC">
      <w:pPr>
        <w:pStyle w:val="5"/>
        <w:spacing w:before="120" w:after="60" w:line="360" w:lineRule="auto"/>
        <w:ind w:firstLine="0"/>
        <w:jc w:val="left"/>
      </w:pPr>
      <w:bookmarkStart w:id="27" w:name="设计动机-2"/>
      <w:r>
        <w:rPr>
          <w:rFonts w:ascii="Times New Roman" w:hAnsi="Times New Roman" w:eastAsia="黑体" w:cs="Times New Roman"/>
          <w:b/>
          <w:color w:val="000000"/>
          <w:sz w:val="21"/>
        </w:rPr>
        <w:t>2.6.1 设计动机</w:t>
      </w:r>
    </w:p>
    <w:p w14:paraId="4E42A4DF">
      <w:pPr>
        <w:spacing w:before="0" w:after="0" w:line="360" w:lineRule="auto"/>
        <w:ind w:firstLine="420"/>
        <w:jc w:val="both"/>
      </w:pPr>
      <w:r>
        <w:rPr>
          <w:rFonts w:ascii="Times New Roman" w:hAnsi="Times New Roman" w:eastAsia="楷体" w:cs="Times New Roman"/>
          <w:color w:val="000000"/>
          <w:sz w:val="21"/>
        </w:rPr>
        <w:t xml:space="preserve">在五阶段编码器中，最深层特征 </w:t>
      </w:r>
      <w:r>
        <w:rPr>
          <w:rStyle w:val="38"/>
          <w:rFonts w:ascii="Times New Roman" w:hAnsi="Times New Roman" w:eastAsia="楷体" w:cs="Times New Roman"/>
          <w:color w:val="000000"/>
          <w:sz w:val="21"/>
        </w:rPr>
        <w:t>x1[4]</w:t>
      </w:r>
      <w:r>
        <w:rPr>
          <w:rFonts w:ascii="Times New Roman" w:hAnsi="Times New Roman" w:eastAsia="楷体" w:cs="Times New Roman"/>
          <w:color w:val="000000"/>
          <w:sz w:val="21"/>
        </w:rPr>
        <w:t xml:space="preserve"> 的空间尺寸为 </w:t>
      </w:r>
      <w:r>
        <w:rPr>
          <w:rStyle w:val="38"/>
          <w:rFonts w:ascii="Times New Roman" w:hAnsi="Times New Roman" w:eastAsia="楷体" w:cs="Times New Roman"/>
          <w:color w:val="000000"/>
          <w:sz w:val="21"/>
        </w:rPr>
        <w:t>8×8</w:t>
      </w:r>
      <w:r>
        <w:rPr>
          <w:rFonts w:ascii="Times New Roman" w:hAnsi="Times New Roman" w:eastAsia="楷体" w:cs="Times New Roman"/>
          <w:color w:val="000000"/>
          <w:sz w:val="21"/>
        </w:rPr>
        <w:t>，通道数为 512。该特征具有较强语义表达能力，并包含全局上下文信息。由于其空间分辨率较低，在该位置增加额外增强模块所带来的计算开销相对较小，同时能够在进入解码器之前对全局结构进行进一步校正。</w:t>
      </w:r>
    </w:p>
    <w:p w14:paraId="2ABDE755">
      <w:pPr>
        <w:spacing w:before="0" w:after="0" w:line="360" w:lineRule="auto"/>
        <w:ind w:firstLine="420"/>
        <w:jc w:val="both"/>
      </w:pPr>
      <w:r>
        <w:rPr>
          <w:rFonts w:ascii="Times New Roman" w:hAnsi="Times New Roman" w:eastAsia="楷体" w:cs="Times New Roman"/>
          <w:color w:val="000000"/>
          <w:sz w:val="21"/>
        </w:rPr>
        <w:t>在 SAR 去噪任务中，深层特征不仅影响整体区域平滑性，也影响强散射目标、地物边界和大尺度结构的恢复稳定性。因此，本文在最终模型的噪声先验门控路径上对最深层瓶颈特征加入增强模块，形成结构验证版本 BFNG-SARNet。</w:t>
      </w:r>
    </w:p>
    <w:bookmarkEnd w:id="27"/>
    <w:p w14:paraId="63FB2461">
      <w:pPr>
        <w:pStyle w:val="5"/>
        <w:spacing w:before="120" w:after="60" w:line="360" w:lineRule="auto"/>
        <w:ind w:firstLine="0"/>
        <w:jc w:val="left"/>
      </w:pPr>
      <w:bookmarkStart w:id="28" w:name="模块原理-1"/>
      <w:r>
        <w:rPr>
          <w:rFonts w:ascii="Times New Roman" w:hAnsi="Times New Roman" w:eastAsia="黑体" w:cs="Times New Roman"/>
          <w:b/>
          <w:color w:val="000000"/>
          <w:sz w:val="21"/>
        </w:rPr>
        <w:t>2.6.2 模块原理</w:t>
      </w:r>
    </w:p>
    <w:p w14:paraId="011BC201">
      <w:pPr>
        <w:spacing w:before="0" w:after="0" w:line="360" w:lineRule="auto"/>
        <w:ind w:firstLine="420"/>
        <w:jc w:val="both"/>
      </w:pPr>
      <w:r>
        <w:rPr>
          <w:rStyle w:val="38"/>
          <w:rFonts w:ascii="Times New Roman" w:hAnsi="Times New Roman" w:eastAsia="楷体" w:cs="Times New Roman"/>
          <w:color w:val="000000"/>
          <w:sz w:val="21"/>
        </w:rPr>
        <w:t>BottleneckRefine</w:t>
      </w:r>
      <w:r>
        <w:rPr>
          <w:rFonts w:ascii="Times New Roman" w:hAnsi="Times New Roman" w:eastAsia="楷体" w:cs="Times New Roman"/>
          <w:color w:val="000000"/>
          <w:sz w:val="21"/>
        </w:rPr>
        <w:t xml:space="preserve"> 由局部分支、频域分支和融合分支组成。局部分支采用深度卷积和逐点卷积，增强特征中的局部结构响应：</w:t>
      </w:r>
    </w:p>
    <w:p w14:paraId="0AF76220">
      <w:pPr>
        <w:tabs>
          <w:tab w:val="center" w:pos="4155"/>
          <w:tab w:val="right" w:pos="8310"/>
        </w:tabs>
        <w:spacing w:before="120" w:after="120" w:line="360" w:lineRule="auto"/>
        <w:jc w:val="left"/>
      </w:pPr>
      <w:r>
        <w:tab/>
      </w:r>
      <m:oMath>
        <m:sSub>
          <m:sSubPr/>
          <m:e>
            <m:r>
              <m:rPr/>
              <m:t>F</m:t>
            </m:r>
          </m:e>
          <m:sub>
            <m:r>
              <m:rPr>
                <m:sty m:val="p"/>
              </m:rPr>
              <m:t>local</m:t>
            </m:r>
          </m:sub>
        </m:sSub>
        <m:r>
          <m:rPr>
            <m:sty m:val="p"/>
          </m:rPr>
          <m:t>=</m:t>
        </m:r>
        <m:sSub>
          <m:sSubPr/>
          <m:e>
            <m:r>
              <m:rPr>
                <m:sty m:val="p"/>
              </m:rPr>
              <m:t>Conv</m:t>
            </m:r>
          </m:e>
          <m:sub>
            <m:r>
              <m:rPr/>
              <m:t>1</m:t>
            </m:r>
            <m:r>
              <m:rPr>
                <m:sty m:val="p"/>
              </m:rPr>
              <m:t>×</m:t>
            </m:r>
            <m:r>
              <m:rPr/>
              <m:t>1</m:t>
            </m:r>
          </m:sub>
        </m:sSub>
        <m:d>
          <m:dPr>
            <m:sepChr m:val=""/>
          </m:dPr>
          <m:e>
            <m:sSub>
              <m:sSubPr/>
              <m:e>
                <m:r>
                  <m:rPr>
                    <m:sty m:val="p"/>
                  </m:rPr>
                  <m:t>DWConv</m:t>
                </m:r>
              </m:e>
              <m:sub>
                <m:r>
                  <m:rPr/>
                  <m:t>3</m:t>
                </m:r>
                <m:r>
                  <m:rPr>
                    <m:sty m:val="p"/>
                  </m:rPr>
                  <m:t>×</m:t>
                </m:r>
                <m:r>
                  <m:rPr/>
                  <m:t>3</m:t>
                </m:r>
              </m:sub>
            </m:sSub>
            <m:d>
              <m:dPr>
                <m:sepChr m:val=""/>
              </m:dPr>
              <m:e>
                <m:sSub>
                  <m:sSubPr/>
                  <m:e>
                    <m:r>
                      <m:rPr/>
                      <m:t>F</m:t>
                    </m:r>
                  </m:e>
                  <m:sub>
                    <m:r>
                      <m:rPr/>
                      <m:t>b</m:t>
                    </m:r>
                  </m:sub>
                </m:sSub>
              </m:e>
            </m:d>
          </m:e>
        </m:d>
      </m:oMath>
      <w:r>
        <w:rPr>
          <w:rFonts w:ascii="Times New Roman" w:hAnsi="Times New Roman" w:eastAsia="宋体"/>
          <w:sz w:val="21"/>
          <w:szCs w:val="21"/>
        </w:rPr>
        <w:tab/>
      </w:r>
      <w:r>
        <w:rPr>
          <w:rFonts w:ascii="Times New Roman" w:hAnsi="Times New Roman" w:eastAsia="宋体"/>
          <w:sz w:val="21"/>
          <w:szCs w:val="21"/>
        </w:rPr>
        <w:t>（12）</w:t>
      </w:r>
    </w:p>
    <w:p w14:paraId="79C1128B">
      <w:pPr>
        <w:spacing w:before="0" w:after="0" w:line="360" w:lineRule="auto"/>
        <w:ind w:firstLine="420"/>
        <w:jc w:val="both"/>
      </w:pPr>
      <w:r>
        <w:rPr>
          <w:rFonts w:ascii="Times New Roman" w:hAnsi="Times New Roman" w:eastAsia="楷体" w:cs="Times New Roman"/>
          <w:color w:val="000000"/>
          <w:sz w:val="21"/>
        </w:rPr>
        <w:t xml:space="preserve">频域分支复用 </w:t>
      </w:r>
      <w:r>
        <w:rPr>
          <w:rStyle w:val="38"/>
          <w:rFonts w:ascii="Times New Roman" w:hAnsi="Times New Roman" w:eastAsia="楷体" w:cs="Times New Roman"/>
          <w:color w:val="000000"/>
          <w:sz w:val="21"/>
        </w:rPr>
        <w:t>FFTRefineBlock</w:t>
      </w:r>
      <w:r>
        <w:rPr>
          <w:rFonts w:ascii="Times New Roman" w:hAnsi="Times New Roman" w:eastAsia="楷体" w:cs="Times New Roman"/>
          <w:color w:val="000000"/>
          <w:sz w:val="21"/>
        </w:rPr>
        <w:t>，用于增强瓶颈特征中的频域结构信息：</w:t>
      </w:r>
    </w:p>
    <w:p w14:paraId="2771161B">
      <w:pPr>
        <w:tabs>
          <w:tab w:val="center" w:pos="4155"/>
          <w:tab w:val="right" w:pos="8310"/>
        </w:tabs>
        <w:spacing w:before="120" w:after="120" w:line="360" w:lineRule="auto"/>
        <w:jc w:val="left"/>
      </w:pPr>
      <w:r>
        <w:tab/>
      </w:r>
      <m:oMath>
        <m:sSub>
          <m:sSubPr/>
          <m:e>
            <m:r>
              <m:rPr/>
              <m:t>F</m:t>
            </m:r>
          </m:e>
          <m:sub>
            <m:r>
              <m:rPr>
                <m:sty m:val="p"/>
              </m:rPr>
              <m:t>freq</m:t>
            </m:r>
          </m:sub>
        </m:sSub>
        <m:r>
          <m:rPr>
            <m:sty m:val="p"/>
          </m:rPr>
          <m:t>=FFTRefineBlock</m:t>
        </m:r>
        <m:d>
          <m:dPr>
            <m:sepChr m:val=""/>
          </m:dPr>
          <m:e>
            <m:sSub>
              <m:sSubPr/>
              <m:e>
                <m:r>
                  <m:rPr/>
                  <m:t>F</m:t>
                </m:r>
              </m:e>
              <m:sub>
                <m:r>
                  <m:rPr/>
                  <m:t>b</m:t>
                </m:r>
              </m:sub>
            </m:sSub>
          </m:e>
        </m:d>
      </m:oMath>
      <w:r>
        <w:rPr>
          <w:rFonts w:ascii="Times New Roman" w:hAnsi="Times New Roman" w:eastAsia="宋体"/>
          <w:sz w:val="21"/>
          <w:szCs w:val="21"/>
        </w:rPr>
        <w:tab/>
      </w:r>
      <w:r>
        <w:rPr>
          <w:rFonts w:ascii="Times New Roman" w:hAnsi="Times New Roman" w:eastAsia="宋体"/>
          <w:sz w:val="21"/>
          <w:szCs w:val="21"/>
        </w:rPr>
        <w:t>（13）</w:t>
      </w:r>
    </w:p>
    <w:p w14:paraId="7D1D749C">
      <w:pPr>
        <w:spacing w:before="0" w:after="0" w:line="360" w:lineRule="auto"/>
        <w:ind w:firstLine="420"/>
        <w:jc w:val="both"/>
      </w:pPr>
      <w:r>
        <w:rPr>
          <w:rFonts w:ascii="Times New Roman" w:hAnsi="Times New Roman" w:eastAsia="楷体" w:cs="Times New Roman"/>
          <w:color w:val="000000"/>
          <w:sz w:val="21"/>
        </w:rPr>
        <w:t>随后将两支特征相加并通过卷积融合：</w:t>
      </w:r>
    </w:p>
    <w:p w14:paraId="4A63B676">
      <w:pPr>
        <w:tabs>
          <w:tab w:val="center" w:pos="4155"/>
          <w:tab w:val="right" w:pos="8310"/>
        </w:tabs>
        <w:spacing w:before="120" w:after="120" w:line="360" w:lineRule="auto"/>
        <w:jc w:val="left"/>
      </w:pPr>
      <w:r>
        <w:tab/>
      </w:r>
      <m:oMath>
        <m:sSub>
          <m:sSubPr/>
          <m:e>
            <m:r>
              <m:rPr/>
              <m:t>F</m:t>
            </m:r>
          </m:e>
          <m:sub>
            <m:r>
              <m:rPr>
                <m:sty m:val="p"/>
              </m:rPr>
              <m:t>refine</m:t>
            </m:r>
          </m:sub>
        </m:sSub>
        <m:r>
          <m:rPr>
            <m:sty m:val="p"/>
          </m:rPr>
          <m:t>=</m:t>
        </m:r>
        <m:r>
          <m:rPr/>
          <m:t>Ψ</m:t>
        </m:r>
        <m:d>
          <m:dPr>
            <m:sepChr m:val=""/>
          </m:dPr>
          <m:e>
            <m:sSub>
              <m:sSubPr/>
              <m:e>
                <m:r>
                  <m:rPr/>
                  <m:t>F</m:t>
                </m:r>
              </m:e>
              <m:sub>
                <m:r>
                  <m:rPr>
                    <m:sty m:val="p"/>
                  </m:rPr>
                  <m:t>local</m:t>
                </m:r>
              </m:sub>
            </m:sSub>
            <m:r>
              <m:rPr>
                <m:sty m:val="p"/>
              </m:rPr>
              <m:t>+</m:t>
            </m:r>
            <m:sSub>
              <m:sSubPr/>
              <m:e>
                <m:r>
                  <m:rPr/>
                  <m:t>F</m:t>
                </m:r>
              </m:e>
              <m:sub>
                <m:r>
                  <m:rPr>
                    <m:sty m:val="p"/>
                  </m:rPr>
                  <m:t>freq</m:t>
                </m:r>
              </m:sub>
            </m:sSub>
          </m:e>
        </m:d>
      </m:oMath>
      <w:r>
        <w:rPr>
          <w:rFonts w:ascii="Times New Roman" w:hAnsi="Times New Roman" w:eastAsia="宋体"/>
          <w:sz w:val="21"/>
          <w:szCs w:val="21"/>
        </w:rPr>
        <w:tab/>
      </w:r>
      <w:r>
        <w:rPr>
          <w:rFonts w:ascii="Times New Roman" w:hAnsi="Times New Roman" w:eastAsia="宋体"/>
          <w:sz w:val="21"/>
          <w:szCs w:val="21"/>
        </w:rPr>
        <w:t>（14）</w:t>
      </w:r>
    </w:p>
    <w:p w14:paraId="1FE18915">
      <w:pPr>
        <w:spacing w:before="0" w:after="0" w:line="360" w:lineRule="auto"/>
        <w:ind w:firstLine="420"/>
        <w:jc w:val="both"/>
      </w:pPr>
      <w:r>
        <w:rPr>
          <w:rFonts w:ascii="Times New Roman" w:hAnsi="Times New Roman" w:eastAsia="楷体" w:cs="Times New Roman"/>
          <w:color w:val="000000"/>
          <w:sz w:val="21"/>
        </w:rPr>
        <w:t>最终采用带可学习缩放因子的残差连接：</w:t>
      </w:r>
    </w:p>
    <w:p w14:paraId="2C5F420A">
      <w:pPr>
        <w:tabs>
          <w:tab w:val="center" w:pos="4155"/>
          <w:tab w:val="right" w:pos="8310"/>
        </w:tabs>
        <w:spacing w:before="120" w:after="120" w:line="360" w:lineRule="auto"/>
        <w:jc w:val="left"/>
      </w:pPr>
      <w:r>
        <w:tab/>
      </w:r>
      <m:oMath>
        <m:r>
          <m:rPr/>
          <m:t>F</m:t>
        </m:r>
        <m:sSub>
          <m:sSubPr/>
          <m:e>
            <m:r>
              <m:rPr>
                <m:sty m:val="p"/>
              </m:rPr>
              <m:t>′</m:t>
            </m:r>
          </m:e>
          <m:sub>
            <m:r>
              <m:rPr/>
              <m:t>b</m:t>
            </m:r>
          </m:sub>
        </m:sSub>
        <m:r>
          <m:rPr>
            <m:sty m:val="p"/>
          </m:rPr>
          <m:t>=</m:t>
        </m:r>
        <m:sSub>
          <m:sSubPr/>
          <m:e>
            <m:r>
              <m:rPr/>
              <m:t>F</m:t>
            </m:r>
          </m:e>
          <m:sub>
            <m:r>
              <m:rPr/>
              <m:t>b</m:t>
            </m:r>
          </m:sub>
        </m:sSub>
        <m:r>
          <m:rPr>
            <m:sty m:val="p"/>
          </m:rPr>
          <m:t>+</m:t>
        </m:r>
        <m:r>
          <m:rPr/>
          <m:t>γ</m:t>
        </m:r>
        <m:sSub>
          <m:sSubPr/>
          <m:e>
            <m:r>
              <m:rPr/>
              <m:t>F</m:t>
            </m:r>
          </m:e>
          <m:sub>
            <m:r>
              <m:rPr>
                <m:sty m:val="p"/>
              </m:rPr>
              <m:t>refine</m:t>
            </m:r>
          </m:sub>
        </m:sSub>
      </m:oMath>
      <w:r>
        <w:rPr>
          <w:rFonts w:ascii="Times New Roman" w:hAnsi="Times New Roman" w:eastAsia="宋体"/>
          <w:sz w:val="21"/>
          <w:szCs w:val="21"/>
        </w:rPr>
        <w:tab/>
      </w:r>
      <w:r>
        <w:rPr>
          <w:rFonts w:ascii="Times New Roman" w:hAnsi="Times New Roman" w:eastAsia="宋体"/>
          <w:sz w:val="21"/>
          <w:szCs w:val="21"/>
        </w:rPr>
        <w:t>（15）</w:t>
      </w:r>
    </w:p>
    <w:p w14:paraId="6B004D8B">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γ</w:t>
      </w:r>
      <w:r>
        <w:rPr>
          <w:rFonts w:ascii="Times New Roman" w:hAnsi="Times New Roman" w:eastAsia="楷体" w:cs="Times New Roman"/>
          <w:color w:val="000000"/>
          <w:sz w:val="21"/>
        </w:rPr>
        <w:t xml:space="preserve"> 的初始值设为 0.1，以降低新增模块对已学习特征分布的扰动。该模块的主要作用是在深层低分辨率特征中同时增强局部纹理响应和全局频域结构，从而提高解码器输入特征的表达质量。</w:t>
      </w:r>
    </w:p>
    <w:p w14:paraId="03DA7FD5">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478780" cy="2739390"/>
            <wp:effectExtent l="0" t="0" r="7620" b="3810"/>
            <wp:docPr id="9" name="图片 9" descr="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9"/>
                    <pic:cNvPicPr>
                      <a:picLocks noChangeAspect="1"/>
                    </pic:cNvPicPr>
                  </pic:nvPicPr>
                  <pic:blipFill>
                    <a:blip r:embed="rId14"/>
                    <a:stretch>
                      <a:fillRect/>
                    </a:stretch>
                  </pic:blipFill>
                  <pic:spPr>
                    <a:xfrm>
                      <a:off x="0" y="0"/>
                      <a:ext cx="5478780" cy="2739390"/>
                    </a:xfrm>
                    <a:prstGeom prst="rect">
                      <a:avLst/>
                    </a:prstGeom>
                  </pic:spPr>
                </pic:pic>
              </a:graphicData>
            </a:graphic>
          </wp:inline>
        </w:drawing>
      </w:r>
    </w:p>
    <w:p w14:paraId="3FD3BA94">
      <w:pPr>
        <w:pStyle w:val="12"/>
        <w:spacing w:before="60" w:after="60" w:line="240" w:lineRule="auto"/>
        <w:jc w:val="center"/>
      </w:pPr>
      <w:r>
        <w:rPr>
          <w:rFonts w:ascii="楷体" w:hAnsi="楷体" w:eastAsia="楷体" w:cs="楷体"/>
          <w:b w:val="0"/>
          <w:i w:val="0"/>
          <w:color w:val="000000"/>
          <w:sz w:val="18"/>
        </w:rPr>
        <w:t>图9 BottleneckRefine 瓶颈增强模块结构图</w:t>
      </w:r>
    </w:p>
    <w:bookmarkEnd w:id="26"/>
    <w:bookmarkEnd w:id="28"/>
    <w:p w14:paraId="04C390F8">
      <w:pPr>
        <w:pStyle w:val="4"/>
        <w:spacing w:before="120" w:after="60" w:line="360" w:lineRule="auto"/>
        <w:ind w:firstLine="0"/>
        <w:jc w:val="left"/>
      </w:pPr>
      <w:bookmarkStart w:id="29" w:name="双域恢复结构"/>
      <w:r>
        <w:rPr>
          <w:rFonts w:ascii="Times New Roman" w:hAnsi="Times New Roman" w:eastAsia="黑体" w:cs="Times New Roman"/>
          <w:b/>
          <w:color w:val="000000"/>
          <w:sz w:val="24"/>
        </w:rPr>
        <w:t>2.7 双域恢复结构</w:t>
      </w:r>
    </w:p>
    <w:p w14:paraId="7C3E5E49">
      <w:pPr>
        <w:spacing w:before="0" w:after="0" w:line="360" w:lineRule="auto"/>
        <w:ind w:firstLine="420"/>
        <w:jc w:val="both"/>
      </w:pPr>
      <w:r>
        <w:rPr>
          <w:rFonts w:ascii="Times New Roman" w:hAnsi="Times New Roman" w:eastAsia="楷体" w:cs="Times New Roman"/>
          <w:color w:val="000000"/>
          <w:sz w:val="21"/>
        </w:rPr>
        <w:t xml:space="preserve">DFNG-SARNet 的双域恢复机制由 log-intensity 域主恢复分支和 original intensity 域残差补偿分支组成。该设计直接对应 SAR speckle 噪声的乘性退化特性。首先，模型对输入图像执行归一化 </w:t>
      </w:r>
      <w:r>
        <w:rPr>
          <w:rStyle w:val="38"/>
          <w:rFonts w:ascii="Times New Roman" w:hAnsi="Times New Roman" w:eastAsia="楷体" w:cs="Times New Roman"/>
          <w:color w:val="000000"/>
          <w:sz w:val="21"/>
        </w:rPr>
        <w:t>log1p</w:t>
      </w:r>
      <w:r>
        <w:rPr>
          <w:rFonts w:ascii="Times New Roman" w:hAnsi="Times New Roman" w:eastAsia="楷体" w:cs="Times New Roman"/>
          <w:color w:val="000000"/>
          <w:sz w:val="21"/>
        </w:rPr>
        <w:t xml:space="preserve"> 变换：</w:t>
      </w:r>
    </w:p>
    <w:p w14:paraId="06C672C3">
      <w:pPr>
        <w:tabs>
          <w:tab w:val="center" w:pos="4155"/>
          <w:tab w:val="right" w:pos="8310"/>
        </w:tabs>
        <w:spacing w:before="120" w:after="120" w:line="360" w:lineRule="auto"/>
        <w:jc w:val="left"/>
      </w:pPr>
      <w:r>
        <w:tab/>
      </w:r>
      <m:oMath>
        <m:sSub>
          <m:sSubPr/>
          <m:e>
            <m:r>
              <m:rPr/>
              <m:t>Y</m:t>
            </m:r>
          </m:e>
          <m:sub>
            <m:r>
              <m:rPr>
                <m:sty m:val="p"/>
              </m:rPr>
              <m:t>log</m:t>
            </m:r>
          </m:sub>
        </m:sSub>
        <m:r>
          <m:rPr>
            <m:sty m:val="p"/>
          </m:rPr>
          <m:t>=</m:t>
        </m:r>
        <m:f>
          <m:fPr/>
          <m:num>
            <m:r>
              <m:rPr>
                <m:sty m:val="p"/>
              </m:rPr>
              <m:t>log</m:t>
            </m:r>
            <m:d>
              <m:dPr>
                <m:sepChr m:val=""/>
              </m:dPr>
              <m:e>
                <m:r>
                  <m:rPr/>
                  <m:t>1</m:t>
                </m:r>
                <m:r>
                  <m:rPr>
                    <m:sty m:val="p"/>
                  </m:rPr>
                  <m:t>+</m:t>
                </m:r>
                <m:r>
                  <m:rPr/>
                  <m:t>αY</m:t>
                </m:r>
              </m:e>
            </m:d>
          </m:num>
          <m:den>
            <m:r>
              <m:rPr>
                <m:sty m:val="p"/>
              </m:rPr>
              <m:t>log</m:t>
            </m:r>
            <m:d>
              <m:dPr>
                <m:sepChr m:val=""/>
              </m:dPr>
              <m:e>
                <m:r>
                  <m:rPr/>
                  <m:t>1</m:t>
                </m:r>
                <m:r>
                  <m:rPr>
                    <m:sty m:val="p"/>
                  </m:rPr>
                  <m:t>+</m:t>
                </m:r>
                <m:r>
                  <m:rPr/>
                  <m:t>α</m:t>
                </m:r>
              </m:e>
            </m:d>
          </m:den>
        </m:f>
      </m:oMath>
      <w:r>
        <w:rPr>
          <w:rFonts w:ascii="Times New Roman" w:hAnsi="Times New Roman" w:eastAsia="宋体"/>
          <w:sz w:val="21"/>
          <w:szCs w:val="21"/>
        </w:rPr>
        <w:tab/>
      </w:r>
      <w:r>
        <w:rPr>
          <w:rFonts w:ascii="Times New Roman" w:hAnsi="Times New Roman" w:eastAsia="宋体"/>
          <w:sz w:val="21"/>
          <w:szCs w:val="21"/>
        </w:rPr>
        <w:t>（16）</w:t>
      </w:r>
    </w:p>
    <w:p w14:paraId="0EBCF458">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α=10</w:t>
      </w:r>
      <w:r>
        <w:rPr>
          <w:rFonts w:ascii="Times New Roman" w:hAnsi="Times New Roman" w:eastAsia="楷体" w:cs="Times New Roman"/>
          <w:color w:val="000000"/>
          <w:sz w:val="21"/>
        </w:rPr>
        <w:t xml:space="preserve">。该变换将乘性 speckle 扰动近似转化为更易学习的加性分量，并避免直接取对数带来的数值不稳定。log 域图像进入完整的频域增强恢复分支，得到初步恢复结果 </w:t>
      </w:r>
      <w:r>
        <w:rPr>
          <w:rStyle w:val="38"/>
          <w:rFonts w:ascii="Times New Roman" w:hAnsi="Times New Roman" w:eastAsia="楷体" w:cs="Times New Roman"/>
          <w:color w:val="000000"/>
          <w:sz w:val="21"/>
        </w:rPr>
        <w:t>X_log</w:t>
      </w:r>
      <w:r>
        <w:rPr>
          <w:rFonts w:ascii="Times New Roman" w:hAnsi="Times New Roman" w:eastAsia="楷体" w:cs="Times New Roman"/>
          <w:color w:val="000000"/>
          <w:sz w:val="21"/>
        </w:rPr>
        <w:t>。随后，</w:t>
      </w:r>
      <w:r>
        <w:rPr>
          <w:rStyle w:val="38"/>
          <w:rFonts w:ascii="Times New Roman" w:hAnsi="Times New Roman" w:eastAsia="楷体" w:cs="Times New Roman"/>
          <w:color w:val="000000"/>
          <w:sz w:val="21"/>
        </w:rPr>
        <w:t>DualDomainFusion</w:t>
      </w:r>
      <w:r>
        <w:rPr>
          <w:rFonts w:ascii="Times New Roman" w:hAnsi="Times New Roman" w:eastAsia="楷体" w:cs="Times New Roman"/>
          <w:color w:val="000000"/>
          <w:sz w:val="21"/>
        </w:rPr>
        <w:t xml:space="preserve"> 将原始强度图 </w:t>
      </w:r>
      <w:r>
        <w:rPr>
          <w:rStyle w:val="38"/>
          <w:rFonts w:ascii="Times New Roman" w:hAnsi="Times New Roman" w:eastAsia="楷体" w:cs="Times New Roman"/>
          <w:color w:val="000000"/>
          <w:sz w:val="21"/>
        </w:rPr>
        <w:t>Y</w:t>
      </w:r>
      <w:r>
        <w:rPr>
          <w:rFonts w:ascii="Times New Roman" w:hAnsi="Times New Roman" w:eastAsia="楷体" w:cs="Times New Roman"/>
          <w:color w:val="000000"/>
          <w:sz w:val="21"/>
        </w:rPr>
        <w:t xml:space="preserve"> 与 </w:t>
      </w:r>
      <w:r>
        <w:rPr>
          <w:rStyle w:val="38"/>
          <w:rFonts w:ascii="Times New Roman" w:hAnsi="Times New Roman" w:eastAsia="楷体" w:cs="Times New Roman"/>
          <w:color w:val="000000"/>
          <w:sz w:val="21"/>
        </w:rPr>
        <w:t>X_log</w:t>
      </w:r>
      <w:r>
        <w:rPr>
          <w:rFonts w:ascii="Times New Roman" w:hAnsi="Times New Roman" w:eastAsia="楷体" w:cs="Times New Roman"/>
          <w:color w:val="000000"/>
          <w:sz w:val="21"/>
        </w:rPr>
        <w:t xml:space="preserve"> 在通道维度拼接，通过三层卷积生成残差修正项，并以可学习系数 </w:t>
      </w:r>
      <w:r>
        <w:rPr>
          <w:rStyle w:val="38"/>
          <w:rFonts w:ascii="Times New Roman" w:hAnsi="Times New Roman" w:eastAsia="楷体" w:cs="Times New Roman"/>
          <w:color w:val="000000"/>
          <w:sz w:val="21"/>
        </w:rPr>
        <w:t>γ=0.1</w:t>
      </w:r>
      <w:r>
        <w:rPr>
          <w:rFonts w:ascii="Times New Roman" w:hAnsi="Times New Roman" w:eastAsia="楷体" w:cs="Times New Roman"/>
          <w:color w:val="000000"/>
          <w:sz w:val="21"/>
        </w:rPr>
        <w:t xml:space="preserve"> 加到 log 域输出上：</w:t>
      </w:r>
    </w:p>
    <w:p w14:paraId="549FDC12">
      <w:pPr>
        <w:tabs>
          <w:tab w:val="center" w:pos="4155"/>
          <w:tab w:val="right" w:pos="8310"/>
        </w:tabs>
        <w:spacing w:before="120" w:after="120" w:line="360" w:lineRule="auto"/>
        <w:jc w:val="left"/>
      </w:pPr>
      <w:r>
        <w:tab/>
      </w:r>
      <m:oMath>
        <m:sSub>
          <m:sSubPr/>
          <m:e>
            <m:r>
              <m:rPr/>
              <m:t>X</m:t>
            </m:r>
          </m:e>
          <m:sub>
            <m:r>
              <m:rPr>
                <m:sty m:val="p"/>
              </m:rPr>
              <m:t>out</m:t>
            </m:r>
          </m:sub>
        </m:sSub>
        <m:r>
          <m:rPr>
            <m:sty m:val="p"/>
          </m:rPr>
          <m:t>=</m:t>
        </m:r>
        <m:sSub>
          <m:sSubPr/>
          <m:e>
            <m:r>
              <m:rPr/>
              <m:t>X</m:t>
            </m:r>
          </m:e>
          <m:sub>
            <m:r>
              <m:rPr>
                <m:sty m:val="p"/>
              </m:rPr>
              <m:t>log</m:t>
            </m:r>
          </m:sub>
        </m:sSub>
        <m:r>
          <m:rPr>
            <m:sty m:val="p"/>
          </m:rPr>
          <m:t>+</m:t>
        </m:r>
        <m:r>
          <m:rPr/>
          <m:t>γ</m:t>
        </m:r>
        <m:r>
          <m:rPr>
            <m:sty m:val="p"/>
          </m:rPr>
          <m:t>⋅</m:t>
        </m:r>
        <m:r>
          <m:rPr/>
          <m:t>R</m:t>
        </m:r>
        <m:d>
          <m:dPr>
            <m:sepChr m:val=""/>
          </m:dPr>
          <m:e>
            <m:r>
              <m:rPr/>
              <m:t>Y</m:t>
            </m:r>
            <m:r>
              <m:rPr>
                <m:sty m:val="p"/>
              </m:rPr>
              <m:t>,</m:t>
            </m:r>
            <m:sSub>
              <m:sSubPr/>
              <m:e>
                <m:r>
                  <m:rPr/>
                  <m:t>X</m:t>
                </m:r>
              </m:e>
              <m:sub>
                <m:r>
                  <m:rPr>
                    <m:sty m:val="p"/>
                  </m:rPr>
                  <m:t>log</m:t>
                </m:r>
              </m:sub>
            </m:sSub>
          </m:e>
        </m:d>
      </m:oMath>
      <w:r>
        <w:rPr>
          <w:rFonts w:ascii="Times New Roman" w:hAnsi="Times New Roman" w:eastAsia="宋体"/>
          <w:sz w:val="21"/>
          <w:szCs w:val="21"/>
        </w:rPr>
        <w:tab/>
      </w:r>
      <w:r>
        <w:rPr>
          <w:rFonts w:ascii="Times New Roman" w:hAnsi="Times New Roman" w:eastAsia="宋体"/>
          <w:sz w:val="21"/>
          <w:szCs w:val="21"/>
        </w:rPr>
        <w:t>（17）</w:t>
      </w:r>
    </w:p>
    <w:p w14:paraId="53BB0009">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 xml:space="preserve">该结构使 log 域分支承担主要 speckle 抑制任务，原始强度域分支承担辐射强度、边缘过渡和细节响应补偿任务。最终输出再经过 </w:t>
      </w:r>
      <w:r>
        <w:rPr>
          <w:rStyle w:val="38"/>
          <w:rFonts w:ascii="Times New Roman" w:hAnsi="Times New Roman" w:eastAsia="楷体" w:cs="Times New Roman"/>
          <w:color w:val="000000"/>
          <w:sz w:val="21"/>
        </w:rPr>
        <w:t>Tanh</w:t>
      </w:r>
      <w:r>
        <w:rPr>
          <w:rFonts w:ascii="Times New Roman" w:hAnsi="Times New Roman" w:eastAsia="楷体" w:cs="Times New Roman"/>
          <w:color w:val="000000"/>
          <w:sz w:val="21"/>
        </w:rPr>
        <w:t xml:space="preserve"> 激活函数约束，以保持与前序模型版本一致的输出形式。</w:t>
      </w:r>
    </w:p>
    <w:p w14:paraId="2E0D301B">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266055" cy="2723515"/>
            <wp:effectExtent l="0" t="0" r="6985" b="4445"/>
            <wp:docPr id="11" name="图片 11" descr="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0"/>
                    <pic:cNvPicPr>
                      <a:picLocks noChangeAspect="1"/>
                    </pic:cNvPicPr>
                  </pic:nvPicPr>
                  <pic:blipFill>
                    <a:blip r:embed="rId15"/>
                    <a:stretch>
                      <a:fillRect/>
                    </a:stretch>
                  </pic:blipFill>
                  <pic:spPr>
                    <a:xfrm>
                      <a:off x="0" y="0"/>
                      <a:ext cx="5266055" cy="2723515"/>
                    </a:xfrm>
                    <a:prstGeom prst="rect">
                      <a:avLst/>
                    </a:prstGeom>
                  </pic:spPr>
                </pic:pic>
              </a:graphicData>
            </a:graphic>
          </wp:inline>
        </w:drawing>
      </w:r>
    </w:p>
    <w:p w14:paraId="5EF739BA">
      <w:pPr>
        <w:pStyle w:val="12"/>
        <w:spacing w:before="60" w:after="60" w:line="240" w:lineRule="auto"/>
        <w:jc w:val="center"/>
      </w:pPr>
      <w:r>
        <w:rPr>
          <w:rFonts w:ascii="楷体" w:hAnsi="楷体" w:eastAsia="楷体" w:cs="楷体"/>
          <w:b w:val="0"/>
          <w:i w:val="0"/>
          <w:color w:val="000000"/>
          <w:sz w:val="18"/>
        </w:rPr>
        <w:t>图10 双域恢复与残差补偿结构图</w:t>
      </w:r>
    </w:p>
    <w:p w14:paraId="49D0A4EF">
      <w:pPr>
        <w:pStyle w:val="5"/>
        <w:spacing w:before="120" w:after="60" w:line="360" w:lineRule="auto"/>
        <w:ind w:firstLine="0"/>
        <w:jc w:val="left"/>
      </w:pPr>
      <w:bookmarkStart w:id="30" w:name="设计动机-3"/>
      <w:r>
        <w:rPr>
          <w:rFonts w:ascii="Times New Roman" w:hAnsi="Times New Roman" w:eastAsia="黑体" w:cs="Times New Roman"/>
          <w:b/>
          <w:color w:val="000000"/>
          <w:sz w:val="21"/>
        </w:rPr>
        <w:t>2.7.1 设计动机</w:t>
      </w:r>
    </w:p>
    <w:p w14:paraId="2F3DF73D">
      <w:pPr>
        <w:spacing w:before="0" w:after="0" w:line="360" w:lineRule="auto"/>
        <w:ind w:firstLine="420"/>
        <w:jc w:val="both"/>
      </w:pPr>
      <w:r>
        <w:rPr>
          <w:rFonts w:ascii="Times New Roman" w:hAnsi="Times New Roman" w:eastAsia="楷体" w:cs="Times New Roman"/>
          <w:color w:val="000000"/>
          <w:sz w:val="21"/>
        </w:rPr>
        <w:t xml:space="preserve">SAR 斑点噪声通常被建模为乘性噪声。对于观测图像 </w:t>
      </w:r>
      <w:r>
        <w:rPr>
          <w:rStyle w:val="38"/>
          <w:rFonts w:ascii="Times New Roman" w:hAnsi="Times New Roman" w:eastAsia="楷体" w:cs="Times New Roman"/>
          <w:color w:val="000000"/>
          <w:sz w:val="21"/>
        </w:rPr>
        <w:t>Y</w:t>
      </w:r>
      <w:r>
        <w:rPr>
          <w:rFonts w:ascii="Times New Roman" w:hAnsi="Times New Roman" w:eastAsia="楷体" w:cs="Times New Roman"/>
          <w:color w:val="000000"/>
          <w:sz w:val="21"/>
        </w:rPr>
        <w:t xml:space="preserve">、理想图像 </w:t>
      </w:r>
      <w:r>
        <w:rPr>
          <w:rStyle w:val="38"/>
          <w:rFonts w:ascii="Times New Roman" w:hAnsi="Times New Roman" w:eastAsia="楷体" w:cs="Times New Roman"/>
          <w:color w:val="000000"/>
          <w:sz w:val="21"/>
        </w:rPr>
        <w:t>X</w:t>
      </w:r>
      <w:r>
        <w:rPr>
          <w:rFonts w:ascii="Times New Roman" w:hAnsi="Times New Roman" w:eastAsia="楷体" w:cs="Times New Roman"/>
          <w:color w:val="000000"/>
          <w:sz w:val="21"/>
        </w:rPr>
        <w:t xml:space="preserve"> 和噪声项 </w:t>
      </w:r>
      <w:r>
        <w:rPr>
          <w:rStyle w:val="38"/>
          <w:rFonts w:ascii="Times New Roman" w:hAnsi="Times New Roman" w:eastAsia="楷体" w:cs="Times New Roman"/>
          <w:color w:val="000000"/>
          <w:sz w:val="21"/>
        </w:rPr>
        <w:t>N</w:t>
      </w:r>
      <w:r>
        <w:rPr>
          <w:rFonts w:ascii="Times New Roman" w:hAnsi="Times New Roman" w:eastAsia="楷体" w:cs="Times New Roman"/>
          <w:color w:val="000000"/>
          <w:sz w:val="21"/>
        </w:rPr>
        <w:t>，可写为：</w:t>
      </w:r>
    </w:p>
    <w:p w14:paraId="46508262">
      <w:pPr>
        <w:tabs>
          <w:tab w:val="center" w:pos="4155"/>
          <w:tab w:val="right" w:pos="8310"/>
        </w:tabs>
        <w:spacing w:before="120" w:after="120" w:line="360" w:lineRule="auto"/>
        <w:jc w:val="left"/>
      </w:pPr>
      <w:r>
        <w:tab/>
      </w:r>
      <m:oMath>
        <m:r>
          <m:rPr/>
          <m:t>Y</m:t>
        </m:r>
        <m:r>
          <m:rPr>
            <m:sty m:val="p"/>
          </m:rPr>
          <m:t>=</m:t>
        </m:r>
        <m:r>
          <m:rPr/>
          <m:t>X</m:t>
        </m:r>
        <m:r>
          <m:rPr>
            <m:sty m:val="p"/>
          </m:rPr>
          <m:t>⋅</m:t>
        </m:r>
        <m:r>
          <m:rPr/>
          <m:t>N</m:t>
        </m:r>
      </m:oMath>
      <w:r>
        <w:rPr>
          <w:rFonts w:ascii="Times New Roman" w:hAnsi="Times New Roman" w:eastAsia="宋体"/>
          <w:sz w:val="21"/>
          <w:szCs w:val="21"/>
        </w:rPr>
        <w:tab/>
      </w:r>
      <w:r>
        <w:rPr>
          <w:rFonts w:ascii="Times New Roman" w:hAnsi="Times New Roman" w:eastAsia="宋体"/>
          <w:sz w:val="21"/>
          <w:szCs w:val="21"/>
        </w:rPr>
        <w:t>（18）</w:t>
      </w:r>
    </w:p>
    <w:p w14:paraId="1108EB97">
      <w:pPr>
        <w:spacing w:before="0" w:after="0" w:line="360" w:lineRule="auto"/>
        <w:ind w:firstLine="420"/>
        <w:jc w:val="both"/>
      </w:pPr>
      <w:r>
        <w:rPr>
          <w:rFonts w:ascii="Times New Roman" w:hAnsi="Times New Roman" w:eastAsia="楷体" w:cs="Times New Roman"/>
          <w:color w:val="000000"/>
          <w:sz w:val="21"/>
        </w:rPr>
        <w:t>取对数后可得：</w:t>
      </w:r>
    </w:p>
    <w:p w14:paraId="56CA0585">
      <w:pPr>
        <w:tabs>
          <w:tab w:val="center" w:pos="4155"/>
          <w:tab w:val="right" w:pos="8310"/>
        </w:tabs>
        <w:spacing w:before="120" w:after="120" w:line="360" w:lineRule="auto"/>
        <w:jc w:val="left"/>
      </w:pPr>
      <w:r>
        <w:tab/>
      </w:r>
      <m:oMath>
        <m:r>
          <m:rPr>
            <m:sty m:val="p"/>
          </m:rPr>
          <m:t>log</m:t>
        </m:r>
        <m:d>
          <m:dPr>
            <m:sepChr m:val=""/>
          </m:dPr>
          <m:e>
            <m:r>
              <m:rPr/>
              <m:t>Y</m:t>
            </m:r>
          </m:e>
        </m:d>
        <m:r>
          <m:rPr>
            <m:sty m:val="p"/>
          </m:rPr>
          <m:t>=log</m:t>
        </m:r>
        <m:d>
          <m:dPr>
            <m:sepChr m:val=""/>
          </m:dPr>
          <m:e>
            <m:r>
              <m:rPr/>
              <m:t>X</m:t>
            </m:r>
          </m:e>
        </m:d>
        <m:r>
          <m:rPr>
            <m:sty m:val="p"/>
          </m:rPr>
          <m:t>+log</m:t>
        </m:r>
        <m:d>
          <m:dPr>
            <m:sepChr m:val=""/>
          </m:dPr>
          <m:e>
            <m:r>
              <m:rPr/>
              <m:t>N</m:t>
            </m:r>
          </m:e>
        </m:d>
      </m:oMath>
      <w:r>
        <w:rPr>
          <w:rFonts w:ascii="Times New Roman" w:hAnsi="Times New Roman" w:eastAsia="宋体"/>
          <w:sz w:val="21"/>
          <w:szCs w:val="21"/>
        </w:rPr>
        <w:tab/>
      </w:r>
      <w:r>
        <w:rPr>
          <w:rFonts w:ascii="Times New Roman" w:hAnsi="Times New Roman" w:eastAsia="宋体"/>
          <w:sz w:val="21"/>
          <w:szCs w:val="21"/>
        </w:rPr>
        <w:t>（19）</w:t>
      </w:r>
    </w:p>
    <w:p w14:paraId="1852080F">
      <w:pPr>
        <w:spacing w:before="0" w:after="0" w:line="360" w:lineRule="auto"/>
        <w:ind w:firstLine="420"/>
        <w:jc w:val="both"/>
      </w:pPr>
      <w:r>
        <w:rPr>
          <w:rFonts w:ascii="Times New Roman" w:hAnsi="Times New Roman" w:eastAsia="楷体" w:cs="Times New Roman"/>
          <w:color w:val="000000"/>
          <w:sz w:val="21"/>
        </w:rPr>
        <w:t>该变换将乘性噪声近似转化为加性扰动，使网络更容易学习噪声残差。然而，单纯在 log 域进行恢复可能引入亮度压缩和细节偏移问题，尤其是在强散射点、低灰度区域和纹理边界附近。因此，本文构建 log-intensity 与 original intensity 双域恢复结构，使模型同时利用 log 域的噪声建模优势和原始强度域的辐射细节信息。</w:t>
      </w:r>
    </w:p>
    <w:bookmarkEnd w:id="30"/>
    <w:p w14:paraId="4CE8981E">
      <w:pPr>
        <w:pStyle w:val="5"/>
        <w:spacing w:before="120" w:after="60" w:line="360" w:lineRule="auto"/>
        <w:ind w:firstLine="0"/>
        <w:jc w:val="left"/>
      </w:pPr>
      <w:bookmarkStart w:id="31" w:name="log-intensity-变换"/>
      <w:r>
        <w:rPr>
          <w:rFonts w:ascii="Times New Roman" w:hAnsi="Times New Roman" w:eastAsia="黑体" w:cs="Times New Roman"/>
          <w:b/>
          <w:color w:val="000000"/>
          <w:sz w:val="21"/>
        </w:rPr>
        <w:t>2.7.2 log-intensity 变换</w:t>
      </w:r>
    </w:p>
    <w:p w14:paraId="0244FC6D">
      <w:pPr>
        <w:spacing w:before="0" w:after="0" w:line="360" w:lineRule="auto"/>
        <w:ind w:firstLine="420"/>
        <w:jc w:val="both"/>
      </w:pPr>
      <w:r>
        <w:rPr>
          <w:rFonts w:ascii="Times New Roman" w:hAnsi="Times New Roman" w:eastAsia="楷体" w:cs="Times New Roman"/>
          <w:color w:val="000000"/>
          <w:sz w:val="21"/>
        </w:rPr>
        <w:t xml:space="preserve">为了避免直接对零值取对数导致数值不稳定，本文采用归一化 </w:t>
      </w:r>
      <w:r>
        <w:rPr>
          <w:rStyle w:val="38"/>
          <w:rFonts w:ascii="Times New Roman" w:hAnsi="Times New Roman" w:eastAsia="楷体" w:cs="Times New Roman"/>
          <w:color w:val="000000"/>
          <w:sz w:val="21"/>
        </w:rPr>
        <w:t>log1p</w:t>
      </w:r>
      <w:r>
        <w:rPr>
          <w:rFonts w:ascii="Times New Roman" w:hAnsi="Times New Roman" w:eastAsia="楷体" w:cs="Times New Roman"/>
          <w:color w:val="000000"/>
          <w:sz w:val="21"/>
        </w:rPr>
        <w:t xml:space="preserve"> 变换：</w:t>
      </w:r>
    </w:p>
    <w:p w14:paraId="2A48A011">
      <w:pPr>
        <w:tabs>
          <w:tab w:val="center" w:pos="4155"/>
          <w:tab w:val="right" w:pos="8310"/>
        </w:tabs>
        <w:spacing w:before="120" w:after="120" w:line="360" w:lineRule="auto"/>
        <w:jc w:val="left"/>
      </w:pPr>
      <w:r>
        <w:tab/>
      </w:r>
      <m:oMath>
        <m:sSub>
          <m:sSubPr/>
          <m:e>
            <m:r>
              <m:rPr/>
              <m:t>Y</m:t>
            </m:r>
          </m:e>
          <m:sub>
            <m:r>
              <m:rPr>
                <m:sty m:val="p"/>
              </m:rPr>
              <m:t>log</m:t>
            </m:r>
          </m:sub>
        </m:sSub>
        <m:r>
          <m:rPr>
            <m:sty m:val="p"/>
          </m:rPr>
          <m:t>=</m:t>
        </m:r>
        <m:f>
          <m:fPr/>
          <m:num>
            <m:r>
              <m:rPr>
                <m:sty m:val="p"/>
              </m:rPr>
              <m:t>log</m:t>
            </m:r>
            <m:d>
              <m:dPr>
                <m:sepChr m:val=""/>
              </m:dPr>
              <m:e>
                <m:r>
                  <m:rPr/>
                  <m:t>1</m:t>
                </m:r>
                <m:r>
                  <m:rPr>
                    <m:sty m:val="p"/>
                  </m:rPr>
                  <m:t>+</m:t>
                </m:r>
                <m:r>
                  <m:rPr/>
                  <m:t>αY</m:t>
                </m:r>
              </m:e>
            </m:d>
          </m:num>
          <m:den>
            <m:r>
              <m:rPr>
                <m:sty m:val="p"/>
              </m:rPr>
              <m:t>log</m:t>
            </m:r>
            <m:d>
              <m:dPr>
                <m:sepChr m:val=""/>
              </m:dPr>
              <m:e>
                <m:r>
                  <m:rPr/>
                  <m:t>1</m:t>
                </m:r>
                <m:r>
                  <m:rPr>
                    <m:sty m:val="p"/>
                  </m:rPr>
                  <m:t>+</m:t>
                </m:r>
                <m:r>
                  <m:rPr/>
                  <m:t>α</m:t>
                </m:r>
              </m:e>
            </m:d>
          </m:den>
        </m:f>
      </m:oMath>
      <w:r>
        <w:rPr>
          <w:rFonts w:ascii="Times New Roman" w:hAnsi="Times New Roman" w:eastAsia="宋体"/>
          <w:sz w:val="21"/>
          <w:szCs w:val="21"/>
        </w:rPr>
        <w:tab/>
      </w:r>
      <w:r>
        <w:rPr>
          <w:rFonts w:ascii="Times New Roman" w:hAnsi="Times New Roman" w:eastAsia="宋体"/>
          <w:sz w:val="21"/>
          <w:szCs w:val="21"/>
        </w:rPr>
        <w:t>（20）</w:t>
      </w:r>
    </w:p>
    <w:p w14:paraId="4D85314C">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α</w:t>
      </w:r>
      <w:r>
        <w:rPr>
          <w:rFonts w:ascii="Times New Roman" w:hAnsi="Times New Roman" w:eastAsia="楷体" w:cs="Times New Roman"/>
          <w:color w:val="000000"/>
          <w:sz w:val="21"/>
        </w:rPr>
        <w:t xml:space="preserve"> 为控制压缩强度的超参数，实验中设为 10。该变换将输入限制在稳定范围内，并保持输出近似位于 </w:t>
      </w:r>
      <w:r>
        <w:rPr>
          <w:rStyle w:val="38"/>
          <w:rFonts w:ascii="Times New Roman" w:hAnsi="Times New Roman" w:eastAsia="楷体" w:cs="Times New Roman"/>
          <w:color w:val="000000"/>
          <w:sz w:val="21"/>
        </w:rPr>
        <w:t>[0, 1]</w:t>
      </w:r>
      <w:r>
        <w:rPr>
          <w:rFonts w:ascii="Times New Roman" w:hAnsi="Times New Roman" w:eastAsia="楷体" w:cs="Times New Roman"/>
          <w:color w:val="000000"/>
          <w:sz w:val="21"/>
        </w:rPr>
        <w:t>。与直接在原始强度域学习 speckle 去除映射相比，log-intensity 表示能够削弱乘性噪声与图像强度之间的耦合关系，有利于降低网络学习难度。</w:t>
      </w:r>
    </w:p>
    <w:bookmarkEnd w:id="31"/>
    <w:p w14:paraId="2481087F">
      <w:pPr>
        <w:pStyle w:val="5"/>
        <w:spacing w:before="120" w:after="60" w:line="360" w:lineRule="auto"/>
        <w:ind w:firstLine="0"/>
        <w:jc w:val="left"/>
      </w:pPr>
      <w:bookmarkStart w:id="32" w:name="双域融合机制"/>
      <w:r>
        <w:rPr>
          <w:rFonts w:ascii="Times New Roman" w:hAnsi="Times New Roman" w:eastAsia="黑体" w:cs="Times New Roman"/>
          <w:b/>
          <w:color w:val="000000"/>
          <w:sz w:val="21"/>
        </w:rPr>
        <w:t>2.7.3 双域融合机制</w:t>
      </w:r>
    </w:p>
    <w:p w14:paraId="20F7B335">
      <w:pPr>
        <w:spacing w:before="0" w:after="0" w:line="360" w:lineRule="auto"/>
        <w:ind w:firstLine="420"/>
        <w:jc w:val="both"/>
      </w:pPr>
      <w:r>
        <w:rPr>
          <w:rFonts w:ascii="Times New Roman" w:hAnsi="Times New Roman" w:eastAsia="楷体" w:cs="Times New Roman"/>
          <w:color w:val="000000"/>
          <w:sz w:val="21"/>
        </w:rPr>
        <w:t>在最终模型的双域恢复网络主体 DFNG-SARNet 中，log 域输入首先送入具有频域增强、轻量噪声门控和瓶颈增强结构的恢复分支，得到初步恢复结果：</w:t>
      </w:r>
    </w:p>
    <w:p w14:paraId="07777A00">
      <w:pPr>
        <w:tabs>
          <w:tab w:val="center" w:pos="4155"/>
          <w:tab w:val="right" w:pos="8310"/>
        </w:tabs>
        <w:spacing w:before="120" w:after="120" w:line="360" w:lineRule="auto"/>
        <w:jc w:val="left"/>
      </w:pPr>
      <w:r>
        <w:tab/>
      </w:r>
      <m:oMath>
        <m:sSub>
          <m:sSubPr/>
          <m:e>
            <m:r>
              <m:rPr/>
              <m:t>X</m:t>
            </m:r>
          </m:e>
          <m:sub>
            <m:r>
              <m:rPr>
                <m:sty m:val="p"/>
              </m:rPr>
              <m:t>log</m:t>
            </m:r>
          </m:sub>
        </m:sSub>
        <m:r>
          <m:rPr>
            <m:sty m:val="p"/>
          </m:rPr>
          <m:t>=</m:t>
        </m:r>
        <m:sSub>
          <m:sSubPr/>
          <m:e>
            <m:r>
              <m:rPr/>
              <m:t>F</m:t>
            </m:r>
          </m:e>
          <m:sub>
            <m:r>
              <m:rPr>
                <m:sty m:val="p"/>
              </m:rPr>
              <m:t>log</m:t>
            </m:r>
          </m:sub>
        </m:sSub>
        <m:d>
          <m:dPr>
            <m:sepChr m:val=""/>
          </m:dPr>
          <m:e>
            <m:sSub>
              <m:sSubPr/>
              <m:e>
                <m:r>
                  <m:rPr/>
                  <m:t>Y</m:t>
                </m:r>
              </m:e>
              <m:sub>
                <m:r>
                  <m:rPr>
                    <m:sty m:val="p"/>
                  </m:rPr>
                  <m:t>log</m:t>
                </m:r>
              </m:sub>
            </m:sSub>
          </m:e>
        </m:d>
      </m:oMath>
      <w:r>
        <w:rPr>
          <w:rFonts w:ascii="Times New Roman" w:hAnsi="Times New Roman" w:eastAsia="宋体"/>
          <w:sz w:val="21"/>
          <w:szCs w:val="21"/>
        </w:rPr>
        <w:tab/>
      </w:r>
      <w:r>
        <w:rPr>
          <w:rFonts w:ascii="Times New Roman" w:hAnsi="Times New Roman" w:eastAsia="宋体"/>
          <w:sz w:val="21"/>
          <w:szCs w:val="21"/>
        </w:rPr>
        <w:t>（21）</w:t>
      </w:r>
    </w:p>
    <w:p w14:paraId="13F0C262">
      <w:pPr>
        <w:spacing w:before="0" w:after="0" w:line="360" w:lineRule="auto"/>
        <w:ind w:firstLine="420"/>
        <w:jc w:val="both"/>
      </w:pPr>
      <w:r>
        <w:rPr>
          <w:rFonts w:ascii="Times New Roman" w:hAnsi="Times New Roman" w:eastAsia="楷体" w:cs="Times New Roman"/>
          <w:color w:val="000000"/>
          <w:sz w:val="21"/>
        </w:rPr>
        <w:t xml:space="preserve">随后将原始强度图 </w:t>
      </w:r>
      <w:r>
        <w:rPr>
          <w:rStyle w:val="38"/>
          <w:rFonts w:ascii="Times New Roman" w:hAnsi="Times New Roman" w:eastAsia="楷体" w:cs="Times New Roman"/>
          <w:color w:val="000000"/>
          <w:sz w:val="21"/>
        </w:rPr>
        <w:t>Y</w:t>
      </w:r>
      <w:r>
        <w:rPr>
          <w:rFonts w:ascii="Times New Roman" w:hAnsi="Times New Roman" w:eastAsia="楷体" w:cs="Times New Roman"/>
          <w:color w:val="000000"/>
          <w:sz w:val="21"/>
        </w:rPr>
        <w:t xml:space="preserve"> 与 log 分支输出 </w:t>
      </w:r>
      <w:r>
        <w:rPr>
          <w:rStyle w:val="38"/>
          <w:rFonts w:ascii="Times New Roman" w:hAnsi="Times New Roman" w:eastAsia="楷体" w:cs="Times New Roman"/>
          <w:color w:val="000000"/>
          <w:sz w:val="21"/>
        </w:rPr>
        <w:t>X_log</w:t>
      </w:r>
      <w:r>
        <w:rPr>
          <w:rFonts w:ascii="Times New Roman" w:hAnsi="Times New Roman" w:eastAsia="楷体" w:cs="Times New Roman"/>
          <w:color w:val="000000"/>
          <w:sz w:val="21"/>
        </w:rPr>
        <w:t xml:space="preserve"> 拼接，通过 </w:t>
      </w:r>
      <w:r>
        <w:rPr>
          <w:rStyle w:val="38"/>
          <w:rFonts w:ascii="Times New Roman" w:hAnsi="Times New Roman" w:eastAsia="楷体" w:cs="Times New Roman"/>
          <w:color w:val="000000"/>
          <w:sz w:val="21"/>
        </w:rPr>
        <w:t>DualDomainFusion</w:t>
      </w:r>
      <w:r>
        <w:rPr>
          <w:rFonts w:ascii="Times New Roman" w:hAnsi="Times New Roman" w:eastAsia="楷体" w:cs="Times New Roman"/>
          <w:color w:val="000000"/>
          <w:sz w:val="21"/>
        </w:rPr>
        <w:t xml:space="preserve"> 生成残差修正项：</w:t>
      </w:r>
    </w:p>
    <w:p w14:paraId="100EC65B">
      <w:pPr>
        <w:tabs>
          <w:tab w:val="center" w:pos="4155"/>
          <w:tab w:val="right" w:pos="8310"/>
        </w:tabs>
        <w:spacing w:before="120" w:after="120" w:line="360" w:lineRule="auto"/>
        <w:jc w:val="left"/>
      </w:pPr>
      <w:r>
        <w:tab/>
      </w:r>
      <m:oMath>
        <m:r>
          <m:rPr/>
          <m:t>R</m:t>
        </m:r>
        <m:r>
          <m:rPr>
            <m:sty m:val="p"/>
          </m:rPr>
          <m:t>=Conv</m:t>
        </m:r>
        <m:d>
          <m:dPr>
            <m:sepChr m:val=""/>
          </m:dPr>
          <m:e>
            <m:r>
              <m:rPr>
                <m:sty m:val="p"/>
              </m:rPr>
              <m:t>concat</m:t>
            </m:r>
            <m:d>
              <m:dPr>
                <m:sepChr m:val=""/>
              </m:dPr>
              <m:e>
                <m:r>
                  <m:rPr/>
                  <m:t>Y</m:t>
                </m:r>
                <m:r>
                  <m:rPr>
                    <m:sty m:val="p"/>
                  </m:rPr>
                  <m:t>,</m:t>
                </m:r>
                <m:sSub>
                  <m:sSubPr/>
                  <m:e>
                    <m:r>
                      <m:rPr/>
                      <m:t>X</m:t>
                    </m:r>
                  </m:e>
                  <m:sub>
                    <m:r>
                      <m:rPr>
                        <m:sty m:val="p"/>
                      </m:rPr>
                      <m:t>log</m:t>
                    </m:r>
                  </m:sub>
                </m:sSub>
              </m:e>
            </m:d>
          </m:e>
        </m:d>
      </m:oMath>
      <w:r>
        <w:rPr>
          <w:rFonts w:ascii="Times New Roman" w:hAnsi="Times New Roman" w:eastAsia="宋体"/>
          <w:sz w:val="21"/>
          <w:szCs w:val="21"/>
        </w:rPr>
        <w:tab/>
      </w:r>
      <w:r>
        <w:rPr>
          <w:rFonts w:ascii="Times New Roman" w:hAnsi="Times New Roman" w:eastAsia="宋体"/>
          <w:sz w:val="21"/>
          <w:szCs w:val="21"/>
        </w:rPr>
        <w:t>（22）</w:t>
      </w:r>
    </w:p>
    <w:p w14:paraId="3F199409">
      <w:pPr>
        <w:spacing w:before="0" w:after="0" w:line="360" w:lineRule="auto"/>
        <w:ind w:firstLine="420"/>
        <w:jc w:val="both"/>
      </w:pPr>
      <w:r>
        <w:rPr>
          <w:rFonts w:ascii="Times New Roman" w:hAnsi="Times New Roman" w:eastAsia="楷体" w:cs="Times New Roman"/>
          <w:color w:val="000000"/>
          <w:sz w:val="21"/>
        </w:rPr>
        <w:t>最终输出为：</w:t>
      </w:r>
    </w:p>
    <w:p w14:paraId="04745A51">
      <w:pPr>
        <w:tabs>
          <w:tab w:val="center" w:pos="4155"/>
          <w:tab w:val="right" w:pos="8310"/>
        </w:tabs>
        <w:spacing w:before="120" w:after="120" w:line="360" w:lineRule="auto"/>
        <w:jc w:val="left"/>
      </w:pPr>
      <w:r>
        <w:tab/>
      </w:r>
      <m:oMath>
        <m:sSub>
          <m:sSubPr/>
          <m:e>
            <m:r>
              <m:rPr/>
              <m:t>X</m:t>
            </m:r>
          </m:e>
          <m:sub>
            <m:r>
              <m:rPr>
                <m:sty m:val="p"/>
              </m:rPr>
              <m:t>out</m:t>
            </m:r>
          </m:sub>
        </m:sSub>
        <m:r>
          <m:rPr>
            <m:sty m:val="p"/>
          </m:rPr>
          <m:t>=</m:t>
        </m:r>
        <m:sSub>
          <m:sSubPr/>
          <m:e>
            <m:r>
              <m:rPr/>
              <m:t>X</m:t>
            </m:r>
          </m:e>
          <m:sub>
            <m:r>
              <m:rPr>
                <m:sty m:val="p"/>
              </m:rPr>
              <m:t>log</m:t>
            </m:r>
          </m:sub>
        </m:sSub>
        <m:r>
          <m:rPr>
            <m:sty m:val="p"/>
          </m:rPr>
          <m:t>+</m:t>
        </m:r>
        <m:r>
          <m:rPr/>
          <m:t>γR</m:t>
        </m:r>
      </m:oMath>
      <w:r>
        <w:rPr>
          <w:rFonts w:ascii="Times New Roman" w:hAnsi="Times New Roman" w:eastAsia="宋体"/>
          <w:sz w:val="21"/>
          <w:szCs w:val="21"/>
        </w:rPr>
        <w:tab/>
      </w:r>
      <w:r>
        <w:rPr>
          <w:rFonts w:ascii="Times New Roman" w:hAnsi="Times New Roman" w:eastAsia="宋体"/>
          <w:sz w:val="21"/>
          <w:szCs w:val="21"/>
        </w:rPr>
        <w:t>（23）</w:t>
      </w:r>
    </w:p>
    <w:p w14:paraId="0F5845EF">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γ</w:t>
      </w:r>
      <w:r>
        <w:rPr>
          <w:rFonts w:ascii="Times New Roman" w:hAnsi="Times New Roman" w:eastAsia="楷体" w:cs="Times New Roman"/>
          <w:color w:val="000000"/>
          <w:sz w:val="21"/>
        </w:rPr>
        <w:t xml:space="preserve"> 为可学习缩放因子。该结构使 log 域分支承担主要去斑任务，而原始强度域输入用于补偿局部亮度和结构细节，从而增强模型对 SAR 乘性噪声的适应能力。与单域恢复相比，双域融合能够在保持 speckle 抑制能力的同时减少辐射压缩和纹理过平滑。</w:t>
      </w:r>
    </w:p>
    <w:bookmarkEnd w:id="29"/>
    <w:bookmarkEnd w:id="32"/>
    <w:p w14:paraId="615ADC6D">
      <w:pPr>
        <w:pStyle w:val="4"/>
        <w:spacing w:before="120" w:after="60" w:line="360" w:lineRule="auto"/>
        <w:ind w:firstLine="0"/>
        <w:jc w:val="left"/>
      </w:pPr>
      <w:bookmarkStart w:id="33" w:name="真实-sar-自监督适应策略"/>
      <w:r>
        <w:rPr>
          <w:rFonts w:ascii="Times New Roman" w:hAnsi="Times New Roman" w:eastAsia="黑体" w:cs="Times New Roman"/>
          <w:b/>
          <w:color w:val="000000"/>
          <w:sz w:val="24"/>
        </w:rPr>
        <w:t>2.8 真实 SAR 自监督适应策略</w:t>
      </w:r>
    </w:p>
    <w:p w14:paraId="09CB84C3">
      <w:pPr>
        <w:pStyle w:val="5"/>
        <w:spacing w:before="120" w:after="60" w:line="360" w:lineRule="auto"/>
        <w:ind w:firstLine="0"/>
        <w:jc w:val="left"/>
      </w:pPr>
      <w:bookmarkStart w:id="34" w:name="设计动机-4"/>
      <w:r>
        <w:rPr>
          <w:rFonts w:ascii="Times New Roman" w:hAnsi="Times New Roman" w:eastAsia="黑体" w:cs="Times New Roman"/>
          <w:b/>
          <w:color w:val="000000"/>
          <w:sz w:val="21"/>
        </w:rPr>
        <w:t>2.8.1 设计动机</w:t>
      </w:r>
    </w:p>
    <w:p w14:paraId="21845898">
      <w:pPr>
        <w:spacing w:before="0" w:after="0" w:line="360" w:lineRule="auto"/>
        <w:ind w:firstLine="420"/>
        <w:jc w:val="both"/>
      </w:pPr>
      <w:r>
        <w:rPr>
          <w:rFonts w:ascii="Times New Roman" w:hAnsi="Times New Roman" w:eastAsia="楷体" w:cs="Times New Roman"/>
          <w:color w:val="000000"/>
          <w:sz w:val="21"/>
        </w:rPr>
        <w:t>合成 SAR 数据通常由光学图像或遥感图像添加乘性 Gamma 噪声得到，虽然具有 clean/noisy 成对样本，便于监督训练和 PSNR、SSIM 评价，但其噪声分布与真实 SAR 图像仍存在差异。真实 SAR 图像受成像模式、入射角、地物类型和系统噪声等因素影响，噪声分布更加复杂。因此，仅依赖合成数据训练可能导致真实 SAR 场景泛化不足。</w:t>
      </w:r>
    </w:p>
    <w:p w14:paraId="5C1E8E3D">
      <w:pPr>
        <w:spacing w:before="0" w:after="0" w:line="360" w:lineRule="auto"/>
        <w:ind w:firstLine="420"/>
        <w:jc w:val="both"/>
      </w:pPr>
      <w:r>
        <w:rPr>
          <w:rFonts w:ascii="Times New Roman" w:hAnsi="Times New Roman" w:eastAsia="楷体" w:cs="Times New Roman"/>
          <w:color w:val="000000"/>
          <w:sz w:val="21"/>
        </w:rPr>
        <w:t>为缓解合成数据与真实 SAR 数据之间的域差异，本文进一步在 DFNG-SARNet 网络主体上设计真实 SAR 自监督适应策略，形成最终实验版本 DFNG-SARNet+AMS。需要说明的是，</w:t>
      </w:r>
      <w:r>
        <w:rPr>
          <w:rStyle w:val="38"/>
          <w:rFonts w:ascii="Times New Roman" w:hAnsi="Times New Roman" w:eastAsia="楷体" w:cs="Times New Roman"/>
          <w:color w:val="000000"/>
          <w:sz w:val="21"/>
        </w:rPr>
        <w:t>AMS</w:t>
      </w:r>
      <w:r>
        <w:rPr>
          <w:rFonts w:ascii="Times New Roman" w:hAnsi="Times New Roman" w:eastAsia="楷体" w:cs="Times New Roman"/>
          <w:color w:val="000000"/>
          <w:sz w:val="21"/>
        </w:rPr>
        <w:t xml:space="preserve"> 不是额外的网络结构类，而是训练阶段的真实 SAR 域适应策略；因此在模型命名上，网络主体统一称为 DFNG-SARNet，自监督适应后的实验版本记为 DFNG-SARNet+AMS。该阶段不需要 clean target，仅利用真实 SAR 图像本身进行遮挡重建优化。</w:t>
      </w:r>
    </w:p>
    <w:bookmarkEnd w:id="34"/>
    <w:p w14:paraId="51A9ED63">
      <w:pPr>
        <w:pStyle w:val="5"/>
        <w:spacing w:before="120" w:after="60" w:line="360" w:lineRule="auto"/>
        <w:ind w:firstLine="0"/>
        <w:jc w:val="left"/>
      </w:pPr>
      <w:bookmarkStart w:id="35" w:name="遮挡重建损失"/>
      <w:r>
        <w:rPr>
          <w:rFonts w:ascii="Times New Roman" w:hAnsi="Times New Roman" w:eastAsia="黑体" w:cs="Times New Roman"/>
          <w:b/>
          <w:color w:val="000000"/>
          <w:sz w:val="21"/>
        </w:rPr>
        <w:t>2.8.2 遮挡重建损失</w:t>
      </w:r>
    </w:p>
    <w:p w14:paraId="3A9868AD">
      <w:pPr>
        <w:spacing w:before="0" w:after="0" w:line="360" w:lineRule="auto"/>
        <w:ind w:firstLine="420"/>
        <w:jc w:val="both"/>
      </w:pPr>
      <w:r>
        <w:rPr>
          <w:rFonts w:ascii="Times New Roman" w:hAnsi="Times New Roman" w:eastAsia="楷体" w:cs="Times New Roman"/>
          <w:color w:val="000000"/>
          <w:sz w:val="21"/>
        </w:rPr>
        <w:t xml:space="preserve">给定真实 SAR 图像 </w:t>
      </w:r>
      <w:r>
        <w:rPr>
          <w:rStyle w:val="38"/>
          <w:rFonts w:ascii="Times New Roman" w:hAnsi="Times New Roman" w:eastAsia="楷体" w:cs="Times New Roman"/>
          <w:color w:val="000000"/>
          <w:sz w:val="21"/>
        </w:rPr>
        <w:t>Y</w:t>
      </w:r>
      <w:r>
        <w:rPr>
          <w:rFonts w:ascii="Times New Roman" w:hAnsi="Times New Roman" w:eastAsia="楷体" w:cs="Times New Roman"/>
          <w:color w:val="000000"/>
          <w:sz w:val="21"/>
        </w:rPr>
        <w:t xml:space="preserve">，首先随机生成二值 mask </w:t>
      </w:r>
      <w:r>
        <w:rPr>
          <w:rStyle w:val="38"/>
          <w:rFonts w:ascii="Times New Roman" w:hAnsi="Times New Roman" w:eastAsia="楷体" w:cs="Times New Roman"/>
          <w:color w:val="000000"/>
          <w:sz w:val="21"/>
        </w:rPr>
        <w:t>M</w:t>
      </w:r>
      <w:r>
        <w:rPr>
          <w:rFonts w:ascii="Times New Roman" w:hAnsi="Times New Roman" w:eastAsia="楷体" w:cs="Times New Roman"/>
          <w:color w:val="000000"/>
          <w:sz w:val="21"/>
        </w:rPr>
        <w:t xml:space="preserve">，其中 </w:t>
      </w:r>
      <w:r>
        <w:rPr>
          <w:rStyle w:val="38"/>
          <w:rFonts w:ascii="Times New Roman" w:hAnsi="Times New Roman" w:eastAsia="楷体" w:cs="Times New Roman"/>
          <w:color w:val="000000"/>
          <w:sz w:val="21"/>
        </w:rPr>
        <w:t>M=1</w:t>
      </w:r>
      <w:r>
        <w:rPr>
          <w:rFonts w:ascii="Times New Roman" w:hAnsi="Times New Roman" w:eastAsia="楷体" w:cs="Times New Roman"/>
          <w:color w:val="000000"/>
          <w:sz w:val="21"/>
        </w:rPr>
        <w:t xml:space="preserve"> 表示被遮挡区域，</w:t>
      </w:r>
      <w:r>
        <w:rPr>
          <w:rStyle w:val="38"/>
          <w:rFonts w:ascii="Times New Roman" w:hAnsi="Times New Roman" w:eastAsia="楷体" w:cs="Times New Roman"/>
          <w:color w:val="000000"/>
          <w:sz w:val="21"/>
        </w:rPr>
        <w:t>M=0</w:t>
      </w:r>
      <w:r>
        <w:rPr>
          <w:rFonts w:ascii="Times New Roman" w:hAnsi="Times New Roman" w:eastAsia="楷体" w:cs="Times New Roman"/>
          <w:color w:val="000000"/>
          <w:sz w:val="21"/>
        </w:rPr>
        <w:t xml:space="preserve"> 表示保留区域。输入图像被构造为：</w:t>
      </w:r>
    </w:p>
    <w:p w14:paraId="34D9293C">
      <w:pPr>
        <w:tabs>
          <w:tab w:val="center" w:pos="4155"/>
          <w:tab w:val="right" w:pos="8310"/>
        </w:tabs>
        <w:spacing w:before="120" w:after="120" w:line="360" w:lineRule="auto"/>
        <w:jc w:val="left"/>
      </w:pPr>
      <w:r>
        <w:tab/>
      </w:r>
      <m:oMath>
        <m:sSub>
          <m:sSubPr/>
          <m:e>
            <m:r>
              <m:rPr/>
              <m:t>Y</m:t>
            </m:r>
          </m:e>
          <m:sub>
            <m:r>
              <m:rPr>
                <m:sty m:val="p"/>
              </m:rPr>
              <m:t>mask</m:t>
            </m:r>
          </m:sub>
        </m:sSub>
        <m:r>
          <m:rPr>
            <m:sty m:val="p"/>
          </m:rPr>
          <m:t>=</m:t>
        </m:r>
        <m:r>
          <m:rPr/>
          <m:t>Y</m:t>
        </m:r>
        <m:r>
          <m:rPr>
            <m:sty m:val="p"/>
          </m:rPr>
          <m:t>⋅</m:t>
        </m:r>
        <m:d>
          <m:dPr>
            <m:sepChr m:val=""/>
          </m:dPr>
          <m:e>
            <m:r>
              <m:rPr/>
              <m:t>1</m:t>
            </m:r>
            <m:r>
              <m:rPr>
                <m:sty m:val="p"/>
              </m:rPr>
              <m:t>−</m:t>
            </m:r>
            <m:r>
              <m:rPr/>
              <m:t>M</m:t>
            </m:r>
          </m:e>
        </m:d>
      </m:oMath>
      <w:r>
        <w:rPr>
          <w:rFonts w:ascii="Times New Roman" w:hAnsi="Times New Roman" w:eastAsia="宋体"/>
          <w:sz w:val="21"/>
          <w:szCs w:val="21"/>
        </w:rPr>
        <w:tab/>
      </w:r>
      <w:r>
        <w:rPr>
          <w:rFonts w:ascii="Times New Roman" w:hAnsi="Times New Roman" w:eastAsia="宋体"/>
          <w:sz w:val="21"/>
          <w:szCs w:val="21"/>
        </w:rPr>
        <w:t>（24）</w:t>
      </w:r>
    </w:p>
    <w:p w14:paraId="5C01FBCB">
      <w:pPr>
        <w:spacing w:before="0" w:after="0" w:line="360" w:lineRule="auto"/>
        <w:ind w:firstLine="420"/>
        <w:jc w:val="both"/>
      </w:pPr>
      <w:r>
        <w:rPr>
          <w:rFonts w:ascii="Times New Roman" w:hAnsi="Times New Roman" w:eastAsia="楷体" w:cs="Times New Roman"/>
          <w:color w:val="000000"/>
          <w:sz w:val="21"/>
        </w:rPr>
        <w:t>最终方法根据未遮挡区域预测完整图像：</w:t>
      </w:r>
    </w:p>
    <w:p w14:paraId="6A7DEC15">
      <w:pPr>
        <w:tabs>
          <w:tab w:val="center" w:pos="4155"/>
          <w:tab w:val="right" w:pos="8310"/>
        </w:tabs>
        <w:spacing w:before="120" w:after="120" w:line="360" w:lineRule="auto"/>
        <w:jc w:val="left"/>
      </w:pPr>
      <w:r>
        <w:tab/>
      </w:r>
      <m:oMath>
        <m:sSub>
          <m:sSubPr/>
          <m:e>
            <m:r>
              <m:rPr/>
              <m:t>X</m:t>
            </m:r>
          </m:e>
          <m:sub>
            <m:r>
              <m:rPr>
                <m:sty m:val="p"/>
              </m:rPr>
              <m:t>pred</m:t>
            </m:r>
          </m:sub>
        </m:sSub>
        <m:r>
          <m:rPr>
            <m:sty m:val="p"/>
          </m:rPr>
          <m:t>=</m:t>
        </m:r>
        <m:r>
          <m:rPr/>
          <m:t>F</m:t>
        </m:r>
        <m:d>
          <m:dPr>
            <m:sepChr m:val=""/>
          </m:dPr>
          <m:e>
            <m:sSub>
              <m:sSubPr/>
              <m:e>
                <m:r>
                  <m:rPr/>
                  <m:t>Y</m:t>
                </m:r>
              </m:e>
              <m:sub>
                <m:r>
                  <m:rPr>
                    <m:sty m:val="p"/>
                  </m:rPr>
                  <m:t>mask</m:t>
                </m:r>
              </m:sub>
            </m:sSub>
          </m:e>
        </m:d>
      </m:oMath>
      <w:r>
        <w:rPr>
          <w:rFonts w:ascii="Times New Roman" w:hAnsi="Times New Roman" w:eastAsia="宋体"/>
          <w:sz w:val="21"/>
          <w:szCs w:val="21"/>
        </w:rPr>
        <w:tab/>
      </w:r>
      <w:r>
        <w:rPr>
          <w:rFonts w:ascii="Times New Roman" w:hAnsi="Times New Roman" w:eastAsia="宋体"/>
          <w:sz w:val="21"/>
          <w:szCs w:val="21"/>
        </w:rPr>
        <w:t>（25）</w:t>
      </w:r>
    </w:p>
    <w:p w14:paraId="78158A1A">
      <w:pPr>
        <w:spacing w:before="0" w:after="0" w:line="360" w:lineRule="auto"/>
        <w:ind w:firstLine="420"/>
        <w:jc w:val="both"/>
      </w:pPr>
      <w:r>
        <w:rPr>
          <w:rFonts w:ascii="Times New Roman" w:hAnsi="Times New Roman" w:eastAsia="楷体" w:cs="Times New Roman"/>
          <w:color w:val="000000"/>
          <w:sz w:val="21"/>
        </w:rPr>
        <w:t>训练损失仅在被遮挡区域计算：</w:t>
      </w:r>
    </w:p>
    <w:p w14:paraId="55E2A50D">
      <w:pPr>
        <w:tabs>
          <w:tab w:val="center" w:pos="4155"/>
          <w:tab w:val="right" w:pos="8310"/>
        </w:tabs>
        <w:spacing w:before="120" w:after="120" w:line="360" w:lineRule="auto"/>
        <w:jc w:val="left"/>
      </w:pPr>
      <w:r>
        <w:tab/>
      </w:r>
      <m:oMath>
        <m:sSub>
          <m:sSubPr/>
          <m:e>
            <m:r>
              <m:rPr/>
              <m:t>L</m:t>
            </m:r>
          </m:e>
          <m:sub>
            <m:r>
              <m:rPr>
                <m:sty m:val="p"/>
              </m:rPr>
              <m:t>mask</m:t>
            </m:r>
          </m:sub>
        </m:sSub>
        <m:r>
          <m:rPr>
            <m:sty m:val="p"/>
          </m:rPr>
          <m:t>=</m:t>
        </m:r>
        <m:sSub>
          <m:sSubPr/>
          <m:e>
            <m:d>
              <m:dPr>
                <m:begChr m:val="∥"/>
                <m:sepChr m:val=""/>
                <m:endChr m:val="∥"/>
              </m:dPr>
              <m:e>
                <m:d>
                  <m:dPr>
                    <m:sepChr m:val=""/>
                  </m:dPr>
                  <m:e>
                    <m:sSub>
                      <m:sSubPr/>
                      <m:e>
                        <m:r>
                          <m:rPr/>
                          <m:t>X</m:t>
                        </m:r>
                      </m:e>
                      <m:sub>
                        <m:r>
                          <m:rPr>
                            <m:sty m:val="p"/>
                          </m:rPr>
                          <m:t>pred</m:t>
                        </m:r>
                      </m:sub>
                    </m:sSub>
                    <m:r>
                      <m:rPr>
                        <m:sty m:val="p"/>
                      </m:rPr>
                      <m:t>−</m:t>
                    </m:r>
                    <m:r>
                      <m:rPr/>
                      <m:t>Y</m:t>
                    </m:r>
                  </m:e>
                </m:d>
                <m:r>
                  <m:rPr>
                    <m:sty m:val="p"/>
                  </m:rPr>
                  <m:t>⋅</m:t>
                </m:r>
                <m:r>
                  <m:rPr/>
                  <m:t>M</m:t>
                </m:r>
              </m:e>
            </m:d>
          </m:e>
          <m:sub>
            <m:r>
              <m:rPr/>
              <m:t>1</m:t>
            </m:r>
          </m:sub>
        </m:sSub>
      </m:oMath>
      <w:r>
        <w:rPr>
          <w:rFonts w:ascii="Times New Roman" w:hAnsi="Times New Roman" w:eastAsia="宋体"/>
          <w:sz w:val="21"/>
          <w:szCs w:val="21"/>
        </w:rPr>
        <w:tab/>
      </w:r>
      <w:r>
        <w:rPr>
          <w:rFonts w:ascii="Times New Roman" w:hAnsi="Times New Roman" w:eastAsia="宋体"/>
          <w:sz w:val="21"/>
          <w:szCs w:val="21"/>
        </w:rPr>
        <w:t>（26）</w:t>
      </w:r>
    </w:p>
    <w:p w14:paraId="0A7A77D2">
      <w:pPr>
        <w:spacing w:before="0" w:after="0" w:line="360" w:lineRule="auto"/>
        <w:ind w:firstLine="420"/>
        <w:jc w:val="both"/>
      </w:pPr>
      <w:r>
        <w:rPr>
          <w:rFonts w:ascii="Times New Roman" w:hAnsi="Times New Roman" w:eastAsia="楷体" w:cs="Times New Roman"/>
          <w:color w:val="000000"/>
          <w:sz w:val="21"/>
        </w:rPr>
        <w:t>该设计避免模型直接学习恒等映射，并使网络在无干净标签的情况下适应真实 SAR 图像的局部统计特性。为抑制局部伪影，可进一步加入较小权重的 TV 正则项：</w:t>
      </w:r>
    </w:p>
    <w:p w14:paraId="1D25E8F8">
      <w:pPr>
        <w:tabs>
          <w:tab w:val="center" w:pos="4155"/>
          <w:tab w:val="right" w:pos="8310"/>
        </w:tabs>
        <w:spacing w:before="120" w:after="120" w:line="360" w:lineRule="auto"/>
        <w:jc w:val="left"/>
      </w:pPr>
      <w:r>
        <w:tab/>
      </w:r>
      <m:oMath>
        <m:r>
          <m:rPr/>
          <m:t>L</m:t>
        </m:r>
        <m:r>
          <m:rPr>
            <m:sty m:val="p"/>
          </m:rPr>
          <m:t>=</m:t>
        </m:r>
        <m:sSub>
          <m:sSubPr/>
          <m:e>
            <m:r>
              <m:rPr/>
              <m:t>L</m:t>
            </m:r>
          </m:e>
          <m:sub>
            <m:r>
              <m:rPr>
                <m:sty m:val="p"/>
              </m:rPr>
              <m:t>mask</m:t>
            </m:r>
          </m:sub>
        </m:sSub>
        <m:r>
          <m:rPr>
            <m:sty m:val="p"/>
          </m:rPr>
          <m:t>+</m:t>
        </m:r>
        <m:sSub>
          <m:sSubPr/>
          <m:e>
            <m:r>
              <m:rPr/>
              <m:t>λ</m:t>
            </m:r>
          </m:e>
          <m:sub>
            <m:r>
              <m:rPr>
                <m:sty m:val="p"/>
              </m:rPr>
              <m:t>tv</m:t>
            </m:r>
          </m:sub>
        </m:sSub>
        <m:sSub>
          <m:sSubPr/>
          <m:e>
            <m:r>
              <m:rPr/>
              <m:t>L</m:t>
            </m:r>
          </m:e>
          <m:sub>
            <m:r>
              <m:rPr>
                <m:sty m:val="p"/>
              </m:rPr>
              <m:t>tv</m:t>
            </m:r>
          </m:sub>
        </m:sSub>
      </m:oMath>
      <w:r>
        <w:rPr>
          <w:rFonts w:ascii="Times New Roman" w:hAnsi="Times New Roman" w:eastAsia="宋体"/>
          <w:sz w:val="21"/>
          <w:szCs w:val="21"/>
        </w:rPr>
        <w:tab/>
      </w:r>
      <w:r>
        <w:rPr>
          <w:rFonts w:ascii="Times New Roman" w:hAnsi="Times New Roman" w:eastAsia="宋体"/>
          <w:sz w:val="21"/>
          <w:szCs w:val="21"/>
        </w:rPr>
        <w:t>（27）</w:t>
      </w:r>
    </w:p>
    <w:p w14:paraId="2E41BFD1">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实验中自监督适应阶段采用较小学习率和较低 mask ratio，以避免破坏监督训练阶段已获得的合成数据去噪能力，使 DFNG-SARNet+AMS 在真实 SAR 图像上获得更稳定的去噪表现。</w:t>
      </w:r>
    </w:p>
    <w:p w14:paraId="0D037760">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398770" cy="2764790"/>
            <wp:effectExtent l="0" t="0" r="0" b="0"/>
            <wp:docPr id="12" name="图片 12" descr="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11"/>
                    <pic:cNvPicPr>
                      <a:picLocks noChangeAspect="1"/>
                    </pic:cNvPicPr>
                  </pic:nvPicPr>
                  <pic:blipFill>
                    <a:blip r:embed="rId16"/>
                    <a:srcRect t="3073" r="59" b="5896"/>
                    <a:stretch>
                      <a:fillRect/>
                    </a:stretch>
                  </pic:blipFill>
                  <pic:spPr>
                    <a:xfrm>
                      <a:off x="0" y="0"/>
                      <a:ext cx="5398770" cy="2764790"/>
                    </a:xfrm>
                    <a:prstGeom prst="rect">
                      <a:avLst/>
                    </a:prstGeom>
                  </pic:spPr>
                </pic:pic>
              </a:graphicData>
            </a:graphic>
          </wp:inline>
        </w:drawing>
      </w:r>
    </w:p>
    <w:p w14:paraId="6709B549">
      <w:pPr>
        <w:pStyle w:val="12"/>
        <w:spacing w:before="60" w:after="60" w:line="240" w:lineRule="auto"/>
        <w:jc w:val="center"/>
      </w:pPr>
      <w:r>
        <w:rPr>
          <w:rFonts w:ascii="楷体" w:hAnsi="楷体" w:eastAsia="楷体" w:cs="楷体"/>
          <w:b w:val="0"/>
          <w:i w:val="0"/>
          <w:color w:val="000000"/>
          <w:sz w:val="18"/>
        </w:rPr>
        <w:t>图 11 AMS 真实 SAR 遮挡重建式自监督适应流程图</w:t>
      </w:r>
    </w:p>
    <w:bookmarkEnd w:id="7"/>
    <w:bookmarkEnd w:id="33"/>
    <w:bookmarkEnd w:id="35"/>
    <w:p w14:paraId="2B110958">
      <w:pPr>
        <w:pStyle w:val="2"/>
        <w:spacing w:before="120" w:after="60" w:line="360" w:lineRule="auto"/>
        <w:ind w:firstLine="0"/>
        <w:jc w:val="left"/>
        <w:rPr>
          <w:rFonts w:ascii="Times New Roman" w:hAnsi="Times New Roman" w:eastAsia="黑体" w:cs="Times New Roman"/>
          <w:b/>
          <w:color w:val="000000"/>
          <w:sz w:val="28"/>
        </w:rPr>
      </w:pPr>
      <w:bookmarkStart w:id="36" w:name="数据集构建与实验设置"/>
    </w:p>
    <w:p w14:paraId="765EC51F">
      <w:pPr>
        <w:pStyle w:val="2"/>
        <w:spacing w:before="120" w:after="60" w:line="360" w:lineRule="auto"/>
        <w:ind w:firstLine="0"/>
        <w:jc w:val="left"/>
      </w:pPr>
      <w:r>
        <w:rPr>
          <w:rFonts w:ascii="Times New Roman" w:hAnsi="Times New Roman" w:eastAsia="黑体" w:cs="Times New Roman"/>
          <w:b/>
          <w:color w:val="000000"/>
          <w:sz w:val="28"/>
        </w:rPr>
        <w:t>3. 数据集构建与实验设置</w:t>
      </w:r>
    </w:p>
    <w:p w14:paraId="2667AB4F">
      <w:pPr>
        <w:pStyle w:val="4"/>
        <w:spacing w:before="120" w:after="60" w:line="360" w:lineRule="auto"/>
        <w:ind w:firstLine="0"/>
        <w:jc w:val="left"/>
      </w:pPr>
      <w:bookmarkStart w:id="37" w:name="数据集组成与用途"/>
      <w:r>
        <w:rPr>
          <w:rFonts w:ascii="Times New Roman" w:hAnsi="Times New Roman" w:eastAsia="黑体" w:cs="Times New Roman"/>
          <w:b/>
          <w:color w:val="000000"/>
          <w:sz w:val="24"/>
        </w:rPr>
        <w:t>3.1 数据集组成与用途</w:t>
      </w:r>
    </w:p>
    <w:p w14:paraId="0289E3A0">
      <w:pPr>
        <w:spacing w:before="0" w:after="0" w:line="360" w:lineRule="auto"/>
        <w:ind w:firstLine="420"/>
        <w:jc w:val="both"/>
      </w:pPr>
      <w:r>
        <w:rPr>
          <w:rFonts w:ascii="Times New Roman" w:hAnsi="Times New Roman" w:eastAsia="楷体" w:cs="Times New Roman"/>
          <w:color w:val="000000"/>
          <w:sz w:val="21"/>
        </w:rPr>
        <w:t>本文实验数据由合成 SAR 数据和真实 SAR 数据两部分组成。合成数据用于有监督训练和有参考评价，真实 SAR 数据用于无参考测试以及自监督域适应训练。不同数据集在实验中的作用如下。</w:t>
      </w:r>
    </w:p>
    <w:p w14:paraId="31F8CBED">
      <w:pPr>
        <w:pStyle w:val="12"/>
        <w:spacing w:before="60" w:after="60" w:line="240" w:lineRule="auto"/>
        <w:jc w:val="center"/>
      </w:pPr>
      <w:r>
        <w:rPr>
          <w:rFonts w:ascii="楷体" w:hAnsi="楷体" w:eastAsia="楷体" w:cs="楷体"/>
          <w:b w:val="0"/>
          <w:i w:val="0"/>
          <w:color w:val="000000"/>
          <w:sz w:val="18"/>
        </w:rPr>
        <w:t>表 4 实验数据集组成与用途</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60" w:type="dxa"/>
          <w:left w:w="80" w:type="dxa"/>
          <w:bottom w:w="60" w:type="dxa"/>
          <w:right w:w="80" w:type="dxa"/>
        </w:tblCellMar>
      </w:tblPr>
      <w:tblGrid>
        <w:gridCol w:w="1605"/>
        <w:gridCol w:w="1585"/>
        <w:gridCol w:w="673"/>
        <w:gridCol w:w="2645"/>
        <w:gridCol w:w="1964"/>
      </w:tblGrid>
      <w:tr w14:paraId="6E1C48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W w:w="947" w:type="pct"/>
            <w:tcMar>
              <w:top w:w="80" w:type="dxa"/>
              <w:left w:w="80" w:type="dxa"/>
              <w:bottom w:w="80" w:type="dxa"/>
              <w:right w:w="80" w:type="dxa"/>
            </w:tcMar>
            <w:vAlign w:val="center"/>
          </w:tcPr>
          <w:p w14:paraId="76F7380C">
            <w:pPr>
              <w:pStyle w:val="25"/>
              <w:spacing w:before="0" w:after="0" w:line="240" w:lineRule="auto"/>
              <w:ind w:firstLine="0"/>
              <w:jc w:val="left"/>
            </w:pPr>
            <w:r>
              <w:rPr>
                <w:rFonts w:ascii="楷体" w:hAnsi="楷体" w:eastAsia="楷体" w:cs="楷体"/>
                <w:b/>
                <w:color w:val="000000"/>
                <w:sz w:val="18"/>
              </w:rPr>
              <w:t>数据集</w:t>
            </w:r>
          </w:p>
        </w:tc>
        <w:tc>
          <w:tcPr>
            <w:tcW w:w="935" w:type="pct"/>
            <w:tcMar>
              <w:top w:w="80" w:type="dxa"/>
              <w:left w:w="80" w:type="dxa"/>
              <w:bottom w:w="80" w:type="dxa"/>
              <w:right w:w="80" w:type="dxa"/>
            </w:tcMar>
            <w:vAlign w:val="center"/>
          </w:tcPr>
          <w:p w14:paraId="39AF1164">
            <w:pPr>
              <w:pStyle w:val="25"/>
              <w:spacing w:before="0" w:after="0" w:line="240" w:lineRule="auto"/>
              <w:ind w:firstLine="0"/>
              <w:jc w:val="right"/>
            </w:pPr>
            <w:r>
              <w:rPr>
                <w:rFonts w:ascii="楷体" w:hAnsi="楷体" w:eastAsia="楷体" w:cs="楷体"/>
                <w:b/>
                <w:color w:val="000000"/>
                <w:sz w:val="18"/>
              </w:rPr>
              <w:t>数据规模</w:t>
            </w:r>
          </w:p>
        </w:tc>
        <w:tc>
          <w:tcPr>
            <w:tcW w:w="397" w:type="pct"/>
            <w:tcMar>
              <w:top w:w="80" w:type="dxa"/>
              <w:left w:w="80" w:type="dxa"/>
              <w:bottom w:w="80" w:type="dxa"/>
              <w:right w:w="80" w:type="dxa"/>
            </w:tcMar>
            <w:vAlign w:val="center"/>
          </w:tcPr>
          <w:p w14:paraId="1CB8EE15">
            <w:pPr>
              <w:pStyle w:val="25"/>
              <w:spacing w:before="0" w:after="0" w:line="240" w:lineRule="auto"/>
              <w:ind w:firstLine="0"/>
              <w:jc w:val="left"/>
            </w:pPr>
            <w:r>
              <w:rPr>
                <w:rFonts w:ascii="楷体" w:hAnsi="楷体" w:eastAsia="楷体" w:cs="楷体"/>
                <w:b/>
                <w:color w:val="000000"/>
                <w:sz w:val="18"/>
              </w:rPr>
              <w:t>数据属性</w:t>
            </w:r>
          </w:p>
        </w:tc>
        <w:tc>
          <w:tcPr>
            <w:tcW w:w="1561" w:type="pct"/>
            <w:tcMar>
              <w:top w:w="80" w:type="dxa"/>
              <w:left w:w="80" w:type="dxa"/>
              <w:bottom w:w="80" w:type="dxa"/>
              <w:right w:w="80" w:type="dxa"/>
            </w:tcMar>
            <w:vAlign w:val="center"/>
          </w:tcPr>
          <w:p w14:paraId="7E7AD8B3">
            <w:pPr>
              <w:pStyle w:val="25"/>
              <w:spacing w:before="0" w:after="0" w:line="240" w:lineRule="auto"/>
              <w:ind w:firstLine="0"/>
              <w:jc w:val="left"/>
            </w:pPr>
            <w:r>
              <w:rPr>
                <w:rFonts w:ascii="楷体" w:hAnsi="楷体" w:eastAsia="楷体" w:cs="楷体"/>
                <w:b/>
                <w:color w:val="000000"/>
                <w:sz w:val="18"/>
              </w:rPr>
              <w:t>本文用途</w:t>
            </w:r>
          </w:p>
        </w:tc>
        <w:tc>
          <w:tcPr>
            <w:tcW w:w="1159" w:type="pct"/>
            <w:tcMar>
              <w:top w:w="80" w:type="dxa"/>
              <w:left w:w="80" w:type="dxa"/>
              <w:bottom w:w="80" w:type="dxa"/>
              <w:right w:w="80" w:type="dxa"/>
            </w:tcMar>
            <w:vAlign w:val="center"/>
          </w:tcPr>
          <w:p w14:paraId="0B9D77DD">
            <w:pPr>
              <w:pStyle w:val="25"/>
              <w:spacing w:before="0" w:after="0" w:line="240" w:lineRule="auto"/>
              <w:ind w:firstLine="0"/>
              <w:jc w:val="left"/>
            </w:pPr>
            <w:r>
              <w:rPr>
                <w:rFonts w:ascii="楷体" w:hAnsi="楷体" w:eastAsia="楷体" w:cs="楷体"/>
                <w:b/>
                <w:color w:val="000000"/>
                <w:sz w:val="18"/>
              </w:rPr>
              <w:t>数据划分</w:t>
            </w:r>
          </w:p>
        </w:tc>
      </w:tr>
      <w:tr w14:paraId="0CD0CA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947" w:type="pct"/>
            <w:tcMar>
              <w:top w:w="80" w:type="dxa"/>
              <w:left w:w="80" w:type="dxa"/>
              <w:bottom w:w="80" w:type="dxa"/>
              <w:right w:w="80" w:type="dxa"/>
            </w:tcMar>
            <w:vAlign w:val="center"/>
          </w:tcPr>
          <w:p w14:paraId="2F547578">
            <w:pPr>
              <w:pStyle w:val="25"/>
              <w:spacing w:before="0" w:after="0" w:line="240" w:lineRule="auto"/>
              <w:ind w:firstLine="0"/>
              <w:jc w:val="left"/>
            </w:pPr>
            <w:r>
              <w:rPr>
                <w:rFonts w:ascii="楷体" w:hAnsi="楷体" w:eastAsia="楷体" w:cs="楷体"/>
                <w:color w:val="000000"/>
                <w:sz w:val="18"/>
              </w:rPr>
              <w:t>NWPU-RESISC45</w:t>
            </w:r>
          </w:p>
        </w:tc>
        <w:tc>
          <w:tcPr>
            <w:tcW w:w="935" w:type="pct"/>
            <w:tcMar>
              <w:top w:w="80" w:type="dxa"/>
              <w:left w:w="80" w:type="dxa"/>
              <w:bottom w:w="80" w:type="dxa"/>
              <w:right w:w="80" w:type="dxa"/>
            </w:tcMar>
            <w:vAlign w:val="center"/>
          </w:tcPr>
          <w:p w14:paraId="6664CF87">
            <w:pPr>
              <w:pStyle w:val="25"/>
              <w:spacing w:before="0" w:after="0" w:line="240" w:lineRule="auto"/>
              <w:ind w:firstLine="0"/>
              <w:jc w:val="right"/>
            </w:pPr>
            <w:r>
              <w:rPr>
                <w:rFonts w:ascii="楷体" w:hAnsi="楷体" w:eastAsia="楷体" w:cs="楷体"/>
                <w:color w:val="000000"/>
                <w:sz w:val="18"/>
              </w:rPr>
              <w:t>31500 张</w:t>
            </w:r>
          </w:p>
        </w:tc>
        <w:tc>
          <w:tcPr>
            <w:tcW w:w="397" w:type="pct"/>
            <w:tcMar>
              <w:top w:w="80" w:type="dxa"/>
              <w:left w:w="80" w:type="dxa"/>
              <w:bottom w:w="80" w:type="dxa"/>
              <w:right w:w="80" w:type="dxa"/>
            </w:tcMar>
            <w:vAlign w:val="center"/>
          </w:tcPr>
          <w:p w14:paraId="5D7E79E4">
            <w:pPr>
              <w:pStyle w:val="25"/>
              <w:spacing w:before="0" w:after="0" w:line="240" w:lineRule="auto"/>
              <w:ind w:firstLine="0"/>
              <w:jc w:val="left"/>
            </w:pPr>
            <w:r>
              <w:rPr>
                <w:rFonts w:ascii="楷体" w:hAnsi="楷体" w:eastAsia="楷体" w:cs="楷体"/>
                <w:color w:val="000000"/>
                <w:sz w:val="18"/>
              </w:rPr>
              <w:t>光学遥感场景图像</w:t>
            </w:r>
          </w:p>
        </w:tc>
        <w:tc>
          <w:tcPr>
            <w:tcW w:w="1561" w:type="pct"/>
            <w:tcMar>
              <w:top w:w="80" w:type="dxa"/>
              <w:left w:w="80" w:type="dxa"/>
              <w:bottom w:w="80" w:type="dxa"/>
              <w:right w:w="80" w:type="dxa"/>
            </w:tcMar>
            <w:vAlign w:val="center"/>
          </w:tcPr>
          <w:p w14:paraId="172C8930">
            <w:pPr>
              <w:pStyle w:val="25"/>
              <w:spacing w:before="0" w:after="0" w:line="240" w:lineRule="auto"/>
              <w:ind w:firstLine="0"/>
              <w:jc w:val="left"/>
            </w:pPr>
            <w:r>
              <w:rPr>
                <w:rFonts w:ascii="楷体" w:hAnsi="楷体" w:eastAsia="楷体" w:cs="楷体"/>
                <w:color w:val="000000"/>
                <w:sz w:val="18"/>
              </w:rPr>
              <w:t>主模型合成 SAR 监督训练与验证</w:t>
            </w:r>
          </w:p>
        </w:tc>
        <w:tc>
          <w:tcPr>
            <w:tcW w:w="1159" w:type="pct"/>
            <w:tcMar>
              <w:top w:w="80" w:type="dxa"/>
              <w:left w:w="80" w:type="dxa"/>
              <w:bottom w:w="80" w:type="dxa"/>
              <w:right w:w="80" w:type="dxa"/>
            </w:tcMar>
            <w:vAlign w:val="center"/>
          </w:tcPr>
          <w:p w14:paraId="50B05F04">
            <w:pPr>
              <w:pStyle w:val="25"/>
              <w:spacing w:before="0" w:after="0" w:line="240" w:lineRule="auto"/>
              <w:ind w:firstLine="0"/>
              <w:jc w:val="left"/>
            </w:pPr>
            <w:r>
              <w:rPr>
                <w:rStyle w:val="38"/>
                <w:rFonts w:ascii="楷体" w:hAnsi="楷体" w:eastAsia="楷体" w:cs="楷体"/>
                <w:color w:val="000000"/>
                <w:sz w:val="18"/>
              </w:rPr>
              <w:t>train:val=8:2</w:t>
            </w:r>
          </w:p>
        </w:tc>
      </w:tr>
      <w:tr w14:paraId="1091A7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947" w:type="pct"/>
            <w:tcMar>
              <w:top w:w="80" w:type="dxa"/>
              <w:left w:w="80" w:type="dxa"/>
              <w:bottom w:w="80" w:type="dxa"/>
              <w:right w:w="80" w:type="dxa"/>
            </w:tcMar>
            <w:vAlign w:val="center"/>
          </w:tcPr>
          <w:p w14:paraId="39ECADD2">
            <w:pPr>
              <w:pStyle w:val="25"/>
              <w:spacing w:before="0" w:after="0" w:line="240" w:lineRule="auto"/>
              <w:ind w:firstLine="0"/>
              <w:jc w:val="left"/>
            </w:pPr>
            <w:r>
              <w:rPr>
                <w:rFonts w:ascii="楷体" w:hAnsi="楷体" w:eastAsia="楷体" w:cs="楷体"/>
                <w:color w:val="000000"/>
                <w:sz w:val="18"/>
              </w:rPr>
              <w:t>UCMerced_LandUse</w:t>
            </w:r>
          </w:p>
        </w:tc>
        <w:tc>
          <w:tcPr>
            <w:tcW w:w="935" w:type="pct"/>
            <w:tcMar>
              <w:top w:w="80" w:type="dxa"/>
              <w:left w:w="80" w:type="dxa"/>
              <w:bottom w:w="80" w:type="dxa"/>
              <w:right w:w="80" w:type="dxa"/>
            </w:tcMar>
            <w:vAlign w:val="center"/>
          </w:tcPr>
          <w:p w14:paraId="5D75BC65">
            <w:pPr>
              <w:pStyle w:val="25"/>
              <w:spacing w:before="0" w:after="0" w:line="240" w:lineRule="auto"/>
              <w:ind w:firstLine="0"/>
              <w:jc w:val="right"/>
            </w:pPr>
            <w:r>
              <w:rPr>
                <w:rFonts w:ascii="楷体" w:hAnsi="楷体" w:eastAsia="楷体" w:cs="楷体"/>
                <w:color w:val="000000"/>
                <w:sz w:val="18"/>
              </w:rPr>
              <w:t xml:space="preserve"> 2100 张</w:t>
            </w:r>
          </w:p>
        </w:tc>
        <w:tc>
          <w:tcPr>
            <w:tcW w:w="397" w:type="pct"/>
            <w:tcMar>
              <w:top w:w="80" w:type="dxa"/>
              <w:left w:w="80" w:type="dxa"/>
              <w:bottom w:w="80" w:type="dxa"/>
              <w:right w:w="80" w:type="dxa"/>
            </w:tcMar>
            <w:vAlign w:val="center"/>
          </w:tcPr>
          <w:p w14:paraId="5348A7FE">
            <w:pPr>
              <w:pStyle w:val="25"/>
              <w:spacing w:before="0" w:after="0" w:line="240" w:lineRule="auto"/>
              <w:ind w:firstLine="0"/>
              <w:jc w:val="left"/>
            </w:pPr>
            <w:r>
              <w:rPr>
                <w:rFonts w:ascii="楷体" w:hAnsi="楷体" w:eastAsia="楷体" w:cs="楷体"/>
                <w:color w:val="000000"/>
                <w:sz w:val="18"/>
              </w:rPr>
              <w:t>光学遥感场景图像</w:t>
            </w:r>
          </w:p>
        </w:tc>
        <w:tc>
          <w:tcPr>
            <w:tcW w:w="1561" w:type="pct"/>
            <w:tcMar>
              <w:top w:w="80" w:type="dxa"/>
              <w:left w:w="80" w:type="dxa"/>
              <w:bottom w:w="80" w:type="dxa"/>
              <w:right w:w="80" w:type="dxa"/>
            </w:tcMar>
            <w:vAlign w:val="center"/>
          </w:tcPr>
          <w:p w14:paraId="3A5C0715">
            <w:pPr>
              <w:pStyle w:val="25"/>
              <w:spacing w:before="0" w:after="0" w:line="240" w:lineRule="auto"/>
              <w:ind w:firstLine="0"/>
              <w:jc w:val="left"/>
            </w:pPr>
            <w:r>
              <w:rPr>
                <w:rFonts w:ascii="楷体" w:hAnsi="楷体" w:eastAsia="楷体" w:cs="楷体"/>
                <w:color w:val="000000"/>
                <w:sz w:val="18"/>
              </w:rPr>
              <w:t>选取 agricultural、buildings、residential 三类典型场景进行合成 SAR 场景泛化测试</w:t>
            </w:r>
          </w:p>
        </w:tc>
        <w:tc>
          <w:tcPr>
            <w:tcW w:w="1159" w:type="pct"/>
            <w:tcMar>
              <w:top w:w="80" w:type="dxa"/>
              <w:left w:w="80" w:type="dxa"/>
              <w:bottom w:w="80" w:type="dxa"/>
              <w:right w:w="80" w:type="dxa"/>
            </w:tcMar>
            <w:vAlign w:val="center"/>
          </w:tcPr>
          <w:p w14:paraId="3D89042B">
            <w:pPr>
              <w:pStyle w:val="25"/>
              <w:spacing w:before="0" w:after="0" w:line="240" w:lineRule="auto"/>
              <w:ind w:firstLine="0"/>
              <w:jc w:val="left"/>
            </w:pPr>
            <w:r>
              <w:rPr>
                <w:rFonts w:ascii="楷体" w:hAnsi="楷体" w:eastAsia="楷体" w:cs="楷体"/>
                <w:color w:val="000000"/>
                <w:sz w:val="18"/>
              </w:rPr>
              <w:t>按场景类别测试</w:t>
            </w:r>
          </w:p>
        </w:tc>
      </w:tr>
      <w:tr w14:paraId="60A3C3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947" w:type="pct"/>
            <w:tcMar>
              <w:top w:w="80" w:type="dxa"/>
              <w:left w:w="80" w:type="dxa"/>
              <w:bottom w:w="80" w:type="dxa"/>
              <w:right w:w="80" w:type="dxa"/>
            </w:tcMar>
            <w:vAlign w:val="center"/>
          </w:tcPr>
          <w:p w14:paraId="126AA7C2">
            <w:pPr>
              <w:pStyle w:val="25"/>
              <w:spacing w:before="0" w:after="0" w:line="240" w:lineRule="auto"/>
              <w:ind w:firstLine="0"/>
              <w:jc w:val="left"/>
            </w:pPr>
            <w:r>
              <w:rPr>
                <w:rFonts w:ascii="楷体" w:hAnsi="楷体" w:eastAsia="楷体" w:cs="楷体"/>
                <w:color w:val="000000"/>
                <w:sz w:val="18"/>
              </w:rPr>
              <w:t>Labeled dataset for despeckling SAR imagery</w:t>
            </w:r>
          </w:p>
        </w:tc>
        <w:tc>
          <w:tcPr>
            <w:tcW w:w="935" w:type="pct"/>
            <w:tcMar>
              <w:top w:w="80" w:type="dxa"/>
              <w:left w:w="80" w:type="dxa"/>
              <w:bottom w:w="80" w:type="dxa"/>
              <w:right w:w="80" w:type="dxa"/>
            </w:tcMar>
            <w:vAlign w:val="center"/>
          </w:tcPr>
          <w:p w14:paraId="41497178">
            <w:pPr>
              <w:pStyle w:val="25"/>
              <w:spacing w:before="0" w:after="0" w:line="240" w:lineRule="auto"/>
              <w:ind w:firstLine="0"/>
              <w:jc w:val="right"/>
            </w:pPr>
            <w:r>
              <w:rPr>
                <w:rFonts w:ascii="楷体" w:hAnsi="楷体" w:eastAsia="楷体" w:cs="楷体"/>
                <w:color w:val="000000"/>
                <w:sz w:val="18"/>
              </w:rPr>
              <w:t>5876 张</w:t>
            </w:r>
          </w:p>
        </w:tc>
        <w:tc>
          <w:tcPr>
            <w:tcW w:w="397" w:type="pct"/>
            <w:tcMar>
              <w:top w:w="80" w:type="dxa"/>
              <w:left w:w="80" w:type="dxa"/>
              <w:bottom w:w="80" w:type="dxa"/>
              <w:right w:w="80" w:type="dxa"/>
            </w:tcMar>
            <w:vAlign w:val="center"/>
          </w:tcPr>
          <w:p w14:paraId="0F6411BE">
            <w:pPr>
              <w:pStyle w:val="25"/>
              <w:spacing w:before="0" w:after="0" w:line="240" w:lineRule="auto"/>
              <w:ind w:firstLine="0"/>
              <w:jc w:val="left"/>
            </w:pPr>
            <w:r>
              <w:rPr>
                <w:rFonts w:ascii="楷体" w:hAnsi="楷体" w:eastAsia="楷体" w:cs="楷体"/>
                <w:color w:val="000000"/>
                <w:sz w:val="18"/>
              </w:rPr>
              <w:t>真实 SAR 图像</w:t>
            </w:r>
          </w:p>
        </w:tc>
        <w:tc>
          <w:tcPr>
            <w:tcW w:w="1561" w:type="pct"/>
            <w:tcMar>
              <w:top w:w="80" w:type="dxa"/>
              <w:left w:w="80" w:type="dxa"/>
              <w:bottom w:w="80" w:type="dxa"/>
              <w:right w:w="80" w:type="dxa"/>
            </w:tcMar>
            <w:vAlign w:val="center"/>
          </w:tcPr>
          <w:p w14:paraId="1CD278E7">
            <w:pPr>
              <w:pStyle w:val="25"/>
              <w:spacing w:before="0" w:after="0" w:line="240" w:lineRule="auto"/>
              <w:ind w:firstLine="0"/>
              <w:jc w:val="left"/>
            </w:pPr>
            <w:r>
              <w:rPr>
                <w:rFonts w:ascii="楷体" w:hAnsi="楷体" w:eastAsia="楷体" w:cs="楷体"/>
                <w:color w:val="000000"/>
                <w:sz w:val="18"/>
              </w:rPr>
              <w:t>真实 SAR 自监督微调、验证与无参考测试</w:t>
            </w:r>
          </w:p>
        </w:tc>
        <w:tc>
          <w:tcPr>
            <w:tcW w:w="1159" w:type="pct"/>
            <w:tcMar>
              <w:top w:w="80" w:type="dxa"/>
              <w:left w:w="80" w:type="dxa"/>
              <w:bottom w:w="80" w:type="dxa"/>
              <w:right w:w="80" w:type="dxa"/>
            </w:tcMar>
            <w:vAlign w:val="center"/>
          </w:tcPr>
          <w:p w14:paraId="018318E4">
            <w:pPr>
              <w:pStyle w:val="25"/>
              <w:spacing w:before="0" w:after="0" w:line="240" w:lineRule="auto"/>
              <w:ind w:firstLine="0"/>
              <w:jc w:val="left"/>
            </w:pPr>
            <w:r>
              <w:rPr>
                <w:rStyle w:val="38"/>
                <w:rFonts w:ascii="楷体" w:hAnsi="楷体" w:eastAsia="楷体" w:cs="楷体"/>
                <w:color w:val="000000"/>
                <w:sz w:val="18"/>
              </w:rPr>
              <w:t>train:val:test=8:1:1</w:t>
            </w:r>
          </w:p>
        </w:tc>
      </w:tr>
    </w:tbl>
    <w:p w14:paraId="0290A411">
      <w:pPr>
        <w:spacing w:before="0" w:after="0" w:line="360" w:lineRule="auto"/>
        <w:ind w:firstLine="420"/>
        <w:jc w:val="both"/>
        <w:rPr>
          <w:rFonts w:ascii="Times New Roman" w:hAnsi="Times New Roman" w:eastAsia="楷体" w:cs="Times New Roman"/>
          <w:color w:val="000000"/>
          <w:sz w:val="21"/>
        </w:rPr>
      </w:pPr>
    </w:p>
    <w:p w14:paraId="4E6EA632">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 xml:space="preserve">NWPU-RESISC45 的场景类别覆盖范围较广，样本数量充足，适合作为主模型监督训练的数据来源。本文将其原始光学遥感图像转换为灰度强度图，并基于综合 SAR 噪声模型生成 </w:t>
      </w:r>
      <w:r>
        <w:rPr>
          <w:rStyle w:val="38"/>
          <w:rFonts w:ascii="Times New Roman" w:hAnsi="Times New Roman" w:eastAsia="楷体" w:cs="Times New Roman"/>
          <w:color w:val="000000"/>
          <w:sz w:val="21"/>
        </w:rPr>
        <w:t>clean/noisy</w:t>
      </w:r>
      <w:r>
        <w:rPr>
          <w:rFonts w:ascii="Times New Roman" w:hAnsi="Times New Roman" w:eastAsia="楷体" w:cs="Times New Roman"/>
          <w:color w:val="000000"/>
          <w:sz w:val="21"/>
        </w:rPr>
        <w:t xml:space="preserve"> 成对样本。UCMerced_LandUse 不参与主模型训练，而是作为外部典型场景测试集，用于分析模型在农田、建筑和居住区等不同遥感结构中的稳定性。真实 SAR 数据集不提供严格意义上的无噪声参考图，因此主要用于 DFNG-SARNet+AMS 的真实域自监督适应训练和无参考指标评价。</w:t>
      </w:r>
    </w:p>
    <w:p w14:paraId="5AF2F537">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398770" cy="2617470"/>
            <wp:effectExtent l="0" t="0" r="0" b="0"/>
            <wp:docPr id="13" name="图片 13" descr="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12"/>
                    <pic:cNvPicPr>
                      <a:picLocks noChangeAspect="1"/>
                    </pic:cNvPicPr>
                  </pic:nvPicPr>
                  <pic:blipFill>
                    <a:blip r:embed="rId17"/>
                    <a:srcRect t="5386" r="-271" b="8236"/>
                    <a:stretch>
                      <a:fillRect/>
                    </a:stretch>
                  </pic:blipFill>
                  <pic:spPr>
                    <a:xfrm>
                      <a:off x="0" y="0"/>
                      <a:ext cx="5398770" cy="2617470"/>
                    </a:xfrm>
                    <a:prstGeom prst="rect">
                      <a:avLst/>
                    </a:prstGeom>
                  </pic:spPr>
                </pic:pic>
              </a:graphicData>
            </a:graphic>
          </wp:inline>
        </w:drawing>
      </w:r>
    </w:p>
    <w:p w14:paraId="2F074126">
      <w:pPr>
        <w:pStyle w:val="12"/>
        <w:spacing w:before="60" w:after="60" w:line="240" w:lineRule="auto"/>
        <w:jc w:val="center"/>
      </w:pPr>
      <w:r>
        <w:rPr>
          <w:rFonts w:ascii="楷体" w:hAnsi="楷体" w:eastAsia="楷体" w:cs="楷体"/>
          <w:b w:val="0"/>
          <w:i w:val="0"/>
          <w:color w:val="000000"/>
          <w:sz w:val="18"/>
        </w:rPr>
        <w:t>图12 实验数据集组成与用途示意图</w:t>
      </w:r>
    </w:p>
    <w:bookmarkEnd w:id="37"/>
    <w:p w14:paraId="169241AB">
      <w:pPr>
        <w:pStyle w:val="4"/>
        <w:spacing w:before="120" w:after="60" w:line="360" w:lineRule="auto"/>
        <w:ind w:firstLine="0"/>
        <w:jc w:val="left"/>
      </w:pPr>
      <w:bookmarkStart w:id="38" w:name="合成-sar-数据生成方法"/>
      <w:r>
        <w:rPr>
          <w:rFonts w:ascii="Times New Roman" w:hAnsi="Times New Roman" w:eastAsia="黑体" w:cs="Times New Roman"/>
          <w:b/>
          <w:color w:val="000000"/>
          <w:sz w:val="24"/>
        </w:rPr>
        <w:t>3.2 合成 SAR 数据生成方法</w:t>
      </w:r>
    </w:p>
    <w:p w14:paraId="5C35F8E0">
      <w:pPr>
        <w:pStyle w:val="5"/>
        <w:spacing w:before="120" w:after="60" w:line="360" w:lineRule="auto"/>
        <w:ind w:firstLine="0"/>
        <w:jc w:val="left"/>
      </w:pPr>
      <w:bookmarkStart w:id="39" w:name="合成-sar-数据生成流程"/>
      <w:r>
        <w:rPr>
          <w:rFonts w:ascii="Times New Roman" w:hAnsi="Times New Roman" w:eastAsia="黑体" w:cs="Times New Roman"/>
          <w:b/>
          <w:color w:val="000000"/>
          <w:sz w:val="21"/>
        </w:rPr>
        <w:t>3.2.1 合成 SAR 数据生成流程</w:t>
      </w:r>
    </w:p>
    <w:p w14:paraId="0F2DA2FE">
      <w:pPr>
        <w:spacing w:before="0" w:after="0" w:line="360" w:lineRule="auto"/>
        <w:ind w:firstLine="420"/>
        <w:jc w:val="both"/>
      </w:pPr>
      <w:r>
        <w:rPr>
          <w:rFonts w:ascii="Times New Roman" w:hAnsi="Times New Roman" w:eastAsia="楷体" w:cs="Times New Roman"/>
          <w:color w:val="000000"/>
          <w:sz w:val="21"/>
        </w:rPr>
        <w:t xml:space="preserve">合成数据生成过程以光学遥感图像为输入，统一转换为单通道灰度图，并调整至 </w:t>
      </w:r>
      <w:r>
        <w:rPr>
          <w:rStyle w:val="38"/>
          <w:rFonts w:ascii="Times New Roman" w:hAnsi="Times New Roman" w:eastAsia="楷体" w:cs="Times New Roman"/>
          <w:color w:val="000000"/>
          <w:sz w:val="21"/>
        </w:rPr>
        <w:t>256×256</w:t>
      </w:r>
      <w:r>
        <w:rPr>
          <w:rFonts w:ascii="Times New Roman" w:hAnsi="Times New Roman" w:eastAsia="楷体" w:cs="Times New Roman"/>
          <w:color w:val="000000"/>
          <w:sz w:val="21"/>
        </w:rPr>
        <w:t xml:space="preserve">。设归一化后的灰度图为 </w:t>
      </w:r>
      <w:r>
        <w:rPr>
          <w:rStyle w:val="38"/>
          <w:rFonts w:ascii="Times New Roman" w:hAnsi="Times New Roman" w:eastAsia="楷体" w:cs="Times New Roman"/>
          <w:color w:val="000000"/>
          <w:sz w:val="21"/>
        </w:rPr>
        <w:t>G</w:t>
      </w:r>
      <w:r>
        <w:rPr>
          <w:rFonts w:ascii="Times New Roman" w:hAnsi="Times New Roman" w:eastAsia="楷体" w:cs="Times New Roman"/>
          <w:color w:val="000000"/>
          <w:sz w:val="21"/>
        </w:rPr>
        <w:t>，本文将其平方后作为强度域 clean 图像：</w:t>
      </w:r>
    </w:p>
    <w:p w14:paraId="3BE8A270">
      <w:pPr>
        <w:tabs>
          <w:tab w:val="center" w:pos="4155"/>
          <w:tab w:val="right" w:pos="8310"/>
        </w:tabs>
        <w:spacing w:before="120" w:after="120" w:line="360" w:lineRule="auto"/>
        <w:jc w:val="left"/>
      </w:pPr>
      <w:r>
        <w:tab/>
      </w:r>
      <m:oMath>
        <m:r>
          <m:rPr/>
          <m:t>X</m:t>
        </m:r>
        <m:r>
          <m:rPr>
            <m:sty m:val="p"/>
          </m:rPr>
          <m:t>=</m:t>
        </m:r>
        <m:sSup>
          <m:sSupPr/>
          <m:e>
            <m:r>
              <m:rPr/>
              <m:t>G</m:t>
            </m:r>
          </m:e>
          <m:sup>
            <m:r>
              <m:rPr/>
              <m:t>2</m:t>
            </m:r>
          </m:sup>
        </m:sSup>
      </m:oMath>
      <w:r>
        <w:rPr>
          <w:rFonts w:ascii="Times New Roman" w:hAnsi="Times New Roman" w:eastAsia="宋体"/>
          <w:sz w:val="21"/>
          <w:szCs w:val="21"/>
        </w:rPr>
        <w:tab/>
      </w:r>
      <w:r>
        <w:rPr>
          <w:rFonts w:ascii="Times New Roman" w:hAnsi="Times New Roman" w:eastAsia="宋体"/>
          <w:sz w:val="21"/>
          <w:szCs w:val="21"/>
        </w:rPr>
        <w:t>（28）</w:t>
      </w:r>
    </w:p>
    <w:p w14:paraId="6BB1D934">
      <w:pPr>
        <w:spacing w:before="0" w:after="0" w:line="360" w:lineRule="auto"/>
        <w:ind w:firstLine="420"/>
        <w:jc w:val="both"/>
      </w:pPr>
      <w:r>
        <w:rPr>
          <w:rFonts w:ascii="Times New Roman" w:hAnsi="Times New Roman" w:eastAsia="楷体" w:cs="Times New Roman"/>
          <w:color w:val="000000"/>
          <w:sz w:val="21"/>
        </w:rPr>
        <w:t>其中，X 表示强度域无噪声参考图像。生成数据保存为 MATLAB .mat 格式，每个样本包含 clean 与 noisy 两个字段，二者的含义如表所示。由于 clean 和 noisy 均以强度域形式保存，进行图像显示或视觉对比时可采用平方根变换恢复到幅度显示形式。该处理方式与前期训练脚本的数据读取逻辑保持一致，能够避免训练阶段和可视化阶段的数据域不一致问题。</w:t>
      </w:r>
    </w:p>
    <w:p w14:paraId="3878004A">
      <w:pPr>
        <w:pStyle w:val="12"/>
        <w:spacing w:before="60" w:after="60" w:line="240" w:lineRule="auto"/>
        <w:jc w:val="center"/>
        <w:rPr>
          <w:rFonts w:ascii="楷体" w:hAnsi="楷体" w:eastAsia="楷体" w:cs="楷体"/>
          <w:b w:val="0"/>
          <w:i w:val="0"/>
          <w:color w:val="000000"/>
          <w:sz w:val="18"/>
        </w:rPr>
      </w:pPr>
    </w:p>
    <w:p w14:paraId="5FCD52D3">
      <w:pPr>
        <w:pStyle w:val="12"/>
        <w:spacing w:before="60" w:after="60" w:line="240" w:lineRule="auto"/>
        <w:jc w:val="center"/>
      </w:pPr>
      <w:r>
        <w:rPr>
          <w:rFonts w:ascii="楷体" w:hAnsi="楷体" w:eastAsia="楷体" w:cs="楷体"/>
          <w:b w:val="0"/>
          <w:i w:val="0"/>
          <w:color w:val="000000"/>
          <w:sz w:val="18"/>
        </w:rPr>
        <w:t>表 5 合成 SAR 样本字段说明</w:t>
      </w:r>
    </w:p>
    <w:tbl>
      <w:tblPr>
        <w:tblStyle w:val="31"/>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883"/>
        <w:gridCol w:w="3310"/>
        <w:gridCol w:w="1600"/>
      </w:tblGrid>
      <w:tr w14:paraId="3CDDEB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7CA3B630">
            <w:pPr>
              <w:pStyle w:val="25"/>
              <w:spacing w:before="0" w:after="0" w:line="240" w:lineRule="auto"/>
              <w:ind w:firstLine="0"/>
              <w:jc w:val="left"/>
            </w:pPr>
            <w:r>
              <w:rPr>
                <w:rFonts w:ascii="楷体" w:hAnsi="楷体" w:eastAsia="楷体" w:cs="楷体"/>
                <w:b/>
                <w:color w:val="000000"/>
                <w:sz w:val="18"/>
              </w:rPr>
              <w:t>字段名称</w:t>
            </w:r>
          </w:p>
        </w:tc>
        <w:tc>
          <w:tcPr>
            <w:tcMar>
              <w:top w:w="80" w:type="dxa"/>
              <w:left w:w="80" w:type="dxa"/>
              <w:bottom w:w="80" w:type="dxa"/>
              <w:right w:w="80" w:type="dxa"/>
            </w:tcMar>
            <w:vAlign w:val="center"/>
          </w:tcPr>
          <w:p w14:paraId="775B20F1">
            <w:pPr>
              <w:pStyle w:val="25"/>
              <w:spacing w:before="0" w:after="0" w:line="240" w:lineRule="auto"/>
              <w:ind w:firstLine="0"/>
              <w:jc w:val="left"/>
            </w:pPr>
            <w:r>
              <w:rPr>
                <w:rFonts w:ascii="楷体" w:hAnsi="楷体" w:eastAsia="楷体" w:cs="楷体"/>
                <w:b/>
                <w:color w:val="000000"/>
                <w:sz w:val="18"/>
              </w:rPr>
              <w:t>数据含义</w:t>
            </w:r>
          </w:p>
        </w:tc>
        <w:tc>
          <w:tcPr>
            <w:tcMar>
              <w:top w:w="80" w:type="dxa"/>
              <w:left w:w="80" w:type="dxa"/>
              <w:bottom w:w="80" w:type="dxa"/>
              <w:right w:w="80" w:type="dxa"/>
            </w:tcMar>
            <w:vAlign w:val="center"/>
          </w:tcPr>
          <w:p w14:paraId="1A714427">
            <w:pPr>
              <w:pStyle w:val="25"/>
              <w:spacing w:before="0" w:after="0" w:line="240" w:lineRule="auto"/>
              <w:ind w:firstLine="0"/>
              <w:jc w:val="left"/>
            </w:pPr>
            <w:r>
              <w:rPr>
                <w:rFonts w:ascii="楷体" w:hAnsi="楷体" w:eastAsia="楷体" w:cs="楷体"/>
                <w:b/>
                <w:color w:val="000000"/>
                <w:sz w:val="18"/>
              </w:rPr>
              <w:t>数据域</w:t>
            </w:r>
          </w:p>
        </w:tc>
      </w:tr>
      <w:tr w14:paraId="043A89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5DEC9129">
            <w:pPr>
              <w:pStyle w:val="25"/>
              <w:spacing w:before="0" w:after="0" w:line="240" w:lineRule="auto"/>
              <w:ind w:firstLine="0"/>
              <w:jc w:val="left"/>
            </w:pPr>
            <w:r>
              <w:rPr>
                <w:rFonts w:ascii="楷体" w:hAnsi="楷体" w:eastAsia="楷体" w:cs="楷体"/>
                <w:color w:val="000000"/>
                <w:sz w:val="18"/>
              </w:rPr>
              <w:t>clean</w:t>
            </w:r>
          </w:p>
        </w:tc>
        <w:tc>
          <w:tcPr>
            <w:tcMar>
              <w:top w:w="80" w:type="dxa"/>
              <w:left w:w="80" w:type="dxa"/>
              <w:bottom w:w="80" w:type="dxa"/>
              <w:right w:w="80" w:type="dxa"/>
            </w:tcMar>
            <w:vAlign w:val="center"/>
          </w:tcPr>
          <w:p w14:paraId="3F49FF67">
            <w:pPr>
              <w:pStyle w:val="25"/>
              <w:spacing w:before="0" w:after="0" w:line="240" w:lineRule="auto"/>
              <w:ind w:firstLine="0"/>
              <w:jc w:val="left"/>
            </w:pPr>
            <w:r>
              <w:rPr>
                <w:rFonts w:ascii="楷体" w:hAnsi="楷体" w:eastAsia="楷体" w:cs="楷体"/>
                <w:color w:val="000000"/>
                <w:sz w:val="18"/>
              </w:rPr>
              <w:t>强度域无噪声参考图像 X</w:t>
            </w:r>
          </w:p>
        </w:tc>
        <w:tc>
          <w:tcPr>
            <w:tcMar>
              <w:top w:w="80" w:type="dxa"/>
              <w:left w:w="80" w:type="dxa"/>
              <w:bottom w:w="80" w:type="dxa"/>
              <w:right w:w="80" w:type="dxa"/>
            </w:tcMar>
            <w:vAlign w:val="center"/>
          </w:tcPr>
          <w:p w14:paraId="499E7341">
            <w:pPr>
              <w:pStyle w:val="25"/>
              <w:spacing w:before="0" w:after="0" w:line="240" w:lineRule="auto"/>
              <w:ind w:firstLine="0"/>
              <w:jc w:val="left"/>
            </w:pPr>
            <w:r>
              <w:rPr>
                <w:rFonts w:ascii="楷体" w:hAnsi="楷体" w:eastAsia="楷体" w:cs="楷体"/>
                <w:color w:val="000000"/>
                <w:sz w:val="18"/>
              </w:rPr>
              <w:t>intensity domain</w:t>
            </w:r>
          </w:p>
        </w:tc>
      </w:tr>
      <w:tr w14:paraId="4A648F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5791E35E">
            <w:pPr>
              <w:pStyle w:val="25"/>
              <w:spacing w:before="0" w:after="0" w:line="240" w:lineRule="auto"/>
              <w:ind w:firstLine="0"/>
              <w:jc w:val="left"/>
            </w:pPr>
            <w:r>
              <w:rPr>
                <w:rFonts w:ascii="楷体" w:hAnsi="楷体" w:eastAsia="楷体" w:cs="楷体"/>
                <w:color w:val="000000"/>
                <w:sz w:val="18"/>
              </w:rPr>
              <w:t>noisy</w:t>
            </w:r>
          </w:p>
        </w:tc>
        <w:tc>
          <w:tcPr>
            <w:tcMar>
              <w:top w:w="80" w:type="dxa"/>
              <w:left w:w="80" w:type="dxa"/>
              <w:bottom w:w="80" w:type="dxa"/>
              <w:right w:w="80" w:type="dxa"/>
            </w:tcMar>
            <w:vAlign w:val="center"/>
          </w:tcPr>
          <w:p w14:paraId="58E684F8">
            <w:pPr>
              <w:pStyle w:val="25"/>
              <w:spacing w:before="0" w:after="0" w:line="240" w:lineRule="auto"/>
              <w:ind w:firstLine="0"/>
              <w:jc w:val="left"/>
            </w:pPr>
            <w:r>
              <w:rPr>
                <w:rFonts w:ascii="楷体" w:hAnsi="楷体" w:eastAsia="楷体" w:cs="楷体"/>
                <w:color w:val="000000"/>
                <w:sz w:val="18"/>
              </w:rPr>
              <w:t>加入综合 SAR 模拟噪声后的观测图像 Y</w:t>
            </w:r>
          </w:p>
        </w:tc>
        <w:tc>
          <w:tcPr>
            <w:tcMar>
              <w:top w:w="80" w:type="dxa"/>
              <w:left w:w="80" w:type="dxa"/>
              <w:bottom w:w="80" w:type="dxa"/>
              <w:right w:w="80" w:type="dxa"/>
            </w:tcMar>
            <w:vAlign w:val="center"/>
          </w:tcPr>
          <w:p w14:paraId="5773EF6D">
            <w:pPr>
              <w:pStyle w:val="25"/>
              <w:spacing w:before="0" w:after="0" w:line="240" w:lineRule="auto"/>
              <w:ind w:firstLine="0"/>
              <w:jc w:val="left"/>
            </w:pPr>
            <w:r>
              <w:rPr>
                <w:rFonts w:ascii="楷体" w:hAnsi="楷体" w:eastAsia="楷体" w:cs="楷体"/>
                <w:color w:val="000000"/>
                <w:sz w:val="18"/>
              </w:rPr>
              <w:t>intensity domain</w:t>
            </w:r>
          </w:p>
        </w:tc>
      </w:tr>
      <w:bookmarkEnd w:id="39"/>
    </w:tbl>
    <w:p w14:paraId="3A48B057">
      <w:pPr>
        <w:pStyle w:val="5"/>
        <w:spacing w:before="120" w:after="60" w:line="360" w:lineRule="auto"/>
        <w:ind w:firstLine="0"/>
        <w:jc w:val="left"/>
        <w:rPr>
          <w:rFonts w:ascii="Times New Roman" w:hAnsi="Times New Roman" w:eastAsia="黑体" w:cs="Times New Roman"/>
          <w:b/>
          <w:color w:val="000000"/>
          <w:sz w:val="21"/>
        </w:rPr>
      </w:pPr>
      <w:bookmarkStart w:id="40" w:name="乘性-gamma-斑点噪声模型"/>
    </w:p>
    <w:p w14:paraId="55BEDB5B">
      <w:pPr>
        <w:pStyle w:val="5"/>
        <w:spacing w:before="120" w:after="60" w:line="360" w:lineRule="auto"/>
        <w:ind w:firstLine="0"/>
        <w:jc w:val="left"/>
      </w:pPr>
      <w:r>
        <w:rPr>
          <w:rFonts w:ascii="Times New Roman" w:hAnsi="Times New Roman" w:eastAsia="黑体" w:cs="Times New Roman"/>
          <w:b/>
          <w:color w:val="000000"/>
          <w:sz w:val="21"/>
        </w:rPr>
        <w:t>3.2.2 乘性 Gamma 斑点噪声模型</w:t>
      </w:r>
    </w:p>
    <w:p w14:paraId="268CD11C">
      <w:pPr>
        <w:spacing w:before="0" w:after="0" w:line="360" w:lineRule="auto"/>
        <w:ind w:firstLine="420"/>
        <w:jc w:val="both"/>
      </w:pPr>
      <w:r>
        <w:rPr>
          <w:rFonts w:ascii="Times New Roman" w:hAnsi="Times New Roman" w:eastAsia="楷体" w:cs="Times New Roman"/>
          <w:color w:val="000000"/>
          <w:sz w:val="21"/>
        </w:rPr>
        <w:t>SAR 强度图像中的斑点噪声通常可表示为乘性噪声模型：</w:t>
      </w:r>
    </w:p>
    <w:p w14:paraId="790F3AF7">
      <w:pPr>
        <w:tabs>
          <w:tab w:val="center" w:pos="4155"/>
          <w:tab w:val="right" w:pos="8310"/>
        </w:tabs>
        <w:spacing w:before="120" w:after="120" w:line="360" w:lineRule="auto"/>
        <w:jc w:val="left"/>
      </w:pPr>
      <w:r>
        <w:tab/>
      </w:r>
      <m:oMath>
        <m:r>
          <m:rPr/>
          <m:t>Y</m:t>
        </m:r>
        <m:r>
          <m:rPr>
            <m:sty m:val="p"/>
          </m:rPr>
          <m:t>=</m:t>
        </m:r>
        <m:r>
          <m:rPr/>
          <m:t>X</m:t>
        </m:r>
        <m:r>
          <m:rPr>
            <m:sty m:val="p"/>
          </m:rPr>
          <m:t>⋅</m:t>
        </m:r>
        <m:r>
          <m:rPr/>
          <m:t>N</m:t>
        </m:r>
      </m:oMath>
      <w:r>
        <w:rPr>
          <w:rFonts w:ascii="Times New Roman" w:hAnsi="Times New Roman" w:eastAsia="宋体"/>
          <w:sz w:val="21"/>
          <w:szCs w:val="21"/>
        </w:rPr>
        <w:tab/>
      </w:r>
      <w:r>
        <w:rPr>
          <w:rFonts w:ascii="Times New Roman" w:hAnsi="Times New Roman" w:eastAsia="宋体"/>
          <w:sz w:val="21"/>
          <w:szCs w:val="21"/>
        </w:rPr>
        <w:t>（29）</w:t>
      </w:r>
    </w:p>
    <w:p w14:paraId="3D955D3C">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X</w:t>
      </w:r>
      <w:r>
        <w:rPr>
          <w:rFonts w:ascii="Times New Roman" w:hAnsi="Times New Roman" w:eastAsia="楷体" w:cs="Times New Roman"/>
          <w:color w:val="000000"/>
          <w:sz w:val="21"/>
        </w:rPr>
        <w:t xml:space="preserve"> 为理想反射率或强度图像，</w:t>
      </w:r>
      <w:r>
        <w:rPr>
          <w:rStyle w:val="38"/>
          <w:rFonts w:ascii="Times New Roman" w:hAnsi="Times New Roman" w:eastAsia="楷体" w:cs="Times New Roman"/>
          <w:color w:val="000000"/>
          <w:sz w:val="21"/>
        </w:rPr>
        <w:t>Y</w:t>
      </w:r>
      <w:r>
        <w:rPr>
          <w:rFonts w:ascii="Times New Roman" w:hAnsi="Times New Roman" w:eastAsia="楷体" w:cs="Times New Roman"/>
          <w:color w:val="000000"/>
          <w:sz w:val="21"/>
        </w:rPr>
        <w:t xml:space="preserve"> 为观测图像，</w:t>
      </w:r>
      <w:r>
        <w:rPr>
          <w:rStyle w:val="38"/>
          <w:rFonts w:ascii="Times New Roman" w:hAnsi="Times New Roman" w:eastAsia="楷体" w:cs="Times New Roman"/>
          <w:color w:val="000000"/>
          <w:sz w:val="21"/>
        </w:rPr>
        <w:t>N</w:t>
      </w:r>
      <w:r>
        <w:rPr>
          <w:rFonts w:ascii="Times New Roman" w:hAnsi="Times New Roman" w:eastAsia="楷体" w:cs="Times New Roman"/>
          <w:color w:val="000000"/>
          <w:sz w:val="21"/>
        </w:rPr>
        <w:t xml:space="preserve"> 为乘性斑点噪声。本文在合成阶段采用均值为 1 的 Gamma 分布模拟多视 SAR 强度图像中的 speckle 噪声：</w:t>
      </w:r>
    </w:p>
    <w:p w14:paraId="36E5A5EA">
      <w:pPr>
        <w:tabs>
          <w:tab w:val="center" w:pos="4155"/>
          <w:tab w:val="right" w:pos="8310"/>
        </w:tabs>
        <w:spacing w:before="120" w:after="120" w:line="360" w:lineRule="auto"/>
        <w:jc w:val="left"/>
      </w:pPr>
      <w:r>
        <w:tab/>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L</m:t>
            </m:r>
            <m:ctrlPr>
              <w:rPr>
                <w:rFonts w:ascii="Cambria Math" w:hAnsi="Cambria Math"/>
              </w:rPr>
            </m:ctrlPr>
          </m:sub>
        </m:sSub>
        <m:r>
          <m:rPr>
            <m:sty m:val="p"/>
          </m:rPr>
          <w:rPr>
            <w:rFonts w:hint="default" w:ascii="Cambria Math" w:hAnsi="Cambria Math"/>
          </w:rPr>
          <m:t>∼Gamma</m:t>
        </m:r>
        <m:d>
          <m:dPr>
            <m:ctrlPr>
              <w:rPr>
                <w:rFonts w:hint="default" w:ascii="Cambria Math" w:hAnsi="Cambria Math"/>
              </w:rPr>
            </m:ctrlPr>
          </m:dPr>
          <m:e>
            <m:r>
              <m:rPr/>
              <w:rPr>
                <w:rFonts w:hint="default" w:ascii="Cambria Math" w:hAnsi="Cambria Math"/>
              </w:rPr>
              <m:t>L</m:t>
            </m:r>
            <m:r>
              <m:rPr>
                <m:sty m:val="p"/>
              </m:rPr>
              <w:rPr>
                <w:rFonts w:hint="default" w:ascii="Cambria Math" w:hAnsi="Cambria Math"/>
              </w:rPr>
              <m:t>,</m:t>
            </m:r>
            <m:r>
              <m:rPr/>
              <w:rPr>
                <w:rFonts w:hint="default" w:ascii="Cambria Math" w:hAnsi="Cambria Math"/>
              </w:rPr>
              <m:t>1</m:t>
            </m:r>
            <m:r>
              <m:rPr>
                <m:sty m:val="p"/>
              </m:rPr>
              <w:rPr>
                <w:rFonts w:hint="default" w:ascii="Cambria Math" w:hAnsi="Cambria Math"/>
              </w:rPr>
              <m:t>/</m:t>
            </m:r>
            <m:r>
              <m:rPr/>
              <w:rPr>
                <w:rFonts w:hint="default" w:ascii="Cambria Math" w:hAnsi="Cambria Math"/>
              </w:rPr>
              <m:t>L</m:t>
            </m:r>
            <m:ctrlPr>
              <w:rPr>
                <w:rFonts w:ascii="Cambria Math" w:hAnsi="Cambria Math"/>
              </w:rPr>
            </m:ctrlPr>
          </m:e>
        </m:d>
        <m:r>
          <m:rPr>
            <m:sty m:val="p"/>
          </m:rPr>
          <w:rPr>
            <w:rFonts w:hint="default" w:ascii="Cambria Math" w:hAnsi="Cambria Math"/>
          </w:rPr>
          <m:t>,E</m:t>
        </m:r>
        <m:d>
          <m:dPr>
            <m:begChr m:val="["/>
            <m:endChr m:val="]"/>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L</m:t>
                </m:r>
                <m:ctrlPr>
                  <w:rPr>
                    <w:rFonts w:ascii="Cambria Math" w:hAnsi="Cambria Math"/>
                  </w:rPr>
                </m:ctrlPr>
              </m:sub>
            </m:sSub>
            <m:ctrlPr>
              <w:rPr>
                <w:rFonts w:hint="default" w:ascii="Cambria Math" w:hAnsi="Cambria Math"/>
              </w:rPr>
            </m:ctrlPr>
          </m:e>
        </m:d>
        <m:r>
          <m:rPr>
            <m:sty m:val="p"/>
          </m:rPr>
          <w:rPr>
            <w:rFonts w:hint="default" w:ascii="Cambria Math" w:hAnsi="Cambria Math"/>
          </w:rPr>
          <m:t>=</m:t>
        </m:r>
        <m:r>
          <m:rPr/>
          <w:rPr>
            <w:rFonts w:hint="default" w:ascii="Cambria Math" w:hAnsi="Cambria Math"/>
          </w:rPr>
          <m:t>1</m:t>
        </m:r>
        <m:r>
          <m:rPr>
            <m:sty m:val="p"/>
          </m:rPr>
          <w:rPr>
            <w:rFonts w:hint="default" w:ascii="Cambria Math" w:hAnsi="Cambria Math"/>
          </w:rPr>
          <m:t>,Var</m:t>
        </m:r>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L</m:t>
                </m:r>
                <m:ctrlPr>
                  <w:rPr>
                    <w:rFonts w:ascii="Cambria Math" w:hAnsi="Cambria Math"/>
                  </w:rPr>
                </m:ctrlPr>
              </m:sub>
            </m:sSub>
            <m:ctrlPr>
              <w:rPr>
                <w:rFonts w:hint="default" w:ascii="Cambria Math" w:hAnsi="Cambria Math"/>
              </w:rPr>
            </m:ctrlPr>
          </m:e>
        </m:d>
        <m:r>
          <m:rPr>
            <m:sty m:val="p"/>
          </m:rPr>
          <w:rPr>
            <w:rFonts w:hint="default" w:ascii="Cambria Math" w:hAnsi="Cambria Math"/>
          </w:rPr>
          <m:t>=</m:t>
        </m:r>
        <m:r>
          <m:rPr/>
          <w:rPr>
            <w:rFonts w:hint="default" w:ascii="Cambria Math" w:hAnsi="Cambria Math"/>
          </w:rPr>
          <m:t>1</m:t>
        </m:r>
        <m:r>
          <m:rPr>
            <m:sty m:val="p"/>
          </m:rPr>
          <w:rPr>
            <w:rFonts w:hint="default" w:ascii="Cambria Math" w:hAnsi="Cambria Math"/>
          </w:rPr>
          <m:t>/</m:t>
        </m:r>
        <m:r>
          <m:rPr/>
          <w:rPr>
            <w:rFonts w:hint="default" w:ascii="Cambria Math" w:hAnsi="Cambria Math"/>
          </w:rPr>
          <m:t>L</m:t>
        </m:r>
        <m:r>
          <m:rPr>
            <m:sty m:val="p"/>
          </m:rPr>
          <w:rPr>
            <w:rFonts w:hint="default" w:ascii="Cambria Math" w:hAnsi="Cambria Math"/>
          </w:rPr>
          <m:t>.</m:t>
        </m:r>
      </m:oMath>
      <w:r>
        <w:rPr>
          <w:rFonts w:ascii="Times New Roman" w:hAnsi="Times New Roman" w:eastAsia="宋体"/>
          <w:sz w:val="21"/>
          <w:szCs w:val="21"/>
        </w:rPr>
        <w:tab/>
      </w:r>
      <w:r>
        <w:rPr>
          <w:rFonts w:ascii="Times New Roman" w:hAnsi="Times New Roman" w:eastAsia="宋体"/>
          <w:sz w:val="21"/>
          <w:szCs w:val="21"/>
        </w:rPr>
        <w:t>（30）</w:t>
      </w:r>
    </w:p>
    <w:p w14:paraId="61CAEE52">
      <w:pPr>
        <w:spacing w:before="0" w:after="0" w:line="360" w:lineRule="auto"/>
        <w:ind w:firstLine="420"/>
        <w:jc w:val="both"/>
      </w:pPr>
      <w:r>
        <w:rPr>
          <w:rFonts w:ascii="Times New Roman" w:hAnsi="Times New Roman" w:eastAsia="楷体" w:cs="Times New Roman"/>
          <w:color w:val="000000"/>
          <w:sz w:val="21"/>
        </w:rPr>
        <w:t xml:space="preserve">参数 </w:t>
      </w:r>
      <w:r>
        <w:rPr>
          <w:rStyle w:val="38"/>
          <w:rFonts w:ascii="Times New Roman" w:hAnsi="Times New Roman" w:eastAsia="楷体" w:cs="Times New Roman"/>
          <w:color w:val="000000"/>
          <w:sz w:val="21"/>
        </w:rPr>
        <w:t>L</w:t>
      </w:r>
      <w:r>
        <w:rPr>
          <w:rFonts w:ascii="Times New Roman" w:hAnsi="Times New Roman" w:eastAsia="楷体" w:cs="Times New Roman"/>
          <w:color w:val="000000"/>
          <w:sz w:val="21"/>
        </w:rPr>
        <w:t xml:space="preserve"> 可理解为等效视数。</w:t>
      </w:r>
      <w:r>
        <w:rPr>
          <w:rStyle w:val="38"/>
          <w:rFonts w:ascii="Times New Roman" w:hAnsi="Times New Roman" w:eastAsia="楷体" w:cs="Times New Roman"/>
          <w:color w:val="000000"/>
          <w:sz w:val="21"/>
        </w:rPr>
        <w:t>L</w:t>
      </w:r>
      <w:r>
        <w:rPr>
          <w:rFonts w:ascii="Times New Roman" w:hAnsi="Times New Roman" w:eastAsia="楷体" w:cs="Times New Roman"/>
          <w:color w:val="000000"/>
          <w:sz w:val="21"/>
        </w:rPr>
        <w:t xml:space="preserve"> 越小，噪声方差越大，斑点颗粒越强；</w:t>
      </w:r>
      <w:r>
        <w:rPr>
          <w:rStyle w:val="38"/>
          <w:rFonts w:ascii="Times New Roman" w:hAnsi="Times New Roman" w:eastAsia="楷体" w:cs="Times New Roman"/>
          <w:color w:val="000000"/>
          <w:sz w:val="21"/>
        </w:rPr>
        <w:t>L</w:t>
      </w:r>
      <w:r>
        <w:rPr>
          <w:rFonts w:ascii="Times New Roman" w:hAnsi="Times New Roman" w:eastAsia="楷体" w:cs="Times New Roman"/>
          <w:color w:val="000000"/>
          <w:sz w:val="21"/>
        </w:rPr>
        <w:t xml:space="preserve"> 越大，图像越平滑。与仅设置固定 </w:t>
      </w:r>
      <w:r>
        <w:rPr>
          <w:rStyle w:val="38"/>
          <w:rFonts w:ascii="Times New Roman" w:hAnsi="Times New Roman" w:eastAsia="楷体" w:cs="Times New Roman"/>
          <w:color w:val="000000"/>
          <w:sz w:val="21"/>
        </w:rPr>
        <w:t>L=1</w:t>
      </w:r>
      <w:r>
        <w:rPr>
          <w:rFonts w:ascii="Times New Roman" w:hAnsi="Times New Roman" w:eastAsia="楷体" w:cs="Times New Roman"/>
          <w:color w:val="000000"/>
          <w:sz w:val="21"/>
        </w:rPr>
        <w:t xml:space="preserve"> 的单一噪声模型不同，本文采用空间非均匀 </w:t>
      </w:r>
      <w:r>
        <w:rPr>
          <w:rStyle w:val="38"/>
          <w:rFonts w:ascii="Times New Roman" w:hAnsi="Times New Roman" w:eastAsia="楷体" w:cs="Times New Roman"/>
          <w:color w:val="000000"/>
          <w:sz w:val="21"/>
        </w:rPr>
        <w:t>L</w:t>
      </w:r>
      <w:r>
        <w:rPr>
          <w:rFonts w:ascii="Times New Roman" w:hAnsi="Times New Roman" w:eastAsia="楷体" w:cs="Times New Roman"/>
          <w:color w:val="000000"/>
          <w:sz w:val="21"/>
        </w:rPr>
        <w:t xml:space="preserve"> 图构建复杂噪声分布。图像被划分为 </w:t>
      </w:r>
      <w:r>
        <w:rPr>
          <w:rStyle w:val="38"/>
          <w:rFonts w:ascii="Times New Roman" w:hAnsi="Times New Roman" w:eastAsia="楷体" w:cs="Times New Roman"/>
          <w:color w:val="000000"/>
          <w:sz w:val="21"/>
        </w:rPr>
        <w:t>4×4</w:t>
      </w:r>
      <w:r>
        <w:rPr>
          <w:rFonts w:ascii="Times New Roman" w:hAnsi="Times New Roman" w:eastAsia="楷体" w:cs="Times New Roman"/>
          <w:color w:val="000000"/>
          <w:sz w:val="21"/>
        </w:rPr>
        <w:t xml:space="preserve"> 个区域，每个区域从 </w:t>
      </w:r>
      <w:r>
        <w:rPr>
          <w:rStyle w:val="38"/>
          <w:rFonts w:ascii="Times New Roman" w:hAnsi="Times New Roman" w:eastAsia="楷体" w:cs="Times New Roman"/>
          <w:color w:val="000000"/>
          <w:sz w:val="21"/>
        </w:rPr>
        <w:t>{1, 2, 4, 8}</w:t>
      </w:r>
      <w:r>
        <w:rPr>
          <w:rFonts w:ascii="Times New Roman" w:hAnsi="Times New Roman" w:eastAsia="楷体" w:cs="Times New Roman"/>
          <w:color w:val="000000"/>
          <w:sz w:val="21"/>
        </w:rPr>
        <w:t xml:space="preserve"> 中随机选择一个 </w:t>
      </w:r>
      <w:r>
        <w:rPr>
          <w:rStyle w:val="38"/>
          <w:rFonts w:ascii="Times New Roman" w:hAnsi="Times New Roman" w:eastAsia="楷体" w:cs="Times New Roman"/>
          <w:color w:val="000000"/>
          <w:sz w:val="21"/>
        </w:rPr>
        <w:t>L</w:t>
      </w:r>
      <w:r>
        <w:rPr>
          <w:rFonts w:ascii="Times New Roman" w:hAnsi="Times New Roman" w:eastAsia="楷体" w:cs="Times New Roman"/>
          <w:color w:val="000000"/>
          <w:sz w:val="21"/>
        </w:rPr>
        <w:t xml:space="preserve"> 值，从而使不同空间区域具有不同强度的 speckle 扰动。</w:t>
      </w:r>
    </w:p>
    <w:bookmarkEnd w:id="40"/>
    <w:p w14:paraId="5ACD46D2">
      <w:pPr>
        <w:pStyle w:val="5"/>
        <w:spacing w:before="120" w:after="60" w:line="360" w:lineRule="auto"/>
        <w:ind w:firstLine="0"/>
        <w:jc w:val="left"/>
      </w:pPr>
      <w:bookmarkStart w:id="41" w:name="强散射热噪声与系统扰动建模"/>
      <w:r>
        <w:rPr>
          <w:rFonts w:ascii="Times New Roman" w:hAnsi="Times New Roman" w:eastAsia="黑体" w:cs="Times New Roman"/>
          <w:b/>
          <w:color w:val="000000"/>
          <w:sz w:val="21"/>
        </w:rPr>
        <w:t>3.2.3 强散射、热噪声与系统扰动建模</w:t>
      </w:r>
    </w:p>
    <w:p w14:paraId="325C8800">
      <w:pPr>
        <w:spacing w:before="0" w:after="0" w:line="360" w:lineRule="auto"/>
        <w:ind w:firstLine="420"/>
        <w:jc w:val="both"/>
      </w:pPr>
      <w:r>
        <w:rPr>
          <w:rFonts w:ascii="Times New Roman" w:hAnsi="Times New Roman" w:eastAsia="楷体" w:cs="Times New Roman"/>
          <w:color w:val="000000"/>
          <w:sz w:val="21"/>
        </w:rPr>
        <w:t>真实 SAR 图像中除乘性 speckle 外，还可能存在强散射目标、系统条纹、低频成像扰动和加性噪声。为缩小合成数据与真实 SAR 图像之间的分布差异，本文进一步在基础 Gamma 斑点噪声上叠加以下退化因素。</w:t>
      </w:r>
    </w:p>
    <w:p w14:paraId="3521421F">
      <w:pPr>
        <w:pStyle w:val="12"/>
        <w:spacing w:before="60" w:after="60" w:line="240" w:lineRule="auto"/>
        <w:jc w:val="center"/>
      </w:pPr>
      <w:r>
        <w:rPr>
          <w:rFonts w:ascii="楷体" w:hAnsi="楷体" w:eastAsia="楷体" w:cs="楷体"/>
          <w:b w:val="0"/>
          <w:i w:val="0"/>
          <w:color w:val="000000"/>
          <w:sz w:val="18"/>
        </w:rPr>
        <w:t>表 6 综合 SAR 噪声与退化项参数设置</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1527"/>
        <w:gridCol w:w="3612"/>
        <w:gridCol w:w="3333"/>
      </w:tblGrid>
      <w:tr w14:paraId="7CFB54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456AED56">
            <w:pPr>
              <w:pStyle w:val="25"/>
              <w:spacing w:before="0" w:after="0" w:line="240" w:lineRule="auto"/>
              <w:ind w:firstLine="0"/>
              <w:jc w:val="left"/>
            </w:pPr>
            <w:r>
              <w:rPr>
                <w:rFonts w:ascii="楷体" w:hAnsi="楷体" w:eastAsia="楷体" w:cs="楷体"/>
                <w:b/>
                <w:color w:val="000000"/>
                <w:sz w:val="18"/>
              </w:rPr>
              <w:t>噪声或退化项</w:t>
            </w:r>
          </w:p>
        </w:tc>
        <w:tc>
          <w:tcPr>
            <w:tcMar>
              <w:top w:w="80" w:type="dxa"/>
              <w:left w:w="80" w:type="dxa"/>
              <w:bottom w:w="80" w:type="dxa"/>
              <w:right w:w="80" w:type="dxa"/>
            </w:tcMar>
            <w:vAlign w:val="center"/>
          </w:tcPr>
          <w:p w14:paraId="26259D9C">
            <w:pPr>
              <w:pStyle w:val="25"/>
              <w:spacing w:before="0" w:after="0" w:line="240" w:lineRule="auto"/>
              <w:ind w:firstLine="0"/>
              <w:jc w:val="left"/>
            </w:pPr>
            <w:r>
              <w:rPr>
                <w:rFonts w:ascii="楷体" w:hAnsi="楷体" w:eastAsia="楷体" w:cs="楷体"/>
                <w:b/>
                <w:color w:val="000000"/>
                <w:sz w:val="18"/>
              </w:rPr>
              <w:t>参数设置</w:t>
            </w:r>
          </w:p>
        </w:tc>
        <w:tc>
          <w:tcPr>
            <w:tcMar>
              <w:top w:w="80" w:type="dxa"/>
              <w:left w:w="80" w:type="dxa"/>
              <w:bottom w:w="80" w:type="dxa"/>
              <w:right w:w="80" w:type="dxa"/>
            </w:tcMar>
            <w:vAlign w:val="center"/>
          </w:tcPr>
          <w:p w14:paraId="6D459B60">
            <w:pPr>
              <w:pStyle w:val="25"/>
              <w:spacing w:before="0" w:after="0" w:line="240" w:lineRule="auto"/>
              <w:ind w:firstLine="0"/>
              <w:jc w:val="left"/>
            </w:pPr>
            <w:r>
              <w:rPr>
                <w:rFonts w:ascii="楷体" w:hAnsi="楷体" w:eastAsia="楷体" w:cs="楷体"/>
                <w:b/>
                <w:color w:val="000000"/>
                <w:sz w:val="18"/>
              </w:rPr>
              <w:t>建模目的</w:t>
            </w:r>
          </w:p>
        </w:tc>
      </w:tr>
      <w:tr w14:paraId="292748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4808ED87">
            <w:pPr>
              <w:pStyle w:val="25"/>
              <w:spacing w:before="0" w:after="0" w:line="240" w:lineRule="auto"/>
              <w:ind w:firstLine="0"/>
              <w:jc w:val="left"/>
            </w:pPr>
            <w:r>
              <w:rPr>
                <w:rFonts w:ascii="楷体" w:hAnsi="楷体" w:eastAsia="楷体" w:cs="楷体"/>
                <w:color w:val="000000"/>
                <w:sz w:val="18"/>
              </w:rPr>
              <w:t>空间非均匀 speckle</w:t>
            </w:r>
          </w:p>
        </w:tc>
        <w:tc>
          <w:tcPr>
            <w:tcMar>
              <w:top w:w="80" w:type="dxa"/>
              <w:left w:w="80" w:type="dxa"/>
              <w:bottom w:w="80" w:type="dxa"/>
              <w:right w:w="80" w:type="dxa"/>
            </w:tcMar>
            <w:vAlign w:val="center"/>
          </w:tcPr>
          <w:p w14:paraId="550C67F1">
            <w:pPr>
              <w:pStyle w:val="25"/>
              <w:spacing w:before="0" w:after="0" w:line="240" w:lineRule="auto"/>
              <w:ind w:firstLine="0"/>
              <w:jc w:val="left"/>
            </w:pPr>
            <w:r>
              <w:rPr>
                <w:rStyle w:val="38"/>
                <w:rFonts w:ascii="楷体" w:hAnsi="楷体" w:eastAsia="楷体" w:cs="楷体"/>
                <w:color w:val="000000"/>
                <w:sz w:val="18"/>
              </w:rPr>
              <w:t>grid=(4,4)</w:t>
            </w:r>
            <w:r>
              <w:rPr>
                <w:rFonts w:ascii="楷体" w:hAnsi="楷体" w:eastAsia="楷体" w:cs="楷体"/>
                <w:color w:val="000000"/>
                <w:sz w:val="18"/>
              </w:rPr>
              <w:t xml:space="preserve">, </w:t>
            </w:r>
            <w:r>
              <w:rPr>
                <w:rStyle w:val="38"/>
                <w:rFonts w:ascii="楷体" w:hAnsi="楷体" w:eastAsia="楷体" w:cs="楷体"/>
                <w:color w:val="000000"/>
                <w:sz w:val="18"/>
              </w:rPr>
              <w:t>L∈{1,2,4,8}</w:t>
            </w:r>
          </w:p>
        </w:tc>
        <w:tc>
          <w:tcPr>
            <w:tcMar>
              <w:top w:w="80" w:type="dxa"/>
              <w:left w:w="80" w:type="dxa"/>
              <w:bottom w:w="80" w:type="dxa"/>
              <w:right w:w="80" w:type="dxa"/>
            </w:tcMar>
            <w:vAlign w:val="center"/>
          </w:tcPr>
          <w:p w14:paraId="529C45F1">
            <w:pPr>
              <w:pStyle w:val="25"/>
              <w:spacing w:before="0" w:after="0" w:line="240" w:lineRule="auto"/>
              <w:ind w:firstLine="0"/>
              <w:jc w:val="left"/>
            </w:pPr>
            <w:r>
              <w:rPr>
                <w:rFonts w:ascii="楷体" w:hAnsi="楷体" w:eastAsia="楷体" w:cs="楷体"/>
                <w:color w:val="000000"/>
                <w:sz w:val="18"/>
              </w:rPr>
              <w:t>模拟不同地物区域的噪声强度差异</w:t>
            </w:r>
          </w:p>
        </w:tc>
      </w:tr>
      <w:tr w14:paraId="43EF58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627AE3E">
            <w:pPr>
              <w:pStyle w:val="25"/>
              <w:spacing w:before="0" w:after="0" w:line="240" w:lineRule="auto"/>
              <w:ind w:firstLine="0"/>
              <w:jc w:val="left"/>
            </w:pPr>
            <w:r>
              <w:rPr>
                <w:rFonts w:ascii="楷体" w:hAnsi="楷体" w:eastAsia="楷体" w:cs="楷体"/>
                <w:color w:val="000000"/>
                <w:sz w:val="18"/>
              </w:rPr>
              <w:t>强散射区域增强</w:t>
            </w:r>
          </w:p>
        </w:tc>
        <w:tc>
          <w:tcPr>
            <w:tcMar>
              <w:top w:w="80" w:type="dxa"/>
              <w:left w:w="80" w:type="dxa"/>
              <w:bottom w:w="80" w:type="dxa"/>
              <w:right w:w="80" w:type="dxa"/>
            </w:tcMar>
            <w:vAlign w:val="center"/>
          </w:tcPr>
          <w:p w14:paraId="595DD7E4">
            <w:pPr>
              <w:pStyle w:val="25"/>
              <w:spacing w:before="0" w:after="0" w:line="240" w:lineRule="auto"/>
              <w:ind w:firstLine="0"/>
              <w:jc w:val="left"/>
            </w:pPr>
            <w:r>
              <w:rPr>
                <w:rFonts w:ascii="楷体" w:hAnsi="楷体" w:eastAsia="楷体" w:cs="楷体"/>
                <w:color w:val="000000"/>
                <w:sz w:val="18"/>
              </w:rPr>
              <w:t>亮度 90 分位或梯度 85 分位区域，</w:t>
            </w:r>
            <w:r>
              <w:rPr>
                <w:rStyle w:val="38"/>
                <w:rFonts w:ascii="楷体" w:hAnsi="楷体" w:eastAsia="楷体" w:cs="楷体"/>
                <w:color w:val="000000"/>
                <w:sz w:val="18"/>
              </w:rPr>
              <w:t>strong_L=1</w:t>
            </w:r>
          </w:p>
        </w:tc>
        <w:tc>
          <w:tcPr>
            <w:tcMar>
              <w:top w:w="80" w:type="dxa"/>
              <w:left w:w="80" w:type="dxa"/>
              <w:bottom w:w="80" w:type="dxa"/>
              <w:right w:w="80" w:type="dxa"/>
            </w:tcMar>
            <w:vAlign w:val="center"/>
          </w:tcPr>
          <w:p w14:paraId="3D1F38B9">
            <w:pPr>
              <w:pStyle w:val="25"/>
              <w:spacing w:before="0" w:after="0" w:line="240" w:lineRule="auto"/>
              <w:ind w:firstLine="0"/>
              <w:jc w:val="left"/>
            </w:pPr>
            <w:r>
              <w:rPr>
                <w:rFonts w:ascii="楷体" w:hAnsi="楷体" w:eastAsia="楷体" w:cs="楷体"/>
                <w:color w:val="000000"/>
                <w:sz w:val="18"/>
              </w:rPr>
              <w:t>增强建筑边缘、亮点目标和强反射结构处的斑点扰动</w:t>
            </w:r>
          </w:p>
        </w:tc>
      </w:tr>
      <w:tr w14:paraId="330348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7EA3AA7F">
            <w:pPr>
              <w:pStyle w:val="25"/>
              <w:spacing w:before="0" w:after="0" w:line="240" w:lineRule="auto"/>
              <w:ind w:firstLine="0"/>
              <w:jc w:val="left"/>
            </w:pPr>
            <w:r>
              <w:rPr>
                <w:rFonts w:ascii="楷体" w:hAnsi="楷体" w:eastAsia="楷体" w:cs="楷体"/>
                <w:color w:val="000000"/>
                <w:sz w:val="18"/>
              </w:rPr>
              <w:t>强目标增益</w:t>
            </w:r>
          </w:p>
        </w:tc>
        <w:tc>
          <w:tcPr>
            <w:tcMar>
              <w:top w:w="80" w:type="dxa"/>
              <w:left w:w="80" w:type="dxa"/>
              <w:bottom w:w="80" w:type="dxa"/>
              <w:right w:w="80" w:type="dxa"/>
            </w:tcMar>
            <w:vAlign w:val="center"/>
          </w:tcPr>
          <w:p w14:paraId="711678D3">
            <w:pPr>
              <w:pStyle w:val="25"/>
              <w:spacing w:before="0" w:after="0" w:line="240" w:lineRule="auto"/>
              <w:ind w:firstLine="0"/>
              <w:jc w:val="left"/>
            </w:pPr>
            <w:r>
              <w:rPr>
                <w:rStyle w:val="38"/>
                <w:rFonts w:ascii="楷体" w:hAnsi="楷体" w:eastAsia="楷体" w:cs="楷体"/>
                <w:color w:val="000000"/>
                <w:sz w:val="18"/>
              </w:rPr>
              <w:t>target_gain=0.20</w:t>
            </w:r>
          </w:p>
        </w:tc>
        <w:tc>
          <w:tcPr>
            <w:tcMar>
              <w:top w:w="80" w:type="dxa"/>
              <w:left w:w="80" w:type="dxa"/>
              <w:bottom w:w="80" w:type="dxa"/>
              <w:right w:w="80" w:type="dxa"/>
            </w:tcMar>
            <w:vAlign w:val="center"/>
          </w:tcPr>
          <w:p w14:paraId="1BBE3003">
            <w:pPr>
              <w:pStyle w:val="25"/>
              <w:spacing w:before="0" w:after="0" w:line="240" w:lineRule="auto"/>
              <w:ind w:firstLine="0"/>
              <w:jc w:val="left"/>
            </w:pPr>
            <w:r>
              <w:rPr>
                <w:rFonts w:ascii="楷体" w:hAnsi="楷体" w:eastAsia="楷体" w:cs="楷体"/>
                <w:color w:val="000000"/>
                <w:sz w:val="18"/>
              </w:rPr>
              <w:t>模拟强散射点局部亮度增强</w:t>
            </w:r>
          </w:p>
        </w:tc>
      </w:tr>
      <w:tr w14:paraId="194F2F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7619E451">
            <w:pPr>
              <w:pStyle w:val="25"/>
              <w:spacing w:before="0" w:after="0" w:line="240" w:lineRule="auto"/>
              <w:ind w:firstLine="0"/>
              <w:jc w:val="left"/>
            </w:pPr>
            <w:r>
              <w:rPr>
                <w:rFonts w:ascii="楷体" w:hAnsi="楷体" w:eastAsia="楷体" w:cs="楷体"/>
                <w:color w:val="000000"/>
                <w:sz w:val="18"/>
              </w:rPr>
              <w:t>高亮脉冲点</w:t>
            </w:r>
          </w:p>
        </w:tc>
        <w:tc>
          <w:tcPr>
            <w:tcMar>
              <w:top w:w="80" w:type="dxa"/>
              <w:left w:w="80" w:type="dxa"/>
              <w:bottom w:w="80" w:type="dxa"/>
              <w:right w:w="80" w:type="dxa"/>
            </w:tcMar>
            <w:vAlign w:val="center"/>
          </w:tcPr>
          <w:p w14:paraId="16BAA1C2">
            <w:pPr>
              <w:pStyle w:val="25"/>
              <w:spacing w:before="0" w:after="0" w:line="240" w:lineRule="auto"/>
              <w:ind w:firstLine="0"/>
              <w:jc w:val="left"/>
            </w:pPr>
            <w:r>
              <w:rPr>
                <w:rStyle w:val="38"/>
                <w:rFonts w:ascii="楷体" w:hAnsi="楷体" w:eastAsia="楷体" w:cs="楷体"/>
                <w:color w:val="000000"/>
                <w:sz w:val="18"/>
              </w:rPr>
              <w:t>impulse_prob=0.008</w:t>
            </w:r>
            <w:r>
              <w:rPr>
                <w:rFonts w:ascii="楷体" w:hAnsi="楷体" w:eastAsia="楷体" w:cs="楷体"/>
                <w:color w:val="000000"/>
                <w:sz w:val="18"/>
              </w:rPr>
              <w:t xml:space="preserve">, 增益范围 </w:t>
            </w:r>
            <w:r>
              <w:rPr>
                <w:rStyle w:val="38"/>
                <w:rFonts w:ascii="楷体" w:hAnsi="楷体" w:eastAsia="楷体" w:cs="楷体"/>
                <w:color w:val="000000"/>
                <w:sz w:val="18"/>
              </w:rPr>
              <w:t>1.1–1.6</w:t>
            </w:r>
          </w:p>
        </w:tc>
        <w:tc>
          <w:tcPr>
            <w:tcMar>
              <w:top w:w="80" w:type="dxa"/>
              <w:left w:w="80" w:type="dxa"/>
              <w:bottom w:w="80" w:type="dxa"/>
              <w:right w:w="80" w:type="dxa"/>
            </w:tcMar>
            <w:vAlign w:val="center"/>
          </w:tcPr>
          <w:p w14:paraId="49F5F4D2">
            <w:pPr>
              <w:pStyle w:val="25"/>
              <w:spacing w:before="0" w:after="0" w:line="240" w:lineRule="auto"/>
              <w:ind w:firstLine="0"/>
              <w:jc w:val="left"/>
            </w:pPr>
            <w:r>
              <w:rPr>
                <w:rFonts w:ascii="楷体" w:hAnsi="楷体" w:eastAsia="楷体" w:cs="楷体"/>
                <w:color w:val="000000"/>
                <w:sz w:val="18"/>
              </w:rPr>
              <w:t>模拟局部异常亮点和强反射脉冲</w:t>
            </w:r>
          </w:p>
        </w:tc>
      </w:tr>
      <w:tr w14:paraId="728EA5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1682E9E7">
            <w:pPr>
              <w:pStyle w:val="25"/>
              <w:spacing w:before="0" w:after="0" w:line="240" w:lineRule="auto"/>
              <w:ind w:firstLine="0"/>
              <w:jc w:val="left"/>
            </w:pPr>
            <w:r>
              <w:rPr>
                <w:rFonts w:ascii="楷体" w:hAnsi="楷体" w:eastAsia="楷体" w:cs="楷体"/>
                <w:color w:val="000000"/>
                <w:sz w:val="18"/>
              </w:rPr>
              <w:t>加性热噪声</w:t>
            </w:r>
          </w:p>
        </w:tc>
        <w:tc>
          <w:tcPr>
            <w:tcMar>
              <w:top w:w="80" w:type="dxa"/>
              <w:left w:w="80" w:type="dxa"/>
              <w:bottom w:w="80" w:type="dxa"/>
              <w:right w:w="80" w:type="dxa"/>
            </w:tcMar>
            <w:vAlign w:val="center"/>
          </w:tcPr>
          <w:p w14:paraId="7546A115">
            <w:pPr>
              <w:pStyle w:val="25"/>
              <w:spacing w:before="0" w:after="0" w:line="240" w:lineRule="auto"/>
              <w:ind w:firstLine="0"/>
              <w:jc w:val="left"/>
            </w:pPr>
            <w:r>
              <w:rPr>
                <w:rStyle w:val="38"/>
                <w:rFonts w:ascii="楷体" w:hAnsi="楷体" w:eastAsia="楷体" w:cs="楷体"/>
                <w:color w:val="000000"/>
                <w:sz w:val="18"/>
              </w:rPr>
              <w:t>sigma_add=0.015</w:t>
            </w:r>
          </w:p>
        </w:tc>
        <w:tc>
          <w:tcPr>
            <w:tcMar>
              <w:top w:w="80" w:type="dxa"/>
              <w:left w:w="80" w:type="dxa"/>
              <w:bottom w:w="80" w:type="dxa"/>
              <w:right w:w="80" w:type="dxa"/>
            </w:tcMar>
            <w:vAlign w:val="center"/>
          </w:tcPr>
          <w:p w14:paraId="4894A74C">
            <w:pPr>
              <w:pStyle w:val="25"/>
              <w:spacing w:before="0" w:after="0" w:line="240" w:lineRule="auto"/>
              <w:ind w:firstLine="0"/>
              <w:jc w:val="left"/>
            </w:pPr>
            <w:r>
              <w:rPr>
                <w:rFonts w:ascii="楷体" w:hAnsi="楷体" w:eastAsia="楷体" w:cs="楷体"/>
                <w:color w:val="000000"/>
                <w:sz w:val="18"/>
              </w:rPr>
              <w:t>模拟传感器热噪声和背景随机扰动</w:t>
            </w:r>
          </w:p>
        </w:tc>
      </w:tr>
      <w:tr w14:paraId="4AE316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4BA441C6">
            <w:pPr>
              <w:pStyle w:val="25"/>
              <w:spacing w:before="0" w:after="0" w:line="240" w:lineRule="auto"/>
              <w:ind w:firstLine="0"/>
              <w:jc w:val="left"/>
            </w:pPr>
            <w:r>
              <w:rPr>
                <w:rFonts w:ascii="楷体" w:hAnsi="楷体" w:eastAsia="楷体" w:cs="楷体"/>
                <w:color w:val="000000"/>
                <w:sz w:val="18"/>
              </w:rPr>
              <w:t>配准与系统扰动</w:t>
            </w:r>
          </w:p>
        </w:tc>
        <w:tc>
          <w:tcPr>
            <w:tcMar>
              <w:top w:w="80" w:type="dxa"/>
              <w:left w:w="80" w:type="dxa"/>
              <w:bottom w:w="80" w:type="dxa"/>
              <w:right w:w="80" w:type="dxa"/>
            </w:tcMar>
            <w:vAlign w:val="center"/>
          </w:tcPr>
          <w:p w14:paraId="5CD6842A">
            <w:pPr>
              <w:pStyle w:val="25"/>
              <w:spacing w:before="0" w:after="0" w:line="240" w:lineRule="auto"/>
              <w:ind w:firstLine="0"/>
              <w:jc w:val="left"/>
            </w:pPr>
            <w:r>
              <w:rPr>
                <w:rStyle w:val="38"/>
                <w:rFonts w:ascii="楷体" w:hAnsi="楷体" w:eastAsia="楷体" w:cs="楷体"/>
                <w:color w:val="000000"/>
                <w:sz w:val="18"/>
              </w:rPr>
              <w:t>misreg_alpha=0.08</w:t>
            </w:r>
            <w:r>
              <w:rPr>
                <w:rFonts w:ascii="楷体" w:hAnsi="楷体" w:eastAsia="楷体" w:cs="楷体"/>
                <w:color w:val="000000"/>
                <w:sz w:val="18"/>
              </w:rPr>
              <w:t xml:space="preserve">, </w:t>
            </w:r>
            <w:r>
              <w:rPr>
                <w:rStyle w:val="38"/>
                <w:rFonts w:ascii="楷体" w:hAnsi="楷体" w:eastAsia="楷体" w:cs="楷体"/>
                <w:color w:val="000000"/>
                <w:sz w:val="18"/>
              </w:rPr>
              <w:t>shift_xy=(1,2)</w:t>
            </w:r>
          </w:p>
        </w:tc>
        <w:tc>
          <w:tcPr>
            <w:tcMar>
              <w:top w:w="80" w:type="dxa"/>
              <w:left w:w="80" w:type="dxa"/>
              <w:bottom w:w="80" w:type="dxa"/>
              <w:right w:w="80" w:type="dxa"/>
            </w:tcMar>
            <w:vAlign w:val="center"/>
          </w:tcPr>
          <w:p w14:paraId="03FDA4B6">
            <w:pPr>
              <w:pStyle w:val="25"/>
              <w:spacing w:before="0" w:after="0" w:line="240" w:lineRule="auto"/>
              <w:ind w:firstLine="0"/>
              <w:jc w:val="left"/>
            </w:pPr>
            <w:r>
              <w:rPr>
                <w:rFonts w:ascii="楷体" w:hAnsi="楷体" w:eastAsia="楷体" w:cs="楷体"/>
                <w:color w:val="000000"/>
                <w:sz w:val="18"/>
              </w:rPr>
              <w:t>模拟轻微空间偏移和配准误差</w:t>
            </w:r>
          </w:p>
        </w:tc>
      </w:tr>
      <w:tr w14:paraId="0952F2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B618E71">
            <w:pPr>
              <w:pStyle w:val="25"/>
              <w:spacing w:before="0" w:after="0" w:line="240" w:lineRule="auto"/>
              <w:ind w:firstLine="0"/>
              <w:jc w:val="left"/>
            </w:pPr>
            <w:r>
              <w:rPr>
                <w:rFonts w:ascii="楷体" w:hAnsi="楷体" w:eastAsia="楷体" w:cs="楷体"/>
                <w:color w:val="000000"/>
                <w:sz w:val="18"/>
              </w:rPr>
              <w:t>行列条纹与低频条带</w:t>
            </w:r>
          </w:p>
        </w:tc>
        <w:tc>
          <w:tcPr>
            <w:tcMar>
              <w:top w:w="80" w:type="dxa"/>
              <w:left w:w="80" w:type="dxa"/>
              <w:bottom w:w="80" w:type="dxa"/>
              <w:right w:w="80" w:type="dxa"/>
            </w:tcMar>
            <w:vAlign w:val="center"/>
          </w:tcPr>
          <w:p w14:paraId="04038598">
            <w:pPr>
              <w:pStyle w:val="25"/>
              <w:spacing w:before="0" w:after="0" w:line="240" w:lineRule="auto"/>
              <w:ind w:firstLine="0"/>
              <w:jc w:val="left"/>
            </w:pPr>
            <w:r>
              <w:rPr>
                <w:rStyle w:val="38"/>
                <w:rFonts w:ascii="楷体" w:hAnsi="楷体" w:eastAsia="楷体" w:cs="楷体"/>
                <w:color w:val="000000"/>
                <w:sz w:val="18"/>
              </w:rPr>
              <w:t>stripe_amp=0.02</w:t>
            </w:r>
            <w:r>
              <w:rPr>
                <w:rFonts w:ascii="楷体" w:hAnsi="楷体" w:eastAsia="楷体" w:cs="楷体"/>
                <w:color w:val="000000"/>
                <w:sz w:val="18"/>
              </w:rPr>
              <w:t xml:space="preserve">, </w:t>
            </w:r>
            <w:r>
              <w:rPr>
                <w:rStyle w:val="38"/>
                <w:rFonts w:ascii="楷体" w:hAnsi="楷体" w:eastAsia="楷体" w:cs="楷体"/>
                <w:color w:val="000000"/>
                <w:sz w:val="18"/>
              </w:rPr>
              <w:t>row_prob=0.08</w:t>
            </w:r>
            <w:r>
              <w:rPr>
                <w:rFonts w:ascii="楷体" w:hAnsi="楷体" w:eastAsia="楷体" w:cs="楷体"/>
                <w:color w:val="000000"/>
                <w:sz w:val="18"/>
              </w:rPr>
              <w:t xml:space="preserve">, </w:t>
            </w:r>
            <w:r>
              <w:rPr>
                <w:rStyle w:val="38"/>
                <w:rFonts w:ascii="楷体" w:hAnsi="楷体" w:eastAsia="楷体" w:cs="楷体"/>
                <w:color w:val="000000"/>
                <w:sz w:val="18"/>
              </w:rPr>
              <w:t>col_prob=0.08</w:t>
            </w:r>
          </w:p>
        </w:tc>
        <w:tc>
          <w:tcPr>
            <w:tcMar>
              <w:top w:w="80" w:type="dxa"/>
              <w:left w:w="80" w:type="dxa"/>
              <w:bottom w:w="80" w:type="dxa"/>
              <w:right w:w="80" w:type="dxa"/>
            </w:tcMar>
            <w:vAlign w:val="center"/>
          </w:tcPr>
          <w:p w14:paraId="73C4E992">
            <w:pPr>
              <w:pStyle w:val="25"/>
              <w:spacing w:before="0" w:after="0" w:line="240" w:lineRule="auto"/>
              <w:ind w:firstLine="0"/>
              <w:jc w:val="left"/>
            </w:pPr>
            <w:r>
              <w:rPr>
                <w:rFonts w:ascii="楷体" w:hAnsi="楷体" w:eastAsia="楷体" w:cs="楷体"/>
                <w:color w:val="000000"/>
                <w:sz w:val="18"/>
              </w:rPr>
              <w:t>模拟 SAR 成像中可能出现的条纹和系统性低频扰动</w:t>
            </w:r>
          </w:p>
        </w:tc>
      </w:tr>
    </w:tbl>
    <w:p w14:paraId="78E65923">
      <w:pPr>
        <w:spacing w:before="0" w:after="0" w:line="360" w:lineRule="auto"/>
        <w:ind w:firstLine="420"/>
        <w:jc w:val="both"/>
        <w:rPr>
          <w:rFonts w:ascii="Times New Roman" w:hAnsi="Times New Roman" w:eastAsia="楷体" w:cs="Times New Roman"/>
          <w:color w:val="000000"/>
          <w:sz w:val="21"/>
        </w:rPr>
      </w:pPr>
    </w:p>
    <w:p w14:paraId="25A8CCCC">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 xml:space="preserve">综合噪声生成过程可概括为：先依据空间非均匀 </w:t>
      </w:r>
      <w:r>
        <w:rPr>
          <w:rStyle w:val="38"/>
          <w:rFonts w:ascii="Times New Roman" w:hAnsi="Times New Roman" w:eastAsia="楷体" w:cs="Times New Roman"/>
          <w:color w:val="000000"/>
          <w:sz w:val="21"/>
        </w:rPr>
        <w:t>L_map</w:t>
      </w:r>
      <w:r>
        <w:rPr>
          <w:rFonts w:ascii="Times New Roman" w:hAnsi="Times New Roman" w:eastAsia="楷体" w:cs="Times New Roman"/>
          <w:color w:val="000000"/>
          <w:sz w:val="21"/>
        </w:rPr>
        <w:t xml:space="preserve"> 对强度图施加 Gamma 乘性斑点噪声，再对高亮区域和高梯度区域构建强散射掩膜，使其使用更强的 </w:t>
      </w:r>
      <w:r>
        <w:rPr>
          <w:rStyle w:val="38"/>
          <w:rFonts w:ascii="Times New Roman" w:hAnsi="Times New Roman" w:eastAsia="楷体" w:cs="Times New Roman"/>
          <w:color w:val="000000"/>
          <w:sz w:val="21"/>
        </w:rPr>
        <w:t>L=1</w:t>
      </w:r>
      <w:r>
        <w:rPr>
          <w:rFonts w:ascii="Times New Roman" w:hAnsi="Times New Roman" w:eastAsia="楷体" w:cs="Times New Roman"/>
          <w:color w:val="000000"/>
          <w:sz w:val="21"/>
        </w:rPr>
        <w:t xml:space="preserve"> 扰动并叠加强目标增益；随后加入少量高亮脉冲点和加性热噪声；最后通过图像平移混合、行列随机偏置和正弦低频条带模拟系统扰动。所有退化处理完成后，将像素值裁剪至 </w:t>
      </w:r>
      <w:r>
        <w:rPr>
          <w:rStyle w:val="38"/>
          <w:rFonts w:ascii="Times New Roman" w:hAnsi="Times New Roman" w:eastAsia="楷体" w:cs="Times New Roman"/>
          <w:color w:val="000000"/>
          <w:sz w:val="21"/>
        </w:rPr>
        <w:t>[0,1]</w:t>
      </w:r>
      <w:r>
        <w:rPr>
          <w:rFonts w:ascii="Times New Roman" w:hAnsi="Times New Roman" w:eastAsia="楷体" w:cs="Times New Roman"/>
          <w:color w:val="000000"/>
          <w:sz w:val="21"/>
        </w:rPr>
        <w:t>，保证训练输入稳定。</w:t>
      </w:r>
    </w:p>
    <w:p w14:paraId="7547F8C1">
      <w:pPr>
        <w:spacing w:before="0" w:after="0" w:line="360" w:lineRule="auto"/>
        <w:ind w:left="0" w:leftChars="0" w:firstLine="0" w:firstLineChars="0"/>
        <w:jc w:val="both"/>
        <w:rPr>
          <w:rFonts w:hint="eastAsia" w:eastAsia="楷体"/>
          <w:lang w:eastAsia="zh-CN"/>
        </w:rPr>
      </w:pPr>
      <w:r>
        <w:rPr>
          <w:rFonts w:hint="eastAsia" w:eastAsia="楷体"/>
          <w:lang w:eastAsia="zh-CN"/>
        </w:rPr>
        <w:drawing>
          <wp:inline distT="0" distB="0" distL="114300" distR="114300">
            <wp:extent cx="5231130" cy="3249295"/>
            <wp:effectExtent l="0" t="0" r="0" b="0"/>
            <wp:docPr id="7" name="图片 7" descr="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3"/>
                    <pic:cNvPicPr>
                      <a:picLocks noChangeAspect="1"/>
                    </pic:cNvPicPr>
                  </pic:nvPicPr>
                  <pic:blipFill>
                    <a:blip r:embed="rId18"/>
                    <a:srcRect l="391" t="5859" r="2084" b="3285"/>
                    <a:stretch>
                      <a:fillRect/>
                    </a:stretch>
                  </pic:blipFill>
                  <pic:spPr>
                    <a:xfrm>
                      <a:off x="0" y="0"/>
                      <a:ext cx="5231130" cy="3249295"/>
                    </a:xfrm>
                    <a:prstGeom prst="rect">
                      <a:avLst/>
                    </a:prstGeom>
                  </pic:spPr>
                </pic:pic>
              </a:graphicData>
            </a:graphic>
          </wp:inline>
        </w:drawing>
      </w:r>
    </w:p>
    <w:p w14:paraId="12BB1F35">
      <w:pPr>
        <w:pStyle w:val="12"/>
        <w:spacing w:before="60" w:after="60" w:line="240" w:lineRule="auto"/>
        <w:jc w:val="center"/>
      </w:pPr>
      <w:r>
        <w:rPr>
          <w:rFonts w:ascii="楷体" w:hAnsi="楷体" w:eastAsia="楷体" w:cs="楷体"/>
          <w:b w:val="0"/>
          <w:i w:val="0"/>
          <w:color w:val="000000"/>
          <w:sz w:val="18"/>
        </w:rPr>
        <w:t>图 13 综合 SAR 噪声合成流程图</w:t>
      </w:r>
    </w:p>
    <w:bookmarkEnd w:id="38"/>
    <w:bookmarkEnd w:id="41"/>
    <w:p w14:paraId="5CD60251">
      <w:pPr>
        <w:pStyle w:val="4"/>
        <w:spacing w:before="120" w:after="60" w:line="360" w:lineRule="auto"/>
        <w:ind w:firstLine="0"/>
        <w:jc w:val="left"/>
      </w:pPr>
      <w:bookmarkStart w:id="42" w:name="真实-sar-数据划分与场景分类"/>
      <w:r>
        <w:rPr>
          <w:rFonts w:ascii="Times New Roman" w:hAnsi="Times New Roman" w:eastAsia="黑体" w:cs="Times New Roman"/>
          <w:b/>
          <w:color w:val="000000"/>
          <w:sz w:val="24"/>
        </w:rPr>
        <w:t>3.3 真实 SAR 数据划分与场景分类</w:t>
      </w:r>
    </w:p>
    <w:p w14:paraId="1400E34A">
      <w:pPr>
        <w:spacing w:before="0" w:after="0" w:line="360" w:lineRule="auto"/>
        <w:ind w:firstLine="420"/>
        <w:jc w:val="both"/>
      </w:pPr>
      <w:r>
        <w:rPr>
          <w:rFonts w:ascii="Times New Roman" w:hAnsi="Times New Roman" w:eastAsia="楷体" w:cs="Times New Roman"/>
          <w:color w:val="000000"/>
          <w:sz w:val="21"/>
        </w:rPr>
        <w:t xml:space="preserve">真实 SAR 数据采用 </w:t>
      </w:r>
      <w:r>
        <w:rPr>
          <w:rStyle w:val="38"/>
          <w:rFonts w:ascii="Times New Roman" w:hAnsi="Times New Roman" w:eastAsia="楷体" w:cs="Times New Roman"/>
          <w:color w:val="000000"/>
          <w:sz w:val="21"/>
        </w:rPr>
        <w:t>Labeled dataset for despeckling SAR imagery</w:t>
      </w:r>
      <w:r>
        <w:rPr>
          <w:rFonts w:ascii="Times New Roman" w:hAnsi="Times New Roman" w:eastAsia="楷体" w:cs="Times New Roman"/>
          <w:color w:val="000000"/>
          <w:sz w:val="21"/>
        </w:rPr>
        <w:t xml:space="preserve">，共 5876 幅图像。该数据集按照 </w:t>
      </w:r>
      <w:r>
        <w:rPr>
          <w:rStyle w:val="38"/>
          <w:rFonts w:ascii="Times New Roman" w:hAnsi="Times New Roman" w:eastAsia="楷体" w:cs="Times New Roman"/>
          <w:color w:val="000000"/>
          <w:sz w:val="21"/>
        </w:rPr>
        <w:t>train:val:test=8:1:1</w:t>
      </w:r>
      <w:r>
        <w:rPr>
          <w:rFonts w:ascii="Times New Roman" w:hAnsi="Times New Roman" w:eastAsia="楷体" w:cs="Times New Roman"/>
          <w:color w:val="000000"/>
          <w:sz w:val="21"/>
        </w:rPr>
        <w:t xml:space="preserve"> 划分后，训练子集用于 </w:t>
      </w:r>
      <w:r>
        <w:rPr>
          <w:rStyle w:val="38"/>
          <w:rFonts w:ascii="Times New Roman" w:hAnsi="Times New Roman" w:eastAsia="楷体" w:cs="Times New Roman"/>
          <w:color w:val="000000"/>
          <w:sz w:val="21"/>
        </w:rPr>
        <w:t>AMS</w:t>
      </w:r>
      <w:r>
        <w:rPr>
          <w:rFonts w:ascii="Times New Roman" w:hAnsi="Times New Roman" w:eastAsia="楷体" w:cs="Times New Roman"/>
          <w:color w:val="000000"/>
          <w:sz w:val="21"/>
        </w:rPr>
        <w:t xml:space="preserve"> 自监督微调，验证子集用于观察自监督适应阶段的损失变化，测试子集用于无参考评价。由于真实 SAR 图像没有干净参考图，本文不使用 PSNR 和 SSIM 作为真实 SAR 主评价指标，而采用 ENL、M 和 EPI 进行测试。</w:t>
      </w:r>
    </w:p>
    <w:p w14:paraId="0F5CD093">
      <w:pPr>
        <w:spacing w:before="0" w:after="0" w:line="360" w:lineRule="auto"/>
        <w:ind w:firstLine="420"/>
        <w:jc w:val="both"/>
      </w:pPr>
      <w:r>
        <w:rPr>
          <w:rFonts w:ascii="Times New Roman" w:hAnsi="Times New Roman" w:eastAsia="楷体" w:cs="Times New Roman"/>
          <w:color w:val="000000"/>
          <w:sz w:val="21"/>
        </w:rPr>
        <w:t xml:space="preserve">为了分析模型在不同真实 SAR 场景下的行为，本文对 test 子集进行场景分层。分类脚本首先读取 </w:t>
      </w:r>
      <w:r>
        <w:rPr>
          <w:rStyle w:val="38"/>
          <w:rFonts w:ascii="Times New Roman" w:hAnsi="Times New Roman" w:eastAsia="楷体" w:cs="Times New Roman"/>
          <w:color w:val="000000"/>
          <w:sz w:val="21"/>
        </w:rPr>
        <w:t>.mat</w:t>
      </w:r>
      <w:r>
        <w:rPr>
          <w:rFonts w:ascii="Times New Roman" w:hAnsi="Times New Roman" w:eastAsia="楷体" w:cs="Times New Roman"/>
          <w:color w:val="000000"/>
          <w:sz w:val="21"/>
        </w:rPr>
        <w:t>、</w:t>
      </w:r>
      <w:r>
        <w:rPr>
          <w:rStyle w:val="38"/>
          <w:rFonts w:ascii="Times New Roman" w:hAnsi="Times New Roman" w:eastAsia="楷体" w:cs="Times New Roman"/>
          <w:color w:val="000000"/>
          <w:sz w:val="21"/>
        </w:rPr>
        <w:t>.png</w:t>
      </w:r>
      <w:r>
        <w:rPr>
          <w:rFonts w:ascii="Times New Roman" w:hAnsi="Times New Roman" w:eastAsia="楷体" w:cs="Times New Roman"/>
          <w:color w:val="000000"/>
          <w:sz w:val="21"/>
        </w:rPr>
        <w:t>、</w:t>
      </w:r>
      <w:r>
        <w:rPr>
          <w:rStyle w:val="38"/>
          <w:rFonts w:ascii="Times New Roman" w:hAnsi="Times New Roman" w:eastAsia="楷体" w:cs="Times New Roman"/>
          <w:color w:val="000000"/>
          <w:sz w:val="21"/>
        </w:rPr>
        <w:t>.jpg</w:t>
      </w:r>
      <w:r>
        <w:rPr>
          <w:rFonts w:ascii="Times New Roman" w:hAnsi="Times New Roman" w:eastAsia="楷体" w:cs="Times New Roman"/>
          <w:color w:val="000000"/>
          <w:sz w:val="21"/>
        </w:rPr>
        <w:t>、</w:t>
      </w:r>
      <w:r>
        <w:rPr>
          <w:rStyle w:val="38"/>
          <w:rFonts w:ascii="Times New Roman" w:hAnsi="Times New Roman" w:eastAsia="楷体" w:cs="Times New Roman"/>
          <w:color w:val="000000"/>
          <w:sz w:val="21"/>
        </w:rPr>
        <w:t>.tif</w:t>
      </w:r>
      <w:r>
        <w:rPr>
          <w:rFonts w:ascii="Times New Roman" w:hAnsi="Times New Roman" w:eastAsia="楷体" w:cs="Times New Roman"/>
          <w:color w:val="000000"/>
          <w:sz w:val="21"/>
        </w:rPr>
        <w:t xml:space="preserve"> 等格式图像，并统一归一化至 </w:t>
      </w:r>
      <w:r>
        <w:rPr>
          <w:rStyle w:val="38"/>
          <w:rFonts w:ascii="Times New Roman" w:hAnsi="Times New Roman" w:eastAsia="楷体" w:cs="Times New Roman"/>
          <w:color w:val="000000"/>
          <w:sz w:val="21"/>
        </w:rPr>
        <w:t>[0,1]</w:t>
      </w:r>
      <w:r>
        <w:rPr>
          <w:rFonts w:ascii="Times New Roman" w:hAnsi="Times New Roman" w:eastAsia="楷体" w:cs="Times New Roman"/>
          <w:color w:val="000000"/>
          <w:sz w:val="21"/>
        </w:rPr>
        <w:t xml:space="preserve">。随后将图像缩放至 </w:t>
      </w:r>
      <w:r>
        <w:rPr>
          <w:rStyle w:val="38"/>
          <w:rFonts w:ascii="Times New Roman" w:hAnsi="Times New Roman" w:eastAsia="楷体" w:cs="Times New Roman"/>
          <w:color w:val="000000"/>
          <w:sz w:val="21"/>
        </w:rPr>
        <w:t>256×256</w:t>
      </w:r>
      <w:r>
        <w:rPr>
          <w:rFonts w:ascii="Times New Roman" w:hAnsi="Times New Roman" w:eastAsia="楷体" w:cs="Times New Roman"/>
          <w:color w:val="000000"/>
          <w:sz w:val="21"/>
        </w:rPr>
        <w:t xml:space="preserve"> 用于统计打分，计算 Sobel 梯度、边缘密度、局部方差、灰度标准差、均匀 patch 比例和梯度方向熵等特征。基于这些统计量构造三类场景评分：</w:t>
      </w:r>
    </w:p>
    <w:p w14:paraId="47140E0D">
      <w:pPr>
        <w:tabs>
          <w:tab w:val="center" w:pos="4155"/>
          <w:tab w:val="right" w:pos="8310"/>
        </w:tabs>
        <w:spacing w:before="120" w:after="120" w:line="360" w:lineRule="auto"/>
        <w:ind w:left="0" w:leftChars="0" w:firstLine="0" w:firstLineChars="0"/>
        <w:jc w:val="left"/>
      </w:pPr>
      <w:r>
        <w:tab/>
      </w:r>
      <w:r>
        <w:drawing>
          <wp:inline distT="0" distB="0" distL="114300" distR="114300">
            <wp:extent cx="2811780" cy="839470"/>
            <wp:effectExtent l="0" t="0" r="7620" b="1397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9"/>
                    <a:stretch>
                      <a:fillRect/>
                    </a:stretch>
                  </pic:blipFill>
                  <pic:spPr>
                    <a:xfrm>
                      <a:off x="0" y="0"/>
                      <a:ext cx="2811780" cy="839470"/>
                    </a:xfrm>
                    <a:prstGeom prst="rect">
                      <a:avLst/>
                    </a:prstGeom>
                    <a:noFill/>
                    <a:ln>
                      <a:noFill/>
                    </a:ln>
                  </pic:spPr>
                </pic:pic>
              </a:graphicData>
            </a:graphic>
          </wp:inline>
        </w:drawing>
      </w:r>
      <w:r>
        <w:rPr>
          <w:rFonts w:ascii="Times New Roman" w:hAnsi="Times New Roman" w:eastAsia="宋体"/>
          <w:sz w:val="21"/>
          <w:szCs w:val="21"/>
        </w:rPr>
        <w:tab/>
      </w:r>
      <w:r>
        <w:rPr>
          <w:rFonts w:ascii="Times New Roman" w:hAnsi="Times New Roman" w:eastAsia="宋体"/>
          <w:sz w:val="21"/>
          <w:szCs w:val="21"/>
        </w:rPr>
        <w:t>（31）</w:t>
      </w:r>
    </w:p>
    <w:p w14:paraId="0536A382">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homogeneous_score</w:t>
      </w:r>
      <w:r>
        <w:rPr>
          <w:rFonts w:ascii="Times New Roman" w:hAnsi="Times New Roman" w:eastAsia="楷体" w:cs="Times New Roman"/>
          <w:color w:val="000000"/>
          <w:sz w:val="21"/>
        </w:rPr>
        <w:t xml:space="preserve"> 用于筛选均匀区域占比较高、纹理较弱的样本；</w:t>
      </w:r>
      <w:r>
        <w:rPr>
          <w:rStyle w:val="38"/>
          <w:rFonts w:ascii="Times New Roman" w:hAnsi="Times New Roman" w:eastAsia="楷体" w:cs="Times New Roman"/>
          <w:color w:val="000000"/>
          <w:sz w:val="21"/>
        </w:rPr>
        <w:t>structural_score</w:t>
      </w:r>
      <w:r>
        <w:rPr>
          <w:rFonts w:ascii="Times New Roman" w:hAnsi="Times New Roman" w:eastAsia="楷体" w:cs="Times New Roman"/>
          <w:color w:val="000000"/>
          <w:sz w:val="21"/>
        </w:rPr>
        <w:t xml:space="preserve"> 用于筛选边缘密度高且方向性较强的建筑、道路或岸线结构；</w:t>
      </w:r>
      <w:r>
        <w:rPr>
          <w:rStyle w:val="38"/>
          <w:rFonts w:ascii="Times New Roman" w:hAnsi="Times New Roman" w:eastAsia="楷体" w:cs="Times New Roman"/>
          <w:color w:val="000000"/>
          <w:sz w:val="21"/>
        </w:rPr>
        <w:t>texture_complex_score</w:t>
      </w:r>
      <w:r>
        <w:rPr>
          <w:rFonts w:ascii="Times New Roman" w:hAnsi="Times New Roman" w:eastAsia="楷体" w:cs="Times New Roman"/>
          <w:color w:val="000000"/>
          <w:sz w:val="21"/>
        </w:rPr>
        <w:t xml:space="preserve"> 用于筛选局部方差较高、梯度方向更复杂的山地、林地或复杂纹理区域。脚本依次选取 20 幅 homogeneous 样本、20 幅 structural 样本和 20 幅 texture 样本，并将其复制到对应类别文件夹，同时生成 </w:t>
      </w:r>
      <w:r>
        <w:rPr>
          <w:rStyle w:val="38"/>
          <w:rFonts w:ascii="Times New Roman" w:hAnsi="Times New Roman" w:eastAsia="楷体" w:cs="Times New Roman"/>
          <w:color w:val="000000"/>
          <w:sz w:val="21"/>
        </w:rPr>
        <w:t>all_scores.csv</w:t>
      </w:r>
      <w:r>
        <w:rPr>
          <w:rFonts w:ascii="Times New Roman" w:hAnsi="Times New Roman" w:eastAsia="楷体" w:cs="Times New Roman"/>
          <w:color w:val="000000"/>
          <w:sz w:val="21"/>
        </w:rPr>
        <w:t>、</w:t>
      </w:r>
      <w:r>
        <w:rPr>
          <w:rStyle w:val="38"/>
          <w:rFonts w:ascii="Times New Roman" w:hAnsi="Times New Roman" w:eastAsia="楷体" w:cs="Times New Roman"/>
          <w:color w:val="000000"/>
          <w:sz w:val="21"/>
        </w:rPr>
        <w:t>selected_60_scores.csv</w:t>
      </w:r>
      <w:r>
        <w:rPr>
          <w:rFonts w:ascii="Times New Roman" w:hAnsi="Times New Roman" w:eastAsia="楷体" w:cs="Times New Roman"/>
          <w:color w:val="000000"/>
          <w:sz w:val="21"/>
        </w:rPr>
        <w:t xml:space="preserve"> 和预览图。最终真实 SAR 分类测试集共 60 幅图像，其中三类场景各 20 幅，可用于分别统计和比较模型在 speckle 抑制、结构保持和复杂纹理恢复方面的表现。</w:t>
      </w:r>
    </w:p>
    <w:p w14:paraId="272F22DB">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412105" cy="1868170"/>
            <wp:effectExtent l="0" t="0" r="13335" b="6350"/>
            <wp:docPr id="18" name="图片 18" descr="three_types_noi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hree_types_noisy"/>
                    <pic:cNvPicPr>
                      <a:picLocks noChangeAspect="1"/>
                    </pic:cNvPicPr>
                  </pic:nvPicPr>
                  <pic:blipFill>
                    <a:blip r:embed="rId20"/>
                    <a:stretch>
                      <a:fillRect/>
                    </a:stretch>
                  </pic:blipFill>
                  <pic:spPr>
                    <a:xfrm>
                      <a:off x="0" y="0"/>
                      <a:ext cx="5412105" cy="1868170"/>
                    </a:xfrm>
                    <a:prstGeom prst="rect">
                      <a:avLst/>
                    </a:prstGeom>
                  </pic:spPr>
                </pic:pic>
              </a:graphicData>
            </a:graphic>
          </wp:inline>
        </w:drawing>
      </w:r>
    </w:p>
    <w:p w14:paraId="5945C373">
      <w:pPr>
        <w:pStyle w:val="12"/>
        <w:spacing w:before="60" w:after="60" w:line="240" w:lineRule="auto"/>
        <w:jc w:val="center"/>
      </w:pPr>
      <w:r>
        <w:rPr>
          <w:rFonts w:ascii="楷体" w:hAnsi="楷体" w:eastAsia="楷体" w:cs="楷体"/>
          <w:b w:val="0"/>
          <w:i w:val="0"/>
          <w:color w:val="000000"/>
          <w:sz w:val="18"/>
        </w:rPr>
        <w:t>图14 测试场景可视化示例图</w:t>
      </w:r>
    </w:p>
    <w:bookmarkEnd w:id="42"/>
    <w:p w14:paraId="0F59D90A">
      <w:pPr>
        <w:pStyle w:val="4"/>
        <w:spacing w:before="120" w:after="60" w:line="360" w:lineRule="auto"/>
        <w:ind w:firstLine="0"/>
        <w:jc w:val="left"/>
      </w:pPr>
      <w:bookmarkStart w:id="43" w:name="训练设置与测试流程"/>
      <w:r>
        <w:rPr>
          <w:rFonts w:ascii="Times New Roman" w:hAnsi="Times New Roman" w:eastAsia="黑体" w:cs="Times New Roman"/>
          <w:b/>
          <w:color w:val="000000"/>
          <w:sz w:val="24"/>
        </w:rPr>
        <w:t>3.4 训练设置与测试流程</w:t>
      </w:r>
    </w:p>
    <w:p w14:paraId="4F7B096B">
      <w:pPr>
        <w:pStyle w:val="5"/>
        <w:spacing w:before="120" w:after="60" w:line="360" w:lineRule="auto"/>
        <w:ind w:firstLine="0"/>
        <w:jc w:val="left"/>
      </w:pPr>
      <w:bookmarkStart w:id="44" w:name="实验流程设计"/>
      <w:r>
        <w:rPr>
          <w:rFonts w:ascii="Times New Roman" w:hAnsi="Times New Roman" w:eastAsia="黑体" w:cs="Times New Roman"/>
          <w:b/>
          <w:color w:val="000000"/>
          <w:sz w:val="21"/>
        </w:rPr>
        <w:t>3.4.1 实验流程设计</w:t>
      </w:r>
    </w:p>
    <w:p w14:paraId="4788B400">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本文实验按照“合成监督训练—外部场景测试—真实 SAR 自监督适应—真实 SAR 分类评价”的流程组织。主模型首先在 NWPU-RESISC45 合成 SAR 数据集上进行有监督训练，训练目标为从 noisy 图像恢复 clean 强度图像。随后，模型在 UCMerced_LandUse 三类典型场景上进行额外测试，用于观察模型在未参与主训练的数据来源上的泛化能力。完成合成阶段训练后，将 DFNG-SARNet 在真实 SAR 数据的训练子集上进行遮挡重建式自监督微调，得到最终实验版本 DFNG-SARNet+AMS。真实测试阶段不计算有参考指标，而是对整体 test 子集及分类后的 homogeneous、structural 和 texture 三类代表性样本分别统计 ENL、M 和 EPI。</w:t>
      </w:r>
    </w:p>
    <w:p w14:paraId="54F5C420">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473065" cy="2279015"/>
            <wp:effectExtent l="0" t="0" r="13335" b="6985"/>
            <wp:docPr id="14" name="图片 14" descr="图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15"/>
                    <pic:cNvPicPr>
                      <a:picLocks noChangeAspect="1"/>
                    </pic:cNvPicPr>
                  </pic:nvPicPr>
                  <pic:blipFill>
                    <a:blip r:embed="rId21"/>
                    <a:srcRect l="1980" t="12329" r="578" b="15582"/>
                    <a:stretch>
                      <a:fillRect/>
                    </a:stretch>
                  </pic:blipFill>
                  <pic:spPr>
                    <a:xfrm>
                      <a:off x="0" y="0"/>
                      <a:ext cx="5473065" cy="2279015"/>
                    </a:xfrm>
                    <a:prstGeom prst="rect">
                      <a:avLst/>
                    </a:prstGeom>
                  </pic:spPr>
                </pic:pic>
              </a:graphicData>
            </a:graphic>
          </wp:inline>
        </w:drawing>
      </w:r>
    </w:p>
    <w:p w14:paraId="115C5A31">
      <w:pPr>
        <w:pStyle w:val="12"/>
        <w:spacing w:before="60" w:after="60" w:line="240" w:lineRule="auto"/>
        <w:jc w:val="center"/>
      </w:pPr>
      <w:r>
        <w:rPr>
          <w:rFonts w:ascii="楷体" w:hAnsi="楷体" w:eastAsia="楷体" w:cs="楷体"/>
          <w:b w:val="0"/>
          <w:i w:val="0"/>
          <w:color w:val="000000"/>
          <w:sz w:val="18"/>
        </w:rPr>
        <w:t xml:space="preserve">图15 </w:t>
      </w:r>
      <w:r>
        <w:rPr>
          <w:rFonts w:hint="eastAsia" w:ascii="楷体" w:hAnsi="楷体" w:cs="楷体"/>
          <w:b w:val="0"/>
          <w:i w:val="0"/>
          <w:color w:val="000000"/>
          <w:sz w:val="18"/>
          <w:lang w:val="en-US" w:eastAsia="zh-CN"/>
        </w:rPr>
        <w:t xml:space="preserve"> </w:t>
      </w:r>
      <w:r>
        <w:rPr>
          <w:rFonts w:ascii="楷体" w:hAnsi="楷体" w:eastAsia="楷体" w:cs="楷体"/>
          <w:b w:val="0"/>
          <w:i w:val="0"/>
          <w:color w:val="000000"/>
          <w:sz w:val="18"/>
        </w:rPr>
        <w:t>实验流程与评价指标对应关系图</w:t>
      </w:r>
    </w:p>
    <w:bookmarkEnd w:id="44"/>
    <w:p w14:paraId="1E815208">
      <w:pPr>
        <w:pStyle w:val="5"/>
        <w:spacing w:before="120" w:after="60" w:line="360" w:lineRule="auto"/>
        <w:ind w:firstLine="0"/>
        <w:jc w:val="left"/>
      </w:pPr>
      <w:bookmarkStart w:id="45" w:name="nwpu-resisc45-合成-sar-训练与验证"/>
      <w:r>
        <w:rPr>
          <w:rFonts w:ascii="Times New Roman" w:hAnsi="Times New Roman" w:eastAsia="黑体" w:cs="Times New Roman"/>
          <w:b/>
          <w:color w:val="000000"/>
          <w:sz w:val="21"/>
        </w:rPr>
        <w:t>3.4.2 NWPU-RESISC45 合成 SAR 训练与验证</w:t>
      </w:r>
    </w:p>
    <w:p w14:paraId="7C4C76B7">
      <w:pPr>
        <w:spacing w:before="0" w:after="0" w:line="360" w:lineRule="auto"/>
        <w:ind w:firstLine="420"/>
        <w:jc w:val="both"/>
      </w:pPr>
      <w:r>
        <w:rPr>
          <w:rFonts w:ascii="Times New Roman" w:hAnsi="Times New Roman" w:eastAsia="楷体" w:cs="Times New Roman"/>
          <w:color w:val="000000"/>
          <w:sz w:val="21"/>
        </w:rPr>
        <w:t xml:space="preserve">NWPU-RESISC45 是本文主模型训练所使用的核心合成数据来源。原始数据共 31500 幅图像，覆盖 45 个遥感场景。本文按照 </w:t>
      </w:r>
      <w:r>
        <w:rPr>
          <w:rStyle w:val="38"/>
          <w:rFonts w:ascii="Times New Roman" w:hAnsi="Times New Roman" w:eastAsia="楷体" w:cs="Times New Roman"/>
          <w:color w:val="000000"/>
          <w:sz w:val="21"/>
        </w:rPr>
        <w:t>train:val=8:2</w:t>
      </w:r>
      <w:r>
        <w:rPr>
          <w:rFonts w:ascii="Times New Roman" w:hAnsi="Times New Roman" w:eastAsia="楷体" w:cs="Times New Roman"/>
          <w:color w:val="000000"/>
          <w:sz w:val="21"/>
        </w:rPr>
        <w:t xml:space="preserve"> 划分训练集和验证集，并对两个子集分别执行相同的 SAR 噪声合成流程，生成包含 </w:t>
      </w:r>
      <w:r>
        <w:rPr>
          <w:rStyle w:val="38"/>
          <w:rFonts w:ascii="Times New Roman" w:hAnsi="Times New Roman" w:eastAsia="楷体" w:cs="Times New Roman"/>
          <w:color w:val="000000"/>
          <w:sz w:val="21"/>
        </w:rPr>
        <w:t>clean</w:t>
      </w:r>
      <w:r>
        <w:rPr>
          <w:rFonts w:ascii="Times New Roman" w:hAnsi="Times New Roman" w:eastAsia="楷体" w:cs="Times New Roman"/>
          <w:color w:val="000000"/>
          <w:sz w:val="21"/>
        </w:rPr>
        <w:t xml:space="preserve"> 和 </w:t>
      </w:r>
      <w:r>
        <w:rPr>
          <w:rStyle w:val="38"/>
          <w:rFonts w:ascii="Times New Roman" w:hAnsi="Times New Roman" w:eastAsia="楷体" w:cs="Times New Roman"/>
          <w:color w:val="000000"/>
          <w:sz w:val="21"/>
        </w:rPr>
        <w:t>noisy</w:t>
      </w:r>
      <w:r>
        <w:rPr>
          <w:rFonts w:ascii="Times New Roman" w:hAnsi="Times New Roman" w:eastAsia="楷体" w:cs="Times New Roman"/>
          <w:color w:val="000000"/>
          <w:sz w:val="21"/>
        </w:rPr>
        <w:t xml:space="preserve"> 字段的 </w:t>
      </w:r>
      <w:r>
        <w:rPr>
          <w:rStyle w:val="38"/>
          <w:rFonts w:ascii="Times New Roman" w:hAnsi="Times New Roman" w:eastAsia="楷体" w:cs="Times New Roman"/>
          <w:color w:val="000000"/>
          <w:sz w:val="21"/>
        </w:rPr>
        <w:t>.mat</w:t>
      </w:r>
      <w:r>
        <w:rPr>
          <w:rFonts w:ascii="Times New Roman" w:hAnsi="Times New Roman" w:eastAsia="楷体" w:cs="Times New Roman"/>
          <w:color w:val="000000"/>
          <w:sz w:val="21"/>
        </w:rPr>
        <w:t xml:space="preserve"> 文件。</w:t>
      </w:r>
    </w:p>
    <w:p w14:paraId="300DDA6E">
      <w:pPr>
        <w:spacing w:before="0" w:after="0" w:line="360" w:lineRule="auto"/>
        <w:ind w:firstLine="420"/>
        <w:jc w:val="both"/>
      </w:pPr>
      <w:r>
        <w:rPr>
          <w:rFonts w:ascii="Times New Roman" w:hAnsi="Times New Roman" w:eastAsia="楷体" w:cs="Times New Roman"/>
          <w:color w:val="000000"/>
          <w:sz w:val="21"/>
        </w:rPr>
        <w:t xml:space="preserve">训练阶段输入为 </w:t>
      </w:r>
      <w:r>
        <w:rPr>
          <w:rStyle w:val="38"/>
          <w:rFonts w:ascii="Times New Roman" w:hAnsi="Times New Roman" w:eastAsia="楷体" w:cs="Times New Roman"/>
          <w:color w:val="000000"/>
          <w:sz w:val="21"/>
        </w:rPr>
        <w:t>noisy</w:t>
      </w:r>
      <w:r>
        <w:rPr>
          <w:rFonts w:ascii="Times New Roman" w:hAnsi="Times New Roman" w:eastAsia="楷体" w:cs="Times New Roman"/>
          <w:color w:val="000000"/>
          <w:sz w:val="21"/>
        </w:rPr>
        <w:t xml:space="preserve">，监督标签为对应的 </w:t>
      </w:r>
      <w:r>
        <w:rPr>
          <w:rStyle w:val="38"/>
          <w:rFonts w:ascii="Times New Roman" w:hAnsi="Times New Roman" w:eastAsia="楷体" w:cs="Times New Roman"/>
          <w:color w:val="000000"/>
          <w:sz w:val="21"/>
        </w:rPr>
        <w:t>clean</w:t>
      </w:r>
      <w:r>
        <w:rPr>
          <w:rFonts w:ascii="Times New Roman" w:hAnsi="Times New Roman" w:eastAsia="楷体" w:cs="Times New Roman"/>
          <w:color w:val="000000"/>
          <w:sz w:val="21"/>
        </w:rPr>
        <w:t>。由于合成数据具有成对参考图像，因此验证阶段采用 PSNR 和 SSIM 作为主要定量指标。PSNR 反映像素级重建误差，SSIM 反映亮度、对比度和结构相似性。二者越高，说明去噪结果与 clean reference 越接近。</w:t>
      </w:r>
    </w:p>
    <w:p w14:paraId="19A8DEC1">
      <w:pPr>
        <w:spacing w:before="0" w:after="0" w:line="360" w:lineRule="auto"/>
        <w:ind w:firstLine="420"/>
        <w:jc w:val="both"/>
      </w:pPr>
      <w:r>
        <w:rPr>
          <w:rFonts w:ascii="Times New Roman" w:hAnsi="Times New Roman" w:eastAsia="楷体" w:cs="Times New Roman"/>
          <w:color w:val="000000"/>
          <w:sz w:val="21"/>
        </w:rPr>
        <w:t>PSNR 定义为：</w:t>
      </w:r>
    </w:p>
    <w:p w14:paraId="38FCC9EF">
      <w:pPr>
        <w:tabs>
          <w:tab w:val="center" w:pos="4155"/>
          <w:tab w:val="right" w:pos="8310"/>
        </w:tabs>
        <w:spacing w:before="120" w:after="120" w:line="360" w:lineRule="auto"/>
        <w:jc w:val="left"/>
      </w:pPr>
      <w:r>
        <w:tab/>
      </w:r>
      <m:oMath>
        <m:r>
          <m:rPr>
            <m:sty m:val="p"/>
          </m:rPr>
          <m:t>PSNR=</m:t>
        </m:r>
        <m:r>
          <m:rPr/>
          <m:t>10</m:t>
        </m:r>
        <m:sSub>
          <m:sSubPr/>
          <m:e>
            <m:r>
              <m:rPr>
                <m:sty m:val="p"/>
              </m:rPr>
              <m:t>log</m:t>
            </m:r>
          </m:e>
          <m:sub>
            <m:r>
              <m:rPr/>
              <m:t>10</m:t>
            </m:r>
          </m:sub>
        </m:sSub>
        <m:d>
          <m:dPr>
            <m:sepChr m:val=""/>
          </m:dPr>
          <m:e>
            <m:f>
              <m:fPr/>
              <m:num>
                <m:sSup>
                  <m:sSupPr/>
                  <m:e>
                    <m:r>
                      <m:rPr>
                        <m:sty m:val="p"/>
                      </m:rPr>
                      <m:t>MAX</m:t>
                    </m:r>
                  </m:e>
                  <m:sup>
                    <m:r>
                      <m:rPr/>
                      <m:t>2</m:t>
                    </m:r>
                  </m:sup>
                </m:sSup>
              </m:num>
              <m:den>
                <m:r>
                  <m:rPr>
                    <m:sty m:val="p"/>
                  </m:rPr>
                  <m:t>MSE</m:t>
                </m:r>
              </m:den>
            </m:f>
          </m:e>
        </m:d>
      </m:oMath>
      <w:r>
        <w:rPr>
          <w:rFonts w:ascii="Times New Roman" w:hAnsi="Times New Roman" w:eastAsia="宋体"/>
          <w:sz w:val="21"/>
          <w:szCs w:val="21"/>
        </w:rPr>
        <w:tab/>
      </w:r>
      <w:r>
        <w:rPr>
          <w:rFonts w:ascii="Times New Roman" w:hAnsi="Times New Roman" w:eastAsia="宋体"/>
          <w:sz w:val="21"/>
          <w:szCs w:val="21"/>
        </w:rPr>
        <w:t>（32）</w:t>
      </w:r>
    </w:p>
    <w:p w14:paraId="2CDCFBD1">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MAX</w:t>
      </w:r>
      <w:r>
        <w:rPr>
          <w:rFonts w:ascii="Times New Roman" w:hAnsi="Times New Roman" w:eastAsia="楷体" w:cs="Times New Roman"/>
          <w:color w:val="000000"/>
          <w:sz w:val="21"/>
        </w:rPr>
        <w:t xml:space="preserve"> 表示图像最大可能强度值，归一化图像中通常取 1。SSIM 用于衡量图像结构一致性，能够补充 PSNR 对边缘和纹理结构不敏感的问题。</w:t>
      </w:r>
    </w:p>
    <w:bookmarkEnd w:id="45"/>
    <w:p w14:paraId="1B40D2EC">
      <w:pPr>
        <w:pStyle w:val="5"/>
        <w:spacing w:before="120" w:after="60" w:line="360" w:lineRule="auto"/>
        <w:ind w:firstLine="0"/>
        <w:jc w:val="left"/>
      </w:pPr>
      <w:bookmarkStart w:id="46" w:name="ucmerced_landuse-三类典型场景测试"/>
      <w:r>
        <w:rPr>
          <w:rFonts w:ascii="Times New Roman" w:hAnsi="Times New Roman" w:eastAsia="黑体" w:cs="Times New Roman"/>
          <w:b/>
          <w:color w:val="000000"/>
          <w:sz w:val="21"/>
        </w:rPr>
        <w:t>3.4.3 UCMerced_LandUse 三类典型场景测试</w:t>
      </w:r>
    </w:p>
    <w:p w14:paraId="3D8030E4">
      <w:pPr>
        <w:spacing w:before="0" w:after="0" w:line="360" w:lineRule="auto"/>
        <w:ind w:firstLine="420"/>
        <w:jc w:val="both"/>
      </w:pPr>
      <w:r>
        <w:rPr>
          <w:rFonts w:ascii="Times New Roman" w:hAnsi="Times New Roman" w:eastAsia="楷体" w:cs="Times New Roman"/>
          <w:color w:val="000000"/>
          <w:sz w:val="21"/>
        </w:rPr>
        <w:t>UCMerced_LandUse 包含 21 类遥感场景，每类 100 张图像。本文从中选取 agricultural、buildings 和 residential 三类典型场景作为额外合成测试集。选择这三类场景的原因在于其地物结构差异明显：agricultural 场景包含较大面积相对平缓区域，适合观察模型对均匀区域 speckle 的抑制能力；buildings 场景包含大量规则边缘和强结构响应，适合评价模型的边缘保持能力；residential 场景兼具密集纹理、建筑边界和局部强散射结构，适合分析模型在复杂城市场景中的综合恢复能力。</w:t>
      </w:r>
    </w:p>
    <w:p w14:paraId="76851134">
      <w:pPr>
        <w:spacing w:before="0" w:after="0" w:line="360" w:lineRule="auto"/>
        <w:ind w:firstLine="420"/>
        <w:jc w:val="both"/>
      </w:pPr>
      <w:r>
        <w:rPr>
          <w:rFonts w:ascii="Times New Roman" w:hAnsi="Times New Roman" w:eastAsia="楷体" w:cs="Times New Roman"/>
          <w:color w:val="000000"/>
          <w:sz w:val="21"/>
        </w:rPr>
        <w:t xml:space="preserve">测试阶段对三类场景中的全部样本分别生成合成 SAR </w:t>
      </w:r>
      <w:r>
        <w:rPr>
          <w:rStyle w:val="38"/>
          <w:rFonts w:ascii="Times New Roman" w:hAnsi="Times New Roman" w:eastAsia="楷体" w:cs="Times New Roman"/>
          <w:color w:val="000000"/>
          <w:sz w:val="21"/>
        </w:rPr>
        <w:t>.mat</w:t>
      </w:r>
      <w:r>
        <w:rPr>
          <w:rFonts w:ascii="Times New Roman" w:hAnsi="Times New Roman" w:eastAsia="楷体" w:cs="Times New Roman"/>
          <w:color w:val="000000"/>
          <w:sz w:val="21"/>
        </w:rPr>
        <w:t xml:space="preserve"> 数据，并将去噪结果保存到对应场景目录。定量结果按 agricultural、buildings、residential 三类分别统计平均 PSNR 和 SSIM，同时给出三类场景的总体平均值。该设计能够补充 NWPU-RESISC45 验证集的整体平均指标，使报告中的实验部分同时包含总体性能评价和典型场景泛化分析。</w:t>
      </w:r>
    </w:p>
    <w:p w14:paraId="640AC2B7">
      <w:pPr>
        <w:spacing w:before="0" w:after="0" w:line="360" w:lineRule="auto"/>
        <w:ind w:firstLine="420"/>
        <w:jc w:val="both"/>
      </w:pPr>
      <w:r>
        <w:rPr>
          <w:rFonts w:ascii="Times New Roman" w:hAnsi="Times New Roman" w:eastAsia="楷体" w:cs="Times New Roman"/>
          <w:color w:val="000000"/>
          <w:sz w:val="21"/>
        </w:rPr>
        <w:t>UCMerced_LandUse 不作为主训练集，而作为外部合成测试集。本文选取 agricultural、buildings 和 residential 三类场景，并对每类全部样本进行 SAR 噪声合成和去噪测试。测试结果按类别分别保存，并分别计算每个场景的平均 PSNR 和 SSIM，同时统计三类场景的总体平均结果。</w:t>
      </w:r>
    </w:p>
    <w:p w14:paraId="1C72B5CB">
      <w:pPr>
        <w:spacing w:before="0" w:after="0" w:line="360" w:lineRule="auto"/>
        <w:ind w:firstLine="420"/>
        <w:jc w:val="both"/>
      </w:pPr>
      <w:r>
        <w:rPr>
          <w:rFonts w:ascii="Times New Roman" w:hAnsi="Times New Roman" w:eastAsia="楷体" w:cs="Times New Roman"/>
          <w:color w:val="000000"/>
          <w:sz w:val="21"/>
        </w:rPr>
        <w:t>该实验用于回答两个问题：其一，模型是否能够从 NWPU-RESISC45 学到对不同遥感场景具有泛化性的 SAR 去噪映射；其二，不同地物结构对模型恢复性能是否存在明显影响。若 agricultural 场景 PSNR/SSIM 较高，通常说明模型对大面积平滑区域具有较稳定的噪声抑制能力；若 buildings 和 residential 场景指标相对下降，则需结合可视化结果分析是否存在边缘模糊、纹理过平滑或强散射点损失。</w:t>
      </w:r>
    </w:p>
    <w:bookmarkEnd w:id="46"/>
    <w:p w14:paraId="3F279942">
      <w:pPr>
        <w:pStyle w:val="5"/>
        <w:spacing w:before="120" w:after="60" w:line="360" w:lineRule="auto"/>
        <w:ind w:firstLine="0"/>
        <w:jc w:val="left"/>
      </w:pPr>
      <w:bookmarkStart w:id="47" w:name="真实-sar-自监督微调与测试"/>
      <w:r>
        <w:rPr>
          <w:rFonts w:ascii="Times New Roman" w:hAnsi="Times New Roman" w:eastAsia="黑体" w:cs="Times New Roman"/>
          <w:b/>
          <w:color w:val="000000"/>
          <w:sz w:val="21"/>
        </w:rPr>
        <w:t>3.4.4 真实 SAR 自监督微调与测试</w:t>
      </w:r>
    </w:p>
    <w:p w14:paraId="61F5C8E1">
      <w:pPr>
        <w:spacing w:before="0" w:after="0" w:line="360" w:lineRule="auto"/>
        <w:ind w:firstLine="420"/>
        <w:jc w:val="both"/>
      </w:pPr>
      <w:r>
        <w:rPr>
          <w:rFonts w:ascii="Times New Roman" w:hAnsi="Times New Roman" w:eastAsia="楷体" w:cs="Times New Roman"/>
          <w:color w:val="000000"/>
          <w:sz w:val="21"/>
        </w:rPr>
        <w:t xml:space="preserve">真实 SAR 数据采用 </w:t>
      </w:r>
      <w:r>
        <w:rPr>
          <w:rStyle w:val="38"/>
          <w:rFonts w:ascii="Times New Roman" w:hAnsi="Times New Roman" w:eastAsia="楷体" w:cs="Times New Roman"/>
          <w:color w:val="000000"/>
          <w:sz w:val="21"/>
        </w:rPr>
        <w:t>Labeled dataset for despeckling SAR imagery</w:t>
      </w:r>
      <w:r>
        <w:rPr>
          <w:rFonts w:ascii="Times New Roman" w:hAnsi="Times New Roman" w:eastAsia="楷体" w:cs="Times New Roman"/>
          <w:color w:val="000000"/>
          <w:sz w:val="21"/>
        </w:rPr>
        <w:t xml:space="preserve">，共 5876 幅图像。本文按照 </w:t>
      </w:r>
      <w:r>
        <w:rPr>
          <w:rStyle w:val="38"/>
          <w:rFonts w:ascii="Times New Roman" w:hAnsi="Times New Roman" w:eastAsia="楷体" w:cs="Times New Roman"/>
          <w:color w:val="000000"/>
          <w:sz w:val="21"/>
        </w:rPr>
        <w:t>train:val:test=8:1:1</w:t>
      </w:r>
      <w:r>
        <w:rPr>
          <w:rFonts w:ascii="Times New Roman" w:hAnsi="Times New Roman" w:eastAsia="楷体" w:cs="Times New Roman"/>
          <w:color w:val="000000"/>
          <w:sz w:val="21"/>
        </w:rPr>
        <w:t xml:space="preserve"> 划分数据。训练子集用于 </w:t>
      </w:r>
      <w:r>
        <w:rPr>
          <w:rStyle w:val="38"/>
          <w:rFonts w:ascii="Times New Roman" w:hAnsi="Times New Roman" w:eastAsia="楷体" w:cs="Times New Roman"/>
          <w:color w:val="000000"/>
          <w:sz w:val="21"/>
        </w:rPr>
        <w:t>AMS</w:t>
      </w:r>
      <w:r>
        <w:rPr>
          <w:rFonts w:ascii="Times New Roman" w:hAnsi="Times New Roman" w:eastAsia="楷体" w:cs="Times New Roman"/>
          <w:color w:val="000000"/>
          <w:sz w:val="21"/>
        </w:rPr>
        <w:t xml:space="preserve"> 遮挡重建式自监督微调，验证子集用于监控自监督训练是否造成模型输出退化，测试子集用于最终无参考评价。</w:t>
      </w:r>
    </w:p>
    <w:p w14:paraId="22B85F68">
      <w:pPr>
        <w:spacing w:before="0" w:after="0" w:line="360" w:lineRule="auto"/>
        <w:ind w:firstLine="420"/>
        <w:jc w:val="both"/>
      </w:pPr>
      <w:r>
        <w:rPr>
          <w:rFonts w:ascii="Times New Roman" w:hAnsi="Times New Roman" w:eastAsia="楷体" w:cs="Times New Roman"/>
          <w:color w:val="000000"/>
          <w:sz w:val="21"/>
        </w:rPr>
        <w:t>真实 SAR 图像缺少无噪声参考图像，因此本文不在真实测试中报告 PSNR 和 SSIM，而采用 ENL、M 和 EPI 作为主要评价指标。测试分为两个层次：一是对真实 SAR test 子集或其代表性 all 文件夹进行整体平均统计；二是对分类后的 homogeneous、structural 和 texture 三类场景分别统计指标，以分析模型在不同真实 SAR 地物条件下的表现差异。</w:t>
      </w:r>
    </w:p>
    <w:bookmarkEnd w:id="43"/>
    <w:bookmarkEnd w:id="47"/>
    <w:p w14:paraId="3DA21DF8">
      <w:pPr>
        <w:pStyle w:val="4"/>
        <w:spacing w:before="120" w:after="60" w:line="360" w:lineRule="auto"/>
        <w:ind w:firstLine="0"/>
        <w:jc w:val="left"/>
      </w:pPr>
      <w:bookmarkStart w:id="48" w:name="评价指标"/>
      <w:r>
        <w:rPr>
          <w:rFonts w:ascii="Times New Roman" w:hAnsi="Times New Roman" w:eastAsia="黑体" w:cs="Times New Roman"/>
          <w:b/>
          <w:color w:val="000000"/>
          <w:sz w:val="24"/>
        </w:rPr>
        <w:t>3.5 评价指标</w:t>
      </w:r>
    </w:p>
    <w:p w14:paraId="04944A75">
      <w:pPr>
        <w:pStyle w:val="5"/>
        <w:spacing w:before="120" w:after="60" w:line="360" w:lineRule="auto"/>
        <w:ind w:firstLine="0"/>
        <w:jc w:val="left"/>
      </w:pPr>
      <w:bookmarkStart w:id="49" w:name="enl-指标"/>
      <w:r>
        <w:rPr>
          <w:rFonts w:ascii="Times New Roman" w:hAnsi="Times New Roman" w:eastAsia="黑体" w:cs="Times New Roman"/>
          <w:b/>
          <w:color w:val="000000"/>
          <w:sz w:val="21"/>
        </w:rPr>
        <w:t>3.5.1 ENL 指标</w:t>
      </w:r>
    </w:p>
    <w:p w14:paraId="75678A46">
      <w:pPr>
        <w:spacing w:before="0" w:after="0" w:line="360" w:lineRule="auto"/>
        <w:ind w:firstLine="420"/>
        <w:jc w:val="both"/>
      </w:pPr>
      <w:r>
        <w:rPr>
          <w:rFonts w:ascii="Times New Roman" w:hAnsi="Times New Roman" w:eastAsia="楷体" w:cs="Times New Roman"/>
          <w:color w:val="000000"/>
          <w:sz w:val="21"/>
        </w:rPr>
        <w:t>ENL（Equivalent Number of Looks）用于衡量均匀区域内 speckle 噪声抑制程度，定义为：</w:t>
      </w:r>
    </w:p>
    <w:p w14:paraId="1ED674EE">
      <w:pPr>
        <w:tabs>
          <w:tab w:val="center" w:pos="4155"/>
          <w:tab w:val="right" w:pos="8310"/>
        </w:tabs>
        <w:spacing w:before="120" w:after="120" w:line="360" w:lineRule="auto"/>
        <w:jc w:val="left"/>
      </w:pPr>
      <w:r>
        <w:tab/>
      </w:r>
      <m:oMath>
        <m:r>
          <m:rPr>
            <m:sty m:val="p"/>
          </m:rPr>
          <m:t>ENL=</m:t>
        </m:r>
        <m:f>
          <m:fPr/>
          <m:num>
            <m:sSup>
              <m:sSupPr/>
              <m:e>
                <m:r>
                  <m:rPr/>
                  <m:t>μ</m:t>
                </m:r>
              </m:e>
              <m:sup>
                <m:r>
                  <m:rPr/>
                  <m:t>2</m:t>
                </m:r>
              </m:sup>
            </m:sSup>
          </m:num>
          <m:den>
            <m:sSup>
              <m:sSupPr/>
              <m:e>
                <m:r>
                  <m:rPr/>
                  <m:t>σ</m:t>
                </m:r>
              </m:e>
              <m:sup>
                <m:r>
                  <m:rPr/>
                  <m:t>2</m:t>
                </m:r>
              </m:sup>
            </m:sSup>
          </m:den>
        </m:f>
      </m:oMath>
      <w:r>
        <w:rPr>
          <w:rFonts w:ascii="Times New Roman" w:hAnsi="Times New Roman" w:eastAsia="宋体"/>
          <w:sz w:val="21"/>
          <w:szCs w:val="21"/>
        </w:rPr>
        <w:tab/>
      </w:r>
      <w:r>
        <w:rPr>
          <w:rFonts w:ascii="Times New Roman" w:hAnsi="Times New Roman" w:eastAsia="宋体"/>
          <w:sz w:val="21"/>
          <w:szCs w:val="21"/>
        </w:rPr>
        <w:t>（33）</w:t>
      </w:r>
    </w:p>
    <w:p w14:paraId="2954E9F3">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μ</w:t>
      </w:r>
      <w:r>
        <w:rPr>
          <w:rFonts w:ascii="Times New Roman" w:hAnsi="Times New Roman" w:eastAsia="楷体" w:cs="Times New Roman"/>
          <w:color w:val="000000"/>
          <w:sz w:val="21"/>
        </w:rPr>
        <w:t xml:space="preserve"> 和 </w:t>
      </w:r>
      <w:r>
        <w:rPr>
          <w:rStyle w:val="38"/>
          <w:rFonts w:ascii="Times New Roman" w:hAnsi="Times New Roman" w:eastAsia="楷体" w:cs="Times New Roman"/>
          <w:color w:val="000000"/>
          <w:sz w:val="21"/>
        </w:rPr>
        <w:t>σ²</w:t>
      </w:r>
      <w:r>
        <w:rPr>
          <w:rFonts w:ascii="Times New Roman" w:hAnsi="Times New Roman" w:eastAsia="楷体" w:cs="Times New Roman"/>
          <w:color w:val="000000"/>
          <w:sz w:val="21"/>
        </w:rPr>
        <w:t xml:space="preserve"> 分别表示均匀区域的均值和方差。ENL 越高，说明区域内部越平滑，speckle 抑制越充分。但 ENL 不能单独评价模型性能，因为过高的 ENL 可能由过度平滑造成。因此，ENL 需要与 EPI、M 指标和可视化结果共同分析。</w:t>
      </w:r>
    </w:p>
    <w:bookmarkEnd w:id="49"/>
    <w:p w14:paraId="46ABC161">
      <w:pPr>
        <w:pStyle w:val="5"/>
        <w:spacing w:before="120" w:after="60" w:line="360" w:lineRule="auto"/>
        <w:ind w:firstLine="0"/>
        <w:jc w:val="left"/>
      </w:pPr>
      <w:bookmarkStart w:id="50" w:name="m-指标"/>
      <w:r>
        <w:rPr>
          <w:rFonts w:ascii="Times New Roman" w:hAnsi="Times New Roman" w:eastAsia="黑体" w:cs="Times New Roman"/>
          <w:b/>
          <w:color w:val="000000"/>
          <w:sz w:val="21"/>
        </w:rPr>
        <w:t>3.5.2 M 指标</w:t>
      </w:r>
    </w:p>
    <w:p w14:paraId="7E1DD657">
      <w:pPr>
        <w:spacing w:before="0" w:after="0" w:line="360" w:lineRule="auto"/>
        <w:ind w:firstLine="420"/>
        <w:jc w:val="both"/>
      </w:pPr>
      <w:r>
        <w:rPr>
          <w:rFonts w:ascii="Times New Roman" w:hAnsi="Times New Roman" w:eastAsia="楷体" w:cs="Times New Roman"/>
          <w:color w:val="000000"/>
          <w:sz w:val="21"/>
        </w:rPr>
        <w:t xml:space="preserve">本文采用论文定义的 M 指标评价去噪后比值图中的残留结构。给定原始含噪 SAR 图 </w:t>
      </w:r>
      <w:r>
        <w:rPr>
          <w:rStyle w:val="38"/>
          <w:rFonts w:ascii="Times New Roman" w:hAnsi="Times New Roman" w:eastAsia="楷体" w:cs="Times New Roman"/>
          <w:color w:val="000000"/>
          <w:sz w:val="21"/>
        </w:rPr>
        <w:t>Z</w:t>
      </w:r>
      <w:r>
        <w:rPr>
          <w:rFonts w:ascii="Times New Roman" w:hAnsi="Times New Roman" w:eastAsia="楷体" w:cs="Times New Roman"/>
          <w:color w:val="000000"/>
          <w:sz w:val="21"/>
        </w:rPr>
        <w:t xml:space="preserve"> 和去噪图 </w:t>
      </w:r>
      <w:r>
        <w:rPr>
          <w:rStyle w:val="38"/>
          <w:rFonts w:ascii="Times New Roman" w:hAnsi="Times New Roman" w:eastAsia="楷体" w:cs="Times New Roman"/>
          <w:color w:val="000000"/>
          <w:sz w:val="21"/>
        </w:rPr>
        <w:t>X_hat</w:t>
      </w:r>
      <w:r>
        <w:rPr>
          <w:rFonts w:ascii="Times New Roman" w:hAnsi="Times New Roman" w:eastAsia="楷体" w:cs="Times New Roman"/>
          <w:color w:val="000000"/>
          <w:sz w:val="21"/>
        </w:rPr>
        <w:t>，首先构造比值图：</w:t>
      </w:r>
    </w:p>
    <w:p w14:paraId="45A57162">
      <w:pPr>
        <w:tabs>
          <w:tab w:val="center" w:pos="4155"/>
          <w:tab w:val="right" w:pos="8310"/>
        </w:tabs>
        <w:spacing w:before="120" w:after="120" w:line="360" w:lineRule="auto"/>
        <w:jc w:val="left"/>
      </w:pPr>
      <w:r>
        <w:tab/>
      </w:r>
      <m:oMath>
        <m:r>
          <m:rPr/>
          <m:t>I</m:t>
        </m:r>
        <m:r>
          <m:rPr>
            <m:sty m:val="p"/>
          </m:rPr>
          <m:t>=</m:t>
        </m:r>
        <m:f>
          <m:fPr/>
          <m:num>
            <m:r>
              <m:rPr/>
              <m:t>Z</m:t>
            </m:r>
          </m:num>
          <m:den>
            <m:acc>
              <m:accPr/>
              <m:e>
                <m:r>
                  <m:rPr/>
                  <m:t>X</m:t>
                </m:r>
              </m:e>
            </m:acc>
          </m:den>
        </m:f>
      </m:oMath>
      <w:r>
        <w:rPr>
          <w:rFonts w:ascii="Times New Roman" w:hAnsi="Times New Roman" w:eastAsia="宋体"/>
          <w:sz w:val="21"/>
          <w:szCs w:val="21"/>
        </w:rPr>
        <w:tab/>
      </w:r>
      <w:r>
        <w:rPr>
          <w:rFonts w:ascii="Times New Roman" w:hAnsi="Times New Roman" w:eastAsia="宋体"/>
          <w:sz w:val="21"/>
          <w:szCs w:val="21"/>
        </w:rPr>
        <w:t>（34）</w:t>
      </w:r>
    </w:p>
    <w:p w14:paraId="635991F2">
      <w:pPr>
        <w:spacing w:before="0" w:after="0" w:line="360" w:lineRule="auto"/>
        <w:ind w:firstLine="420"/>
        <w:jc w:val="both"/>
      </w:pPr>
      <w:r>
        <w:rPr>
          <w:rFonts w:ascii="Times New Roman" w:hAnsi="Times New Roman" w:eastAsia="楷体" w:cs="Times New Roman"/>
          <w:color w:val="000000"/>
          <w:sz w:val="21"/>
        </w:rPr>
        <w:t>理想情况下，若模型仅去除了 speckle 噪声而没有破坏真实结构，则比值图中应主要保留噪声成分，而不应残留明显几何结构。M 指标由一阶统计残差项和二阶结构残差项组成：</w:t>
      </w:r>
    </w:p>
    <w:p w14:paraId="4D19027A">
      <w:pPr>
        <w:tabs>
          <w:tab w:val="center" w:pos="4155"/>
          <w:tab w:val="right" w:pos="8310"/>
        </w:tabs>
        <w:spacing w:before="120" w:after="120" w:line="360" w:lineRule="auto"/>
        <w:jc w:val="left"/>
      </w:pPr>
      <w:r>
        <w:tab/>
      </w:r>
      <m:oMath>
        <m:r>
          <m:rPr/>
          <m:t>M</m:t>
        </m:r>
        <m:r>
          <m:rPr>
            <m:sty m:val="p"/>
          </m:rPr>
          <m:t>=</m:t>
        </m:r>
        <m:sSub>
          <m:sSubPr/>
          <m:e>
            <m:r>
              <m:rPr/>
              <m:t>r</m:t>
            </m:r>
          </m:e>
          <m:sub>
            <m:r>
              <m:rPr>
                <m:sty m:val="p"/>
              </m:rPr>
              <m:t>ENL,</m:t>
            </m:r>
            <m:r>
              <m:rPr/>
              <m:t>μ</m:t>
            </m:r>
          </m:sub>
        </m:sSub>
        <m:r>
          <m:rPr>
            <m:sty m:val="p"/>
          </m:rPr>
          <m:t>+</m:t>
        </m:r>
        <m:sSub>
          <m:sSubPr/>
          <m:e>
            <m:r>
              <m:rPr/>
              <m:t>δ</m:t>
            </m:r>
          </m:e>
          <m:sub>
            <m:r>
              <m:rPr/>
              <m:t>h</m:t>
            </m:r>
          </m:sub>
        </m:sSub>
      </m:oMath>
      <w:r>
        <w:rPr>
          <w:rFonts w:ascii="Times New Roman" w:hAnsi="Times New Roman" w:eastAsia="宋体"/>
          <w:sz w:val="21"/>
          <w:szCs w:val="21"/>
        </w:rPr>
        <w:tab/>
      </w:r>
      <w:r>
        <w:rPr>
          <w:rFonts w:ascii="Times New Roman" w:hAnsi="Times New Roman" w:eastAsia="宋体"/>
          <w:sz w:val="21"/>
          <w:szCs w:val="21"/>
        </w:rPr>
        <w:t>（35）</w:t>
      </w:r>
    </w:p>
    <w:p w14:paraId="757E552A">
      <w:pPr>
        <w:spacing w:before="0" w:after="0" w:line="360" w:lineRule="auto"/>
        <w:ind w:firstLine="420"/>
        <w:jc w:val="both"/>
      </w:pPr>
      <w:r>
        <w:rPr>
          <w:rFonts w:ascii="Times New Roman" w:hAnsi="Times New Roman" w:eastAsia="楷体" w:cs="Times New Roman"/>
          <w:color w:val="000000"/>
          <w:sz w:val="21"/>
        </w:rPr>
        <w:t>其中，</w:t>
      </w:r>
      <w:r>
        <w:rPr>
          <w:rStyle w:val="38"/>
          <w:rFonts w:ascii="Times New Roman" w:hAnsi="Times New Roman" w:eastAsia="楷体" w:cs="Times New Roman"/>
          <w:color w:val="000000"/>
          <w:sz w:val="21"/>
        </w:rPr>
        <w:t>r_ENL,μ</w:t>
      </w:r>
      <w:r>
        <w:rPr>
          <w:rFonts w:ascii="Times New Roman" w:hAnsi="Times New Roman" w:eastAsia="楷体" w:cs="Times New Roman"/>
          <w:color w:val="000000"/>
          <w:sz w:val="21"/>
        </w:rPr>
        <w:t xml:space="preserve"> 用于衡量比值图局部均值是否接近 1 以及局部 ENL 是否与原始图像对应区域一致；</w:t>
      </w:r>
      <w:r>
        <w:rPr>
          <w:rStyle w:val="38"/>
          <w:rFonts w:ascii="Times New Roman" w:hAnsi="Times New Roman" w:eastAsia="楷体" w:cs="Times New Roman"/>
          <w:color w:val="000000"/>
          <w:sz w:val="21"/>
        </w:rPr>
        <w:t>δ_h</w:t>
      </w:r>
      <w:r>
        <w:rPr>
          <w:rFonts w:ascii="Times New Roman" w:hAnsi="Times New Roman" w:eastAsia="楷体" w:cs="Times New Roman"/>
          <w:color w:val="000000"/>
          <w:sz w:val="21"/>
        </w:rPr>
        <w:t xml:space="preserve"> 基于 Haralick homogeneity 衡量比值图中是否残留结构信息。M 越小，说明去噪结果越符合“去除噪声、保留结构”的目标。</w:t>
      </w:r>
    </w:p>
    <w:bookmarkEnd w:id="50"/>
    <w:p w14:paraId="0EFE3A5D">
      <w:pPr>
        <w:pStyle w:val="5"/>
        <w:spacing w:before="120" w:after="60" w:line="360" w:lineRule="auto"/>
        <w:ind w:firstLine="0"/>
        <w:jc w:val="left"/>
      </w:pPr>
      <w:bookmarkStart w:id="51" w:name="epi-指标"/>
      <w:r>
        <w:rPr>
          <w:rFonts w:ascii="Times New Roman" w:hAnsi="Times New Roman" w:eastAsia="黑体" w:cs="Times New Roman"/>
          <w:b/>
          <w:color w:val="000000"/>
          <w:sz w:val="21"/>
        </w:rPr>
        <w:t>3.5.3 EPI 指标</w:t>
      </w:r>
    </w:p>
    <w:p w14:paraId="6E9E1FF3">
      <w:pPr>
        <w:spacing w:before="0" w:after="0" w:line="360" w:lineRule="auto"/>
        <w:ind w:firstLine="420"/>
        <w:jc w:val="both"/>
      </w:pPr>
      <w:r>
        <w:rPr>
          <w:rFonts w:ascii="Times New Roman" w:hAnsi="Times New Roman" w:eastAsia="楷体" w:cs="Times New Roman"/>
          <w:color w:val="000000"/>
          <w:sz w:val="21"/>
        </w:rPr>
        <w:t>EPI（Edge Preservation Index）用于评价去噪过程中边缘结构的保持能力。本文采用基于 Sobel 梯度相关性的形式计算 EPI，即比较原始 SAR 图和去噪图的梯度响应一致性。EPI 越接近 1，表示模型越能保持原始图像中的边缘结构。</w:t>
      </w:r>
    </w:p>
    <w:p w14:paraId="18683715">
      <w:pPr>
        <w:spacing w:before="0" w:after="0" w:line="360" w:lineRule="auto"/>
        <w:ind w:firstLine="420"/>
        <w:jc w:val="both"/>
      </w:pPr>
      <w:r>
        <w:rPr>
          <w:rFonts w:ascii="Times New Roman" w:hAnsi="Times New Roman" w:eastAsia="楷体" w:cs="Times New Roman"/>
          <w:color w:val="000000"/>
          <w:sz w:val="21"/>
        </w:rPr>
        <w:t>对真实 SAR 图像而言，ENL 主要反映平滑区域抑噪能力，EPI 主要反映边缘保持能力，M 指标主要反映比值图中是否残留结构信息。三者联合使用能够更全面地评价真实 SAR 去噪结果。</w:t>
      </w:r>
    </w:p>
    <w:bookmarkEnd w:id="36"/>
    <w:bookmarkEnd w:id="48"/>
    <w:bookmarkEnd w:id="51"/>
    <w:p w14:paraId="53D4AFD6">
      <w:pPr>
        <w:pStyle w:val="2"/>
        <w:spacing w:before="120" w:after="60" w:line="360" w:lineRule="auto"/>
        <w:ind w:firstLine="0"/>
        <w:jc w:val="left"/>
      </w:pPr>
      <w:bookmarkStart w:id="52" w:name="实验结果与消融分析"/>
      <w:r>
        <w:rPr>
          <w:rFonts w:ascii="Times New Roman" w:hAnsi="Times New Roman" w:eastAsia="黑体" w:cs="Times New Roman"/>
          <w:b/>
          <w:color w:val="000000"/>
          <w:sz w:val="28"/>
        </w:rPr>
        <w:t>4. 实验结果与消融分析</w:t>
      </w:r>
    </w:p>
    <w:p w14:paraId="3D34CEF0">
      <w:pPr>
        <w:spacing w:before="0" w:after="0" w:line="360" w:lineRule="auto"/>
        <w:ind w:firstLine="420"/>
        <w:jc w:val="both"/>
      </w:pPr>
      <w:r>
        <w:rPr>
          <w:rFonts w:ascii="Times New Roman" w:hAnsi="Times New Roman" w:eastAsia="楷体" w:cs="Times New Roman"/>
          <w:color w:val="000000"/>
          <w:sz w:val="21"/>
        </w:rPr>
        <w:t xml:space="preserve">本章基于已完成的合成 SAR 有参考实验、UCMerced 场景泛化实验和真实 SAR 无参考实验，对 DFNG-SARNet 的整体有效性与关键模块贡献进行系统分析。实验以完整模型为统一基准，采用 </w:t>
      </w:r>
      <w:r>
        <w:rPr>
          <w:rStyle w:val="38"/>
          <w:rFonts w:ascii="Times New Roman" w:hAnsi="Times New Roman" w:eastAsia="楷体" w:cs="Times New Roman"/>
          <w:color w:val="000000"/>
          <w:sz w:val="21"/>
        </w:rPr>
        <w:t>w/o</w:t>
      </w:r>
      <w:r>
        <w:rPr>
          <w:rFonts w:ascii="Times New Roman" w:hAnsi="Times New Roman" w:eastAsia="楷体" w:cs="Times New Roman"/>
          <w:color w:val="000000"/>
          <w:sz w:val="21"/>
        </w:rPr>
        <w:t xml:space="preserve"> 去模块消融方式分别评估多尺度特征融合、频域增强、噪声门控、瓶颈特征增强和双域恢复机制对去噪精度、结构保持能力、真实域适应能力以及计算复杂度的影响。合成数据实验采用 PSNR 和 SSIM 作为有参考指标，真实 SAR 实验采用 ENL、M 指标和 EPI 作为无参考指标，从而分别刻画像素级重建精度、结构一致性、均匀区域 speckle 抑制、比值图结构残留和边缘保持能力。</w:t>
      </w:r>
    </w:p>
    <w:p w14:paraId="51A942A1">
      <w:pPr>
        <w:spacing w:before="0" w:after="0" w:line="360" w:lineRule="auto"/>
        <w:ind w:firstLine="420"/>
        <w:jc w:val="both"/>
      </w:pPr>
      <w:r>
        <w:rPr>
          <w:rFonts w:ascii="Times New Roman" w:hAnsi="Times New Roman" w:eastAsia="楷体" w:cs="Times New Roman"/>
          <w:color w:val="000000"/>
          <w:sz w:val="21"/>
        </w:rPr>
        <w:t>为突出本文方法与一般噪声感知去噪网络的差异，本章重点分析频域增强和双域恢复对模型性能的贡献。噪声门控模块作为解码阶段的局部自适应调制项参与消融验证，但不作为唯一核心创新进行论证。该实验组织方式能够更清晰地说明本文方法在 SAR 乘性噪声建模、高频结构恢复和真实域适应方面的综合有效性。</w:t>
      </w:r>
    </w:p>
    <w:p w14:paraId="5B60200A">
      <w:pPr>
        <w:pStyle w:val="4"/>
        <w:spacing w:before="120" w:after="60" w:line="360" w:lineRule="auto"/>
        <w:ind w:firstLine="0"/>
        <w:jc w:val="left"/>
      </w:pPr>
      <w:bookmarkStart w:id="53" w:name="最终模型去模块消融实验"/>
      <w:r>
        <w:rPr>
          <w:rFonts w:ascii="Times New Roman" w:hAnsi="Times New Roman" w:eastAsia="黑体" w:cs="Times New Roman"/>
          <w:b/>
          <w:color w:val="000000"/>
          <w:sz w:val="24"/>
        </w:rPr>
        <w:t>4.1 最终模型去模块消融实验</w:t>
      </w:r>
    </w:p>
    <w:p w14:paraId="4DFCA9CF">
      <w:pPr>
        <w:spacing w:before="0" w:after="0" w:line="360" w:lineRule="auto"/>
        <w:ind w:firstLine="420"/>
        <w:jc w:val="both"/>
      </w:pPr>
      <w:r>
        <w:rPr>
          <w:rFonts w:ascii="Times New Roman" w:hAnsi="Times New Roman" w:eastAsia="楷体" w:cs="Times New Roman"/>
          <w:color w:val="000000"/>
          <w:sz w:val="21"/>
        </w:rPr>
        <w:t>为验证各结构单元在完整网络中的独立贡献，本文以 DFNG-SARNet 作为完整模型，并分别移除多尺度特征融合、频域增强、噪声先验门控、瓶颈特征增强和双域恢复机制，构建 w/o MSF、w/o Freq、w/o NG、w/o Bottle 和 w/o Dual 五个消融版本。各消融模型仅改变目标模块，其余训练数据、输入尺寸、优化器、学习率、训练轮数、batch size、损失函数和评价协议均保持一致。该设置能够降低非目标变量对实验结果的干扰，使性能差异主要归因于被移除模块本身。</w:t>
      </w:r>
    </w:p>
    <w:p w14:paraId="0B793B47">
      <w:pPr>
        <w:pStyle w:val="12"/>
        <w:spacing w:before="60" w:after="60" w:line="240" w:lineRule="auto"/>
        <w:jc w:val="center"/>
      </w:pPr>
      <w:r>
        <w:rPr>
          <w:rFonts w:ascii="楷体" w:hAnsi="楷体" w:eastAsia="楷体" w:cs="楷体"/>
          <w:b w:val="0"/>
          <w:i w:val="0"/>
          <w:color w:val="000000"/>
          <w:sz w:val="18"/>
        </w:rPr>
        <w:t>表 7 最终模型去模块消融实验设置</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845"/>
        <w:gridCol w:w="433"/>
        <w:gridCol w:w="523"/>
        <w:gridCol w:w="342"/>
        <w:gridCol w:w="705"/>
        <w:gridCol w:w="523"/>
        <w:gridCol w:w="3176"/>
        <w:gridCol w:w="1925"/>
      </w:tblGrid>
      <w:tr w14:paraId="474A57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351EB673">
            <w:pPr>
              <w:pStyle w:val="25"/>
              <w:spacing w:before="0" w:after="0" w:line="240" w:lineRule="auto"/>
              <w:ind w:firstLine="0"/>
              <w:jc w:val="left"/>
            </w:pPr>
            <w:r>
              <w:rPr>
                <w:rFonts w:ascii="楷体" w:hAnsi="楷体" w:eastAsia="楷体" w:cs="楷体"/>
                <w:b/>
                <w:color w:val="000000"/>
                <w:sz w:val="18"/>
              </w:rPr>
              <w:t>模型名称</w:t>
            </w:r>
          </w:p>
        </w:tc>
        <w:tc>
          <w:tcPr>
            <w:tcMar>
              <w:top w:w="80" w:type="dxa"/>
              <w:left w:w="80" w:type="dxa"/>
              <w:bottom w:w="80" w:type="dxa"/>
              <w:right w:w="80" w:type="dxa"/>
            </w:tcMar>
            <w:vAlign w:val="center"/>
          </w:tcPr>
          <w:p w14:paraId="4B97F0FA">
            <w:pPr>
              <w:pStyle w:val="25"/>
              <w:spacing w:before="0" w:after="0" w:line="240" w:lineRule="auto"/>
              <w:ind w:firstLine="0"/>
              <w:jc w:val="left"/>
            </w:pPr>
            <w:r>
              <w:rPr>
                <w:rFonts w:ascii="楷体" w:hAnsi="楷体" w:eastAsia="楷体" w:cs="楷体"/>
                <w:b/>
                <w:color w:val="000000"/>
                <w:sz w:val="18"/>
              </w:rPr>
              <w:t>MSF</w:t>
            </w:r>
          </w:p>
        </w:tc>
        <w:tc>
          <w:tcPr>
            <w:tcMar>
              <w:top w:w="80" w:type="dxa"/>
              <w:left w:w="80" w:type="dxa"/>
              <w:bottom w:w="80" w:type="dxa"/>
              <w:right w:w="80" w:type="dxa"/>
            </w:tcMar>
            <w:vAlign w:val="center"/>
          </w:tcPr>
          <w:p w14:paraId="6DB46AE4">
            <w:pPr>
              <w:pStyle w:val="25"/>
              <w:spacing w:before="0" w:after="0" w:line="240" w:lineRule="auto"/>
              <w:ind w:firstLine="0"/>
              <w:jc w:val="left"/>
            </w:pPr>
            <w:r>
              <w:rPr>
                <w:rFonts w:ascii="楷体" w:hAnsi="楷体" w:eastAsia="楷体" w:cs="楷体"/>
                <w:b/>
                <w:color w:val="000000"/>
                <w:sz w:val="18"/>
              </w:rPr>
              <w:t>Freq</w:t>
            </w:r>
          </w:p>
        </w:tc>
        <w:tc>
          <w:tcPr>
            <w:tcMar>
              <w:top w:w="80" w:type="dxa"/>
              <w:left w:w="80" w:type="dxa"/>
              <w:bottom w:w="80" w:type="dxa"/>
              <w:right w:w="80" w:type="dxa"/>
            </w:tcMar>
            <w:vAlign w:val="center"/>
          </w:tcPr>
          <w:p w14:paraId="7BB0E8C6">
            <w:pPr>
              <w:pStyle w:val="25"/>
              <w:spacing w:before="0" w:after="0" w:line="240" w:lineRule="auto"/>
              <w:ind w:firstLine="0"/>
              <w:jc w:val="left"/>
            </w:pPr>
            <w:r>
              <w:rPr>
                <w:rFonts w:ascii="楷体" w:hAnsi="楷体" w:eastAsia="楷体" w:cs="楷体"/>
                <w:b/>
                <w:color w:val="000000"/>
                <w:sz w:val="18"/>
              </w:rPr>
              <w:t>NG</w:t>
            </w:r>
          </w:p>
        </w:tc>
        <w:tc>
          <w:tcPr>
            <w:tcMar>
              <w:top w:w="80" w:type="dxa"/>
              <w:left w:w="80" w:type="dxa"/>
              <w:bottom w:w="80" w:type="dxa"/>
              <w:right w:w="80" w:type="dxa"/>
            </w:tcMar>
            <w:vAlign w:val="center"/>
          </w:tcPr>
          <w:p w14:paraId="27F030AC">
            <w:pPr>
              <w:pStyle w:val="25"/>
              <w:spacing w:before="0" w:after="0" w:line="240" w:lineRule="auto"/>
              <w:ind w:firstLine="0"/>
              <w:jc w:val="left"/>
            </w:pPr>
            <w:r>
              <w:rPr>
                <w:rFonts w:ascii="楷体" w:hAnsi="楷体" w:eastAsia="楷体" w:cs="楷体"/>
                <w:b/>
                <w:color w:val="000000"/>
                <w:sz w:val="18"/>
              </w:rPr>
              <w:t>Bottle</w:t>
            </w:r>
          </w:p>
        </w:tc>
        <w:tc>
          <w:tcPr>
            <w:tcMar>
              <w:top w:w="80" w:type="dxa"/>
              <w:left w:w="80" w:type="dxa"/>
              <w:bottom w:w="80" w:type="dxa"/>
              <w:right w:w="80" w:type="dxa"/>
            </w:tcMar>
            <w:vAlign w:val="center"/>
          </w:tcPr>
          <w:p w14:paraId="1CC90216">
            <w:pPr>
              <w:pStyle w:val="25"/>
              <w:spacing w:before="0" w:after="0" w:line="240" w:lineRule="auto"/>
              <w:ind w:firstLine="0"/>
              <w:jc w:val="left"/>
            </w:pPr>
            <w:r>
              <w:rPr>
                <w:rFonts w:ascii="楷体" w:hAnsi="楷体" w:eastAsia="楷体" w:cs="楷体"/>
                <w:b/>
                <w:color w:val="000000"/>
                <w:sz w:val="18"/>
              </w:rPr>
              <w:t>Dual</w:t>
            </w:r>
          </w:p>
        </w:tc>
        <w:tc>
          <w:tcPr>
            <w:tcMar>
              <w:top w:w="80" w:type="dxa"/>
              <w:left w:w="80" w:type="dxa"/>
              <w:bottom w:w="80" w:type="dxa"/>
              <w:right w:w="80" w:type="dxa"/>
            </w:tcMar>
            <w:vAlign w:val="center"/>
          </w:tcPr>
          <w:p w14:paraId="0F0F56A0">
            <w:pPr>
              <w:pStyle w:val="25"/>
              <w:spacing w:before="0" w:after="0" w:line="240" w:lineRule="auto"/>
              <w:ind w:firstLine="0"/>
              <w:jc w:val="left"/>
            </w:pPr>
            <w:r>
              <w:rPr>
                <w:rFonts w:ascii="楷体" w:hAnsi="楷体" w:eastAsia="楷体" w:cs="楷体"/>
                <w:b/>
                <w:color w:val="000000"/>
                <w:sz w:val="18"/>
              </w:rPr>
              <w:t>实验设置</w:t>
            </w:r>
          </w:p>
        </w:tc>
        <w:tc>
          <w:tcPr>
            <w:tcMar>
              <w:top w:w="80" w:type="dxa"/>
              <w:left w:w="80" w:type="dxa"/>
              <w:bottom w:w="80" w:type="dxa"/>
              <w:right w:w="80" w:type="dxa"/>
            </w:tcMar>
            <w:vAlign w:val="center"/>
          </w:tcPr>
          <w:p w14:paraId="3ECC1093">
            <w:pPr>
              <w:pStyle w:val="25"/>
              <w:spacing w:before="0" w:after="0" w:line="240" w:lineRule="auto"/>
              <w:ind w:firstLine="0"/>
              <w:jc w:val="left"/>
            </w:pPr>
            <w:r>
              <w:rPr>
                <w:rFonts w:ascii="楷体" w:hAnsi="楷体" w:eastAsia="楷体" w:cs="楷体"/>
                <w:b/>
                <w:color w:val="000000"/>
                <w:sz w:val="18"/>
              </w:rPr>
              <w:t>验证目的</w:t>
            </w:r>
          </w:p>
        </w:tc>
      </w:tr>
      <w:tr w14:paraId="1A86BD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0519B854">
            <w:pPr>
              <w:pStyle w:val="25"/>
              <w:spacing w:before="0" w:after="0" w:line="240" w:lineRule="auto"/>
              <w:ind w:firstLine="0"/>
              <w:jc w:val="left"/>
            </w:pPr>
            <w:r>
              <w:rPr>
                <w:rFonts w:ascii="楷体" w:hAnsi="楷体" w:eastAsia="楷体" w:cs="楷体"/>
                <w:color w:val="000000"/>
                <w:sz w:val="18"/>
              </w:rPr>
              <w:t>DFNG-SARNet</w:t>
            </w:r>
          </w:p>
        </w:tc>
        <w:tc>
          <w:tcPr>
            <w:tcMar>
              <w:top w:w="80" w:type="dxa"/>
              <w:left w:w="80" w:type="dxa"/>
              <w:bottom w:w="80" w:type="dxa"/>
              <w:right w:w="80" w:type="dxa"/>
            </w:tcMar>
            <w:vAlign w:val="center"/>
          </w:tcPr>
          <w:p w14:paraId="60E994DC">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4F8743A">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81DCE72">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1EDFC69A">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60CDAF46">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4974DB4">
            <w:pPr>
              <w:pStyle w:val="25"/>
              <w:spacing w:before="0" w:after="0" w:line="240" w:lineRule="auto"/>
              <w:ind w:firstLine="0"/>
              <w:jc w:val="left"/>
            </w:pPr>
            <w:r>
              <w:rPr>
                <w:rFonts w:ascii="楷体" w:hAnsi="楷体" w:eastAsia="楷体" w:cs="楷体"/>
                <w:color w:val="000000"/>
                <w:sz w:val="18"/>
              </w:rPr>
              <w:t>完整模型</w:t>
            </w:r>
          </w:p>
        </w:tc>
        <w:tc>
          <w:tcPr>
            <w:tcMar>
              <w:top w:w="80" w:type="dxa"/>
              <w:left w:w="80" w:type="dxa"/>
              <w:bottom w:w="80" w:type="dxa"/>
              <w:right w:w="80" w:type="dxa"/>
            </w:tcMar>
            <w:vAlign w:val="center"/>
          </w:tcPr>
          <w:p w14:paraId="47A8E9DD">
            <w:pPr>
              <w:pStyle w:val="25"/>
              <w:spacing w:before="0" w:after="0" w:line="240" w:lineRule="auto"/>
              <w:ind w:firstLine="0"/>
              <w:jc w:val="left"/>
            </w:pPr>
            <w:r>
              <w:rPr>
                <w:rFonts w:ascii="楷体" w:hAnsi="楷体" w:eastAsia="楷体" w:cs="楷体"/>
                <w:color w:val="000000"/>
                <w:sz w:val="18"/>
              </w:rPr>
              <w:t>作为去模块消融实验的统一基准</w:t>
            </w:r>
          </w:p>
        </w:tc>
      </w:tr>
      <w:tr w14:paraId="704E59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12CF7B4E">
            <w:pPr>
              <w:pStyle w:val="25"/>
              <w:spacing w:before="0" w:after="0" w:line="240" w:lineRule="auto"/>
              <w:ind w:firstLine="0"/>
              <w:jc w:val="left"/>
            </w:pPr>
            <w:r>
              <w:rPr>
                <w:rFonts w:ascii="楷体" w:hAnsi="楷体" w:eastAsia="楷体" w:cs="楷体"/>
                <w:color w:val="000000"/>
                <w:sz w:val="18"/>
              </w:rPr>
              <w:t>w/o MSF</w:t>
            </w:r>
          </w:p>
        </w:tc>
        <w:tc>
          <w:tcPr>
            <w:tcMar>
              <w:top w:w="80" w:type="dxa"/>
              <w:left w:w="80" w:type="dxa"/>
              <w:bottom w:w="80" w:type="dxa"/>
              <w:right w:w="80" w:type="dxa"/>
            </w:tcMar>
            <w:vAlign w:val="center"/>
          </w:tcPr>
          <w:p w14:paraId="32B3A7E7">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657F93D5">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49206D01">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46E149C1">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49F3A5A7">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25E988EC">
            <w:pPr>
              <w:pStyle w:val="25"/>
              <w:spacing w:before="0" w:after="0" w:line="240" w:lineRule="auto"/>
              <w:ind w:firstLine="0"/>
              <w:jc w:val="left"/>
            </w:pPr>
            <w:r>
              <w:rPr>
                <w:rFonts w:ascii="楷体" w:hAnsi="楷体" w:eastAsia="楷体" w:cs="楷体"/>
                <w:color w:val="000000"/>
                <w:sz w:val="18"/>
              </w:rPr>
              <w:t>移除拼接式跳跃连接、多尺度特征融合和残差重建，采用基础解码重建路径</w:t>
            </w:r>
          </w:p>
        </w:tc>
        <w:tc>
          <w:tcPr>
            <w:tcMar>
              <w:top w:w="80" w:type="dxa"/>
              <w:left w:w="80" w:type="dxa"/>
              <w:bottom w:w="80" w:type="dxa"/>
              <w:right w:w="80" w:type="dxa"/>
            </w:tcMar>
            <w:vAlign w:val="center"/>
          </w:tcPr>
          <w:p w14:paraId="7160D4B3">
            <w:pPr>
              <w:pStyle w:val="25"/>
              <w:spacing w:before="0" w:after="0" w:line="240" w:lineRule="auto"/>
              <w:ind w:firstLine="0"/>
              <w:jc w:val="left"/>
            </w:pPr>
            <w:r>
              <w:rPr>
                <w:rFonts w:ascii="楷体" w:hAnsi="楷体" w:eastAsia="楷体" w:cs="楷体"/>
                <w:color w:val="000000"/>
                <w:sz w:val="18"/>
              </w:rPr>
              <w:t>验证多尺度特征融合对结构保持和空间重建的贡献</w:t>
            </w:r>
          </w:p>
        </w:tc>
      </w:tr>
      <w:tr w14:paraId="58F461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0D32CEE0">
            <w:pPr>
              <w:pStyle w:val="25"/>
              <w:spacing w:before="0" w:after="0" w:line="240" w:lineRule="auto"/>
              <w:ind w:firstLine="0"/>
              <w:jc w:val="left"/>
            </w:pPr>
            <w:r>
              <w:rPr>
                <w:rFonts w:ascii="楷体" w:hAnsi="楷体" w:eastAsia="楷体" w:cs="楷体"/>
                <w:color w:val="000000"/>
                <w:sz w:val="18"/>
              </w:rPr>
              <w:t>w/o Freq</w:t>
            </w:r>
          </w:p>
        </w:tc>
        <w:tc>
          <w:tcPr>
            <w:tcMar>
              <w:top w:w="80" w:type="dxa"/>
              <w:left w:w="80" w:type="dxa"/>
              <w:bottom w:w="80" w:type="dxa"/>
              <w:right w:w="80" w:type="dxa"/>
            </w:tcMar>
            <w:vAlign w:val="center"/>
          </w:tcPr>
          <w:p w14:paraId="4BCAC6C9">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1078CE18">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036A88E2">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27B890A">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1E7BCC7A">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36B7A8D">
            <w:pPr>
              <w:pStyle w:val="25"/>
              <w:spacing w:before="0" w:after="0" w:line="240" w:lineRule="auto"/>
              <w:ind w:firstLine="0"/>
              <w:jc w:val="left"/>
            </w:pPr>
            <w:r>
              <w:rPr>
                <w:rFonts w:ascii="楷体" w:hAnsi="楷体" w:eastAsia="楷体" w:cs="楷体"/>
                <w:color w:val="000000"/>
                <w:sz w:val="18"/>
              </w:rPr>
              <w:t xml:space="preserve">将 </w:t>
            </w:r>
            <w:r>
              <w:rPr>
                <w:rStyle w:val="38"/>
                <w:rFonts w:ascii="楷体" w:hAnsi="楷体" w:eastAsia="楷体" w:cs="楷体"/>
                <w:color w:val="000000"/>
                <w:sz w:val="18"/>
              </w:rPr>
              <w:t>FFTRefineBlock</w:t>
            </w:r>
            <w:r>
              <w:rPr>
                <w:rFonts w:ascii="楷体" w:hAnsi="楷体" w:eastAsia="楷体" w:cs="楷体"/>
                <w:color w:val="000000"/>
                <w:sz w:val="18"/>
              </w:rPr>
              <w:t xml:space="preserve"> 替换为恒等映射或普通卷积细化单元</w:t>
            </w:r>
          </w:p>
        </w:tc>
        <w:tc>
          <w:tcPr>
            <w:tcMar>
              <w:top w:w="80" w:type="dxa"/>
              <w:left w:w="80" w:type="dxa"/>
              <w:bottom w:w="80" w:type="dxa"/>
              <w:right w:w="80" w:type="dxa"/>
            </w:tcMar>
            <w:vAlign w:val="center"/>
          </w:tcPr>
          <w:p w14:paraId="3B041EAC">
            <w:pPr>
              <w:pStyle w:val="25"/>
              <w:spacing w:before="0" w:after="0" w:line="240" w:lineRule="auto"/>
              <w:ind w:firstLine="0"/>
              <w:jc w:val="left"/>
            </w:pPr>
            <w:r>
              <w:rPr>
                <w:rFonts w:ascii="楷体" w:hAnsi="楷体" w:eastAsia="楷体" w:cs="楷体"/>
                <w:color w:val="000000"/>
                <w:sz w:val="18"/>
              </w:rPr>
              <w:t>验证频域增强对边缘、纹理和强散射结构恢复的贡献</w:t>
            </w:r>
          </w:p>
        </w:tc>
      </w:tr>
      <w:tr w14:paraId="264D37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DD4D2AD">
            <w:pPr>
              <w:pStyle w:val="25"/>
              <w:spacing w:before="0" w:after="0" w:line="240" w:lineRule="auto"/>
              <w:ind w:firstLine="0"/>
              <w:jc w:val="left"/>
            </w:pPr>
            <w:r>
              <w:rPr>
                <w:rFonts w:ascii="楷体" w:hAnsi="楷体" w:eastAsia="楷体" w:cs="楷体"/>
                <w:color w:val="000000"/>
                <w:sz w:val="18"/>
              </w:rPr>
              <w:t>w/o NG</w:t>
            </w:r>
          </w:p>
        </w:tc>
        <w:tc>
          <w:tcPr>
            <w:tcMar>
              <w:top w:w="80" w:type="dxa"/>
              <w:left w:w="80" w:type="dxa"/>
              <w:bottom w:w="80" w:type="dxa"/>
              <w:right w:w="80" w:type="dxa"/>
            </w:tcMar>
            <w:vAlign w:val="center"/>
          </w:tcPr>
          <w:p w14:paraId="38247981">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5E24CB4">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6B8F2267">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74F28ED1">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1EFADC1B">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2A8715FC">
            <w:pPr>
              <w:pStyle w:val="25"/>
              <w:spacing w:before="0" w:after="0" w:line="240" w:lineRule="auto"/>
              <w:ind w:firstLine="0"/>
              <w:jc w:val="left"/>
            </w:pPr>
            <w:r>
              <w:rPr>
                <w:rFonts w:ascii="楷体" w:hAnsi="楷体" w:eastAsia="楷体" w:cs="楷体"/>
                <w:color w:val="000000"/>
                <w:sz w:val="18"/>
              </w:rPr>
              <w:t xml:space="preserve">移除 </w:t>
            </w:r>
            <w:r>
              <w:rPr>
                <w:rStyle w:val="38"/>
                <w:rFonts w:ascii="楷体" w:hAnsi="楷体" w:eastAsia="楷体" w:cs="楷体"/>
                <w:color w:val="000000"/>
                <w:sz w:val="18"/>
              </w:rPr>
              <w:t>NoiseEstimator</w:t>
            </w:r>
            <w:r>
              <w:rPr>
                <w:rFonts w:ascii="楷体" w:hAnsi="楷体" w:eastAsia="楷体" w:cs="楷体"/>
                <w:color w:val="000000"/>
                <w:sz w:val="18"/>
              </w:rPr>
              <w:t xml:space="preserve"> 与 </w:t>
            </w:r>
            <w:r>
              <w:rPr>
                <w:rStyle w:val="38"/>
                <w:rFonts w:ascii="楷体" w:hAnsi="楷体" w:eastAsia="楷体" w:cs="楷体"/>
                <w:color w:val="000000"/>
                <w:sz w:val="18"/>
              </w:rPr>
              <w:t>NoiseGuidedGate</w:t>
            </w:r>
            <w:r>
              <w:rPr>
                <w:rFonts w:ascii="楷体" w:hAnsi="楷体" w:eastAsia="楷体" w:cs="楷体"/>
                <w:color w:val="000000"/>
                <w:sz w:val="18"/>
              </w:rPr>
              <w:t>，解码器不使用噪声先验门控</w:t>
            </w:r>
          </w:p>
        </w:tc>
        <w:tc>
          <w:tcPr>
            <w:tcMar>
              <w:top w:w="80" w:type="dxa"/>
              <w:left w:w="80" w:type="dxa"/>
              <w:bottom w:w="80" w:type="dxa"/>
              <w:right w:w="80" w:type="dxa"/>
            </w:tcMar>
            <w:vAlign w:val="center"/>
          </w:tcPr>
          <w:p w14:paraId="75CA1B0C">
            <w:pPr>
              <w:pStyle w:val="25"/>
              <w:spacing w:before="0" w:after="0" w:line="240" w:lineRule="auto"/>
              <w:ind w:firstLine="0"/>
              <w:jc w:val="left"/>
            </w:pPr>
            <w:r>
              <w:rPr>
                <w:rFonts w:ascii="楷体" w:hAnsi="楷体" w:eastAsia="楷体" w:cs="楷体"/>
                <w:color w:val="000000"/>
                <w:sz w:val="18"/>
              </w:rPr>
              <w:t>验证噪声先验门控对非均匀 speckle 建模的贡献</w:t>
            </w:r>
          </w:p>
        </w:tc>
      </w:tr>
      <w:tr w14:paraId="3A01C0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8609A2B">
            <w:pPr>
              <w:pStyle w:val="25"/>
              <w:spacing w:before="0" w:after="0" w:line="240" w:lineRule="auto"/>
              <w:ind w:firstLine="0"/>
              <w:jc w:val="left"/>
            </w:pPr>
            <w:r>
              <w:rPr>
                <w:rFonts w:ascii="楷体" w:hAnsi="楷体" w:eastAsia="楷体" w:cs="楷体"/>
                <w:color w:val="000000"/>
                <w:sz w:val="18"/>
              </w:rPr>
              <w:t>w/o Bottle</w:t>
            </w:r>
          </w:p>
        </w:tc>
        <w:tc>
          <w:tcPr>
            <w:tcMar>
              <w:top w:w="80" w:type="dxa"/>
              <w:left w:w="80" w:type="dxa"/>
              <w:bottom w:w="80" w:type="dxa"/>
              <w:right w:w="80" w:type="dxa"/>
            </w:tcMar>
            <w:vAlign w:val="center"/>
          </w:tcPr>
          <w:p w14:paraId="0000ADCE">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2063DE39">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36EC1C49">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093DF031">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63C5B5B9">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E1CE953">
            <w:pPr>
              <w:pStyle w:val="25"/>
              <w:spacing w:before="0" w:after="0" w:line="240" w:lineRule="auto"/>
              <w:ind w:firstLine="0"/>
              <w:jc w:val="left"/>
            </w:pPr>
            <w:r>
              <w:rPr>
                <w:rFonts w:ascii="楷体" w:hAnsi="楷体" w:eastAsia="楷体" w:cs="楷体"/>
                <w:color w:val="000000"/>
                <w:sz w:val="18"/>
              </w:rPr>
              <w:t xml:space="preserve">移除 </w:t>
            </w:r>
            <w:r>
              <w:rPr>
                <w:rStyle w:val="38"/>
                <w:rFonts w:ascii="楷体" w:hAnsi="楷体" w:eastAsia="楷体" w:cs="楷体"/>
                <w:color w:val="000000"/>
                <w:sz w:val="18"/>
              </w:rPr>
              <w:t>BottleneckRefine</w:t>
            </w:r>
            <w:r>
              <w:rPr>
                <w:rFonts w:ascii="楷体" w:hAnsi="楷体" w:eastAsia="楷体" w:cs="楷体"/>
                <w:color w:val="000000"/>
                <w:sz w:val="18"/>
              </w:rPr>
              <w:t>，最深层编码特征直接输入解码器</w:t>
            </w:r>
          </w:p>
        </w:tc>
        <w:tc>
          <w:tcPr>
            <w:tcMar>
              <w:top w:w="80" w:type="dxa"/>
              <w:left w:w="80" w:type="dxa"/>
              <w:bottom w:w="80" w:type="dxa"/>
              <w:right w:w="80" w:type="dxa"/>
            </w:tcMar>
            <w:vAlign w:val="center"/>
          </w:tcPr>
          <w:p w14:paraId="10A4F1A4">
            <w:pPr>
              <w:pStyle w:val="25"/>
              <w:spacing w:before="0" w:after="0" w:line="240" w:lineRule="auto"/>
              <w:ind w:firstLine="0"/>
              <w:jc w:val="left"/>
            </w:pPr>
            <w:r>
              <w:rPr>
                <w:rFonts w:ascii="楷体" w:hAnsi="楷体" w:eastAsia="楷体" w:cs="楷体"/>
                <w:color w:val="000000"/>
                <w:sz w:val="18"/>
              </w:rPr>
              <w:t>验证瓶颈特征增强对深层上下文校正的贡献</w:t>
            </w:r>
          </w:p>
        </w:tc>
      </w:tr>
      <w:tr w14:paraId="4DAEBA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372CA479">
            <w:pPr>
              <w:pStyle w:val="25"/>
              <w:spacing w:before="0" w:after="0" w:line="240" w:lineRule="auto"/>
              <w:ind w:firstLine="0"/>
              <w:jc w:val="left"/>
            </w:pPr>
            <w:r>
              <w:rPr>
                <w:rFonts w:ascii="楷体" w:hAnsi="楷体" w:eastAsia="楷体" w:cs="楷体"/>
                <w:color w:val="000000"/>
                <w:sz w:val="18"/>
              </w:rPr>
              <w:t>w/o Dual</w:t>
            </w:r>
          </w:p>
        </w:tc>
        <w:tc>
          <w:tcPr>
            <w:tcMar>
              <w:top w:w="80" w:type="dxa"/>
              <w:left w:w="80" w:type="dxa"/>
              <w:bottom w:w="80" w:type="dxa"/>
              <w:right w:w="80" w:type="dxa"/>
            </w:tcMar>
            <w:vAlign w:val="center"/>
          </w:tcPr>
          <w:p w14:paraId="69011522">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4B988B01">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43AB556">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2C7CAB6B">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9B4DE93">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6377E83">
            <w:pPr>
              <w:pStyle w:val="25"/>
              <w:spacing w:before="0" w:after="0" w:line="240" w:lineRule="auto"/>
              <w:ind w:firstLine="0"/>
              <w:jc w:val="left"/>
            </w:pPr>
            <w:r>
              <w:rPr>
                <w:rFonts w:ascii="楷体" w:hAnsi="楷体" w:eastAsia="楷体" w:cs="楷体"/>
                <w:color w:val="000000"/>
                <w:sz w:val="18"/>
              </w:rPr>
              <w:t xml:space="preserve">移除 </w:t>
            </w:r>
            <w:r>
              <w:rPr>
                <w:rStyle w:val="38"/>
                <w:rFonts w:ascii="楷体" w:hAnsi="楷体" w:eastAsia="楷体" w:cs="楷体"/>
                <w:color w:val="000000"/>
                <w:sz w:val="18"/>
              </w:rPr>
              <w:t>DualDomainFusion</w:t>
            </w:r>
            <w:r>
              <w:rPr>
                <w:rFonts w:ascii="楷体" w:hAnsi="楷体" w:eastAsia="楷体" w:cs="楷体"/>
                <w:color w:val="000000"/>
                <w:sz w:val="18"/>
              </w:rPr>
              <w:t xml:space="preserve"> 和原始强度域残差补偿，仅保留主恢复分支输出</w:t>
            </w:r>
          </w:p>
        </w:tc>
        <w:tc>
          <w:tcPr>
            <w:tcMar>
              <w:top w:w="80" w:type="dxa"/>
              <w:left w:w="80" w:type="dxa"/>
              <w:bottom w:w="80" w:type="dxa"/>
              <w:right w:w="80" w:type="dxa"/>
            </w:tcMar>
            <w:vAlign w:val="center"/>
          </w:tcPr>
          <w:p w14:paraId="2E030054">
            <w:pPr>
              <w:pStyle w:val="25"/>
              <w:spacing w:before="0" w:after="0" w:line="240" w:lineRule="auto"/>
              <w:ind w:firstLine="0"/>
              <w:jc w:val="left"/>
            </w:pPr>
            <w:r>
              <w:rPr>
                <w:rFonts w:ascii="楷体" w:hAnsi="楷体" w:eastAsia="楷体" w:cs="楷体"/>
                <w:color w:val="000000"/>
                <w:sz w:val="18"/>
              </w:rPr>
              <w:t>验证 log 域恢复与原始强度域补偿的互补作用</w:t>
            </w:r>
          </w:p>
        </w:tc>
      </w:tr>
    </w:tbl>
    <w:p w14:paraId="31F21D20">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从实验设计上看，w/o MSF 用于检验解码端跨尺度信息交互是否能够改善空间重建质量；w/o Freq 用于检验频域显式建模对高频纹理和强散射结构恢复的作用；w/o NG 用于检验噪声门控图对空间非均匀 speckle 抑制的局部调制作用；w/o Bottle 用于检验深层低分辨率特征校正是否能够提高全局上下文稳定性；w/o Dual 用于检验 log-intensity 域恢复与 original intensity 域残差补偿之间的互补性。该组实验覆盖了本文模型从多尺度空间重建、频域结构增强、噪声局部调制到 SAR 乘性噪声适配的主要技术链条。</w:t>
      </w:r>
    </w:p>
    <w:p w14:paraId="15F67600">
      <w:pPr>
        <w:spacing w:before="0" w:after="0" w:line="360" w:lineRule="auto"/>
        <w:ind w:firstLine="42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4669155" cy="2628265"/>
            <wp:effectExtent l="0" t="0" r="9525" b="8255"/>
            <wp:docPr id="21" name="图片 21" descr="ChatGPT Image 2026年5月10日 13_01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hatGPT Image 2026年5月10日 13_01_00"/>
                    <pic:cNvPicPr>
                      <a:picLocks noChangeAspect="1"/>
                    </pic:cNvPicPr>
                  </pic:nvPicPr>
                  <pic:blipFill>
                    <a:blip r:embed="rId22"/>
                    <a:stretch>
                      <a:fillRect/>
                    </a:stretch>
                  </pic:blipFill>
                  <pic:spPr>
                    <a:xfrm>
                      <a:off x="0" y="0"/>
                      <a:ext cx="4669155" cy="2628265"/>
                    </a:xfrm>
                    <a:prstGeom prst="rect">
                      <a:avLst/>
                    </a:prstGeom>
                  </pic:spPr>
                </pic:pic>
              </a:graphicData>
            </a:graphic>
          </wp:inline>
        </w:drawing>
      </w:r>
    </w:p>
    <w:p w14:paraId="3F5F048D">
      <w:pPr>
        <w:pStyle w:val="12"/>
        <w:spacing w:before="60" w:after="60" w:line="240" w:lineRule="auto"/>
        <w:jc w:val="center"/>
        <w:rPr>
          <w:rFonts w:ascii="楷体" w:hAnsi="楷体" w:eastAsia="楷体" w:cs="楷体"/>
          <w:b w:val="0"/>
          <w:i w:val="0"/>
          <w:color w:val="000000"/>
          <w:sz w:val="18"/>
        </w:rPr>
      </w:pPr>
      <w:r>
        <w:rPr>
          <w:rFonts w:ascii="楷体" w:hAnsi="楷体" w:eastAsia="楷体" w:cs="楷体"/>
          <w:b w:val="0"/>
          <w:i w:val="0"/>
          <w:color w:val="000000"/>
          <w:sz w:val="18"/>
        </w:rPr>
        <w:t>图片16：最终模型去模块消融实验设计图。</w:t>
      </w:r>
    </w:p>
    <w:bookmarkEnd w:id="53"/>
    <w:p w14:paraId="7336D676">
      <w:pPr>
        <w:pStyle w:val="4"/>
        <w:spacing w:before="120" w:after="60" w:line="360" w:lineRule="auto"/>
        <w:ind w:firstLine="0"/>
        <w:jc w:val="left"/>
      </w:pPr>
      <w:bookmarkStart w:id="54" w:name="nwpu-resisc45-合成-sar-结果"/>
      <w:r>
        <w:rPr>
          <w:rFonts w:ascii="Times New Roman" w:hAnsi="Times New Roman" w:eastAsia="黑体" w:cs="Times New Roman"/>
          <w:b/>
          <w:color w:val="000000"/>
          <w:sz w:val="24"/>
        </w:rPr>
        <w:t>4.2 NWPU-RESISC45 合成 SAR 结果</w:t>
      </w:r>
    </w:p>
    <w:p w14:paraId="491B376C">
      <w:pPr>
        <w:spacing w:before="0" w:after="0" w:line="360" w:lineRule="auto"/>
        <w:ind w:firstLine="420"/>
        <w:jc w:val="both"/>
      </w:pPr>
      <w:r>
        <w:rPr>
          <w:rFonts w:ascii="Times New Roman" w:hAnsi="Times New Roman" w:eastAsia="楷体" w:cs="Times New Roman"/>
          <w:color w:val="000000"/>
          <w:sz w:val="21"/>
        </w:rPr>
        <w:t>NWPU-RESISC45 合成验证集用于评价完整模型及其消融版本在有参考条件下的整体恢复精度。该实验仅针对网络结构模块进行比较，</w:t>
      </w:r>
      <w:r>
        <w:rPr>
          <w:rStyle w:val="38"/>
          <w:rFonts w:ascii="Times New Roman" w:hAnsi="Times New Roman" w:eastAsia="楷体" w:cs="Times New Roman"/>
          <w:color w:val="000000"/>
          <w:sz w:val="21"/>
        </w:rPr>
        <w:t>AMS</w:t>
      </w:r>
      <w:r>
        <w:rPr>
          <w:rFonts w:ascii="Times New Roman" w:hAnsi="Times New Roman" w:eastAsia="楷体" w:cs="Times New Roman"/>
          <w:color w:val="000000"/>
          <w:sz w:val="21"/>
        </w:rPr>
        <w:t xml:space="preserve"> 作为真实 SAR 自监督适应策略不纳入合成 SAR 主消融表。表中同时报告参数量、FLOPs 和单幅图像推理时间，用于评估性能收益与计算代价之间的关系。</w:t>
      </w:r>
    </w:p>
    <w:p w14:paraId="5EFCD11B">
      <w:pPr>
        <w:pStyle w:val="12"/>
        <w:spacing w:before="60" w:after="60" w:line="240" w:lineRule="auto"/>
        <w:jc w:val="center"/>
      </w:pPr>
      <w:r>
        <w:rPr>
          <w:rFonts w:ascii="楷体" w:hAnsi="楷体" w:eastAsia="楷体" w:cs="楷体"/>
          <w:b w:val="0"/>
          <w:i w:val="0"/>
          <w:color w:val="000000"/>
          <w:sz w:val="18"/>
        </w:rPr>
        <w:t>表8 NWPU-RESISC45 合成 SAR 验证集消融实验结果</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1229"/>
        <w:gridCol w:w="463"/>
        <w:gridCol w:w="559"/>
        <w:gridCol w:w="366"/>
        <w:gridCol w:w="754"/>
        <w:gridCol w:w="559"/>
        <w:gridCol w:w="1044"/>
        <w:gridCol w:w="947"/>
        <w:gridCol w:w="947"/>
        <w:gridCol w:w="850"/>
        <w:gridCol w:w="754"/>
      </w:tblGrid>
      <w:tr w14:paraId="457513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727C3C32">
            <w:pPr>
              <w:pStyle w:val="25"/>
              <w:spacing w:before="0" w:after="0" w:line="240" w:lineRule="auto"/>
              <w:ind w:firstLine="0"/>
              <w:jc w:val="left"/>
            </w:pPr>
            <w:r>
              <w:rPr>
                <w:rFonts w:ascii="楷体" w:hAnsi="楷体" w:eastAsia="楷体" w:cs="楷体"/>
                <w:b/>
                <w:color w:val="000000"/>
                <w:sz w:val="18"/>
              </w:rPr>
              <w:t>Model</w:t>
            </w:r>
          </w:p>
        </w:tc>
        <w:tc>
          <w:tcPr>
            <w:tcMar>
              <w:top w:w="80" w:type="dxa"/>
              <w:left w:w="80" w:type="dxa"/>
              <w:bottom w:w="80" w:type="dxa"/>
              <w:right w:w="80" w:type="dxa"/>
            </w:tcMar>
            <w:vAlign w:val="center"/>
          </w:tcPr>
          <w:p w14:paraId="601F9456">
            <w:pPr>
              <w:pStyle w:val="25"/>
              <w:spacing w:before="0" w:after="0" w:line="240" w:lineRule="auto"/>
              <w:ind w:firstLine="0"/>
              <w:jc w:val="left"/>
            </w:pPr>
            <w:r>
              <w:rPr>
                <w:rFonts w:ascii="楷体" w:hAnsi="楷体" w:eastAsia="楷体" w:cs="楷体"/>
                <w:b/>
                <w:color w:val="000000"/>
                <w:sz w:val="18"/>
              </w:rPr>
              <w:t>MSF</w:t>
            </w:r>
          </w:p>
        </w:tc>
        <w:tc>
          <w:tcPr>
            <w:tcMar>
              <w:top w:w="80" w:type="dxa"/>
              <w:left w:w="80" w:type="dxa"/>
              <w:bottom w:w="80" w:type="dxa"/>
              <w:right w:w="80" w:type="dxa"/>
            </w:tcMar>
            <w:vAlign w:val="center"/>
          </w:tcPr>
          <w:p w14:paraId="24134C88">
            <w:pPr>
              <w:pStyle w:val="25"/>
              <w:spacing w:before="0" w:after="0" w:line="240" w:lineRule="auto"/>
              <w:ind w:firstLine="0"/>
              <w:jc w:val="left"/>
            </w:pPr>
            <w:r>
              <w:rPr>
                <w:rFonts w:ascii="楷体" w:hAnsi="楷体" w:eastAsia="楷体" w:cs="楷体"/>
                <w:b/>
                <w:color w:val="000000"/>
                <w:sz w:val="18"/>
              </w:rPr>
              <w:t>Freq</w:t>
            </w:r>
          </w:p>
        </w:tc>
        <w:tc>
          <w:tcPr>
            <w:tcMar>
              <w:top w:w="80" w:type="dxa"/>
              <w:left w:w="80" w:type="dxa"/>
              <w:bottom w:w="80" w:type="dxa"/>
              <w:right w:w="80" w:type="dxa"/>
            </w:tcMar>
            <w:vAlign w:val="center"/>
          </w:tcPr>
          <w:p w14:paraId="59E6E4E7">
            <w:pPr>
              <w:pStyle w:val="25"/>
              <w:spacing w:before="0" w:after="0" w:line="240" w:lineRule="auto"/>
              <w:ind w:firstLine="0"/>
              <w:jc w:val="left"/>
            </w:pPr>
            <w:r>
              <w:rPr>
                <w:rFonts w:ascii="楷体" w:hAnsi="楷体" w:eastAsia="楷体" w:cs="楷体"/>
                <w:b/>
                <w:color w:val="000000"/>
                <w:sz w:val="18"/>
              </w:rPr>
              <w:t>NG</w:t>
            </w:r>
          </w:p>
        </w:tc>
        <w:tc>
          <w:tcPr>
            <w:tcMar>
              <w:top w:w="80" w:type="dxa"/>
              <w:left w:w="80" w:type="dxa"/>
              <w:bottom w:w="80" w:type="dxa"/>
              <w:right w:w="80" w:type="dxa"/>
            </w:tcMar>
            <w:vAlign w:val="center"/>
          </w:tcPr>
          <w:p w14:paraId="33625B9B">
            <w:pPr>
              <w:pStyle w:val="25"/>
              <w:spacing w:before="0" w:after="0" w:line="240" w:lineRule="auto"/>
              <w:ind w:firstLine="0"/>
              <w:jc w:val="left"/>
            </w:pPr>
            <w:r>
              <w:rPr>
                <w:rFonts w:ascii="楷体" w:hAnsi="楷体" w:eastAsia="楷体" w:cs="楷体"/>
                <w:b/>
                <w:color w:val="000000"/>
                <w:sz w:val="18"/>
              </w:rPr>
              <w:t>Bottle</w:t>
            </w:r>
          </w:p>
        </w:tc>
        <w:tc>
          <w:tcPr>
            <w:tcMar>
              <w:top w:w="80" w:type="dxa"/>
              <w:left w:w="80" w:type="dxa"/>
              <w:bottom w:w="80" w:type="dxa"/>
              <w:right w:w="80" w:type="dxa"/>
            </w:tcMar>
            <w:vAlign w:val="center"/>
          </w:tcPr>
          <w:p w14:paraId="144DB2EB">
            <w:pPr>
              <w:pStyle w:val="25"/>
              <w:spacing w:before="0" w:after="0" w:line="240" w:lineRule="auto"/>
              <w:ind w:firstLine="0"/>
              <w:jc w:val="left"/>
            </w:pPr>
            <w:r>
              <w:rPr>
                <w:rFonts w:ascii="楷体" w:hAnsi="楷体" w:eastAsia="楷体" w:cs="楷体"/>
                <w:b/>
                <w:color w:val="000000"/>
                <w:sz w:val="18"/>
              </w:rPr>
              <w:t>Dual</w:t>
            </w:r>
          </w:p>
        </w:tc>
        <w:tc>
          <w:tcPr>
            <w:tcMar>
              <w:top w:w="80" w:type="dxa"/>
              <w:left w:w="80" w:type="dxa"/>
              <w:bottom w:w="80" w:type="dxa"/>
              <w:right w:w="80" w:type="dxa"/>
            </w:tcMar>
            <w:vAlign w:val="center"/>
          </w:tcPr>
          <w:p w14:paraId="360CC2D2">
            <w:pPr>
              <w:pStyle w:val="25"/>
              <w:spacing w:before="0" w:after="0" w:line="240" w:lineRule="auto"/>
              <w:ind w:firstLine="0"/>
              <w:jc w:val="left"/>
            </w:pPr>
            <w:r>
              <w:rPr>
                <w:rFonts w:ascii="楷体" w:hAnsi="楷体" w:eastAsia="楷体" w:cs="楷体"/>
                <w:b/>
                <w:color w:val="000000"/>
                <w:sz w:val="18"/>
              </w:rPr>
              <w:t>Params(M)</w:t>
            </w:r>
          </w:p>
        </w:tc>
        <w:tc>
          <w:tcPr>
            <w:tcMar>
              <w:top w:w="80" w:type="dxa"/>
              <w:left w:w="80" w:type="dxa"/>
              <w:bottom w:w="80" w:type="dxa"/>
              <w:right w:w="80" w:type="dxa"/>
            </w:tcMar>
            <w:vAlign w:val="center"/>
          </w:tcPr>
          <w:p w14:paraId="23043DE9">
            <w:pPr>
              <w:pStyle w:val="25"/>
              <w:spacing w:before="0" w:after="0" w:line="240" w:lineRule="auto"/>
              <w:ind w:firstLine="0"/>
              <w:jc w:val="left"/>
            </w:pPr>
            <w:r>
              <w:rPr>
                <w:rFonts w:ascii="楷体" w:hAnsi="楷体" w:eastAsia="楷体" w:cs="楷体"/>
                <w:b/>
                <w:color w:val="000000"/>
                <w:sz w:val="18"/>
              </w:rPr>
              <w:t>FLOPs(G)</w:t>
            </w:r>
          </w:p>
        </w:tc>
        <w:tc>
          <w:tcPr>
            <w:tcMar>
              <w:top w:w="80" w:type="dxa"/>
              <w:left w:w="80" w:type="dxa"/>
              <w:bottom w:w="80" w:type="dxa"/>
              <w:right w:w="80" w:type="dxa"/>
            </w:tcMar>
            <w:vAlign w:val="center"/>
          </w:tcPr>
          <w:p w14:paraId="0F019244">
            <w:pPr>
              <w:pStyle w:val="25"/>
              <w:spacing w:before="0" w:after="0" w:line="240" w:lineRule="auto"/>
              <w:ind w:firstLine="0"/>
              <w:jc w:val="left"/>
            </w:pPr>
            <w:r>
              <w:rPr>
                <w:rFonts w:ascii="楷体" w:hAnsi="楷体" w:eastAsia="楷体" w:cs="楷体"/>
                <w:b/>
                <w:color w:val="000000"/>
                <w:sz w:val="18"/>
              </w:rPr>
              <w:t>Time(ms)</w:t>
            </w:r>
          </w:p>
        </w:tc>
        <w:tc>
          <w:tcPr>
            <w:tcMar>
              <w:top w:w="80" w:type="dxa"/>
              <w:left w:w="80" w:type="dxa"/>
              <w:bottom w:w="80" w:type="dxa"/>
              <w:right w:w="80" w:type="dxa"/>
            </w:tcMar>
            <w:vAlign w:val="center"/>
          </w:tcPr>
          <w:p w14:paraId="57E93719">
            <w:pPr>
              <w:pStyle w:val="25"/>
              <w:spacing w:before="0" w:after="0" w:line="240" w:lineRule="auto"/>
              <w:ind w:firstLine="0"/>
              <w:jc w:val="left"/>
            </w:pPr>
            <w:r>
              <w:rPr>
                <w:rFonts w:ascii="楷体" w:hAnsi="楷体" w:eastAsia="楷体" w:cs="楷体"/>
                <w:b/>
                <w:color w:val="000000"/>
                <w:sz w:val="18"/>
              </w:rPr>
              <w:t>PSNR</w:t>
            </w:r>
          </w:p>
        </w:tc>
        <w:tc>
          <w:tcPr>
            <w:tcMar>
              <w:top w:w="80" w:type="dxa"/>
              <w:left w:w="80" w:type="dxa"/>
              <w:bottom w:w="80" w:type="dxa"/>
              <w:right w:w="80" w:type="dxa"/>
            </w:tcMar>
            <w:vAlign w:val="center"/>
          </w:tcPr>
          <w:p w14:paraId="7DC8E337">
            <w:pPr>
              <w:pStyle w:val="25"/>
              <w:spacing w:before="0" w:after="0" w:line="240" w:lineRule="auto"/>
              <w:ind w:firstLine="0"/>
              <w:jc w:val="left"/>
            </w:pPr>
            <w:r>
              <w:rPr>
                <w:rFonts w:ascii="楷体" w:hAnsi="楷体" w:eastAsia="楷体" w:cs="楷体"/>
                <w:b/>
                <w:color w:val="000000"/>
                <w:sz w:val="18"/>
              </w:rPr>
              <w:t>SSIM</w:t>
            </w:r>
          </w:p>
        </w:tc>
      </w:tr>
      <w:tr w14:paraId="6B9A50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63C1E2BE">
            <w:pPr>
              <w:pStyle w:val="25"/>
              <w:spacing w:before="0" w:after="0" w:line="240" w:lineRule="auto"/>
              <w:ind w:firstLine="0"/>
              <w:jc w:val="left"/>
            </w:pPr>
            <w:r>
              <w:rPr>
                <w:rFonts w:ascii="楷体" w:hAnsi="楷体" w:eastAsia="楷体" w:cs="楷体"/>
                <w:color w:val="000000"/>
                <w:sz w:val="18"/>
              </w:rPr>
              <w:t>DFNG-SARNet</w:t>
            </w:r>
          </w:p>
        </w:tc>
        <w:tc>
          <w:tcPr>
            <w:tcMar>
              <w:top w:w="80" w:type="dxa"/>
              <w:left w:w="80" w:type="dxa"/>
              <w:bottom w:w="80" w:type="dxa"/>
              <w:right w:w="80" w:type="dxa"/>
            </w:tcMar>
            <w:vAlign w:val="center"/>
          </w:tcPr>
          <w:p w14:paraId="37922F6E">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2B9F0EE5">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6F571C5B">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60292F94">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64BBF1D4">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6A89D245">
            <w:pPr>
              <w:pStyle w:val="25"/>
              <w:spacing w:before="0" w:after="0" w:line="240" w:lineRule="auto"/>
              <w:ind w:firstLine="0"/>
              <w:jc w:val="left"/>
            </w:pPr>
            <w:r>
              <w:rPr>
                <w:rFonts w:ascii="楷体" w:hAnsi="楷体" w:eastAsia="楷体" w:cs="楷体"/>
                <w:color w:val="000000"/>
                <w:sz w:val="18"/>
              </w:rPr>
              <w:t>39.3528</w:t>
            </w:r>
          </w:p>
        </w:tc>
        <w:tc>
          <w:tcPr>
            <w:tcMar>
              <w:top w:w="80" w:type="dxa"/>
              <w:left w:w="80" w:type="dxa"/>
              <w:bottom w:w="80" w:type="dxa"/>
              <w:right w:w="80" w:type="dxa"/>
            </w:tcMar>
            <w:vAlign w:val="center"/>
          </w:tcPr>
          <w:p w14:paraId="6470EE2A">
            <w:pPr>
              <w:pStyle w:val="25"/>
              <w:spacing w:before="0" w:after="0" w:line="240" w:lineRule="auto"/>
              <w:ind w:firstLine="0"/>
              <w:jc w:val="left"/>
            </w:pPr>
            <w:r>
              <w:rPr>
                <w:rFonts w:ascii="楷体" w:hAnsi="楷体" w:eastAsia="楷体" w:cs="楷体"/>
                <w:color w:val="000000"/>
                <w:sz w:val="18"/>
              </w:rPr>
              <w:t>15.1513</w:t>
            </w:r>
          </w:p>
        </w:tc>
        <w:tc>
          <w:tcPr>
            <w:tcMar>
              <w:top w:w="80" w:type="dxa"/>
              <w:left w:w="80" w:type="dxa"/>
              <w:bottom w:w="80" w:type="dxa"/>
              <w:right w:w="80" w:type="dxa"/>
            </w:tcMar>
            <w:vAlign w:val="center"/>
          </w:tcPr>
          <w:p w14:paraId="43EE0BBA">
            <w:pPr>
              <w:pStyle w:val="25"/>
              <w:spacing w:before="0" w:after="0" w:line="240" w:lineRule="auto"/>
              <w:ind w:firstLine="0"/>
              <w:jc w:val="left"/>
            </w:pPr>
            <w:r>
              <w:rPr>
                <w:rFonts w:ascii="楷体" w:hAnsi="楷体" w:eastAsia="楷体" w:cs="楷体"/>
                <w:color w:val="000000"/>
                <w:sz w:val="18"/>
              </w:rPr>
              <w:t>26.4494</w:t>
            </w:r>
          </w:p>
        </w:tc>
        <w:tc>
          <w:tcPr>
            <w:tcMar>
              <w:top w:w="80" w:type="dxa"/>
              <w:left w:w="80" w:type="dxa"/>
              <w:bottom w:w="80" w:type="dxa"/>
              <w:right w:w="80" w:type="dxa"/>
            </w:tcMar>
            <w:vAlign w:val="center"/>
          </w:tcPr>
          <w:p w14:paraId="2DA508E5">
            <w:pPr>
              <w:pStyle w:val="25"/>
              <w:spacing w:before="0" w:after="0" w:line="240" w:lineRule="auto"/>
              <w:ind w:firstLine="0"/>
              <w:jc w:val="left"/>
            </w:pPr>
            <w:r>
              <w:rPr>
                <w:rFonts w:ascii="楷体" w:hAnsi="楷体" w:eastAsia="楷体" w:cs="楷体"/>
                <w:b/>
                <w:bCs/>
                <w:color w:val="000000"/>
                <w:sz w:val="18"/>
              </w:rPr>
              <w:t>24.3276</w:t>
            </w:r>
          </w:p>
        </w:tc>
        <w:tc>
          <w:tcPr>
            <w:tcMar>
              <w:top w:w="80" w:type="dxa"/>
              <w:left w:w="80" w:type="dxa"/>
              <w:bottom w:w="80" w:type="dxa"/>
              <w:right w:w="80" w:type="dxa"/>
            </w:tcMar>
            <w:vAlign w:val="center"/>
          </w:tcPr>
          <w:p w14:paraId="0928A342">
            <w:pPr>
              <w:pStyle w:val="25"/>
              <w:spacing w:before="0" w:after="0" w:line="240" w:lineRule="auto"/>
              <w:ind w:firstLine="0"/>
              <w:jc w:val="left"/>
            </w:pPr>
            <w:r>
              <w:rPr>
                <w:rFonts w:ascii="楷体" w:hAnsi="楷体" w:eastAsia="楷体" w:cs="楷体"/>
                <w:b/>
                <w:bCs/>
                <w:color w:val="000000"/>
                <w:sz w:val="18"/>
              </w:rPr>
              <w:t>0.7248</w:t>
            </w:r>
          </w:p>
        </w:tc>
      </w:tr>
      <w:tr w14:paraId="40139D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7320AA8C">
            <w:pPr>
              <w:pStyle w:val="25"/>
              <w:spacing w:before="0" w:after="0" w:line="240" w:lineRule="auto"/>
              <w:ind w:firstLine="0"/>
              <w:jc w:val="left"/>
            </w:pPr>
            <w:r>
              <w:rPr>
                <w:rFonts w:ascii="楷体" w:hAnsi="楷体" w:eastAsia="楷体" w:cs="楷体"/>
                <w:color w:val="000000"/>
                <w:sz w:val="18"/>
              </w:rPr>
              <w:t>w/o MSF</w:t>
            </w:r>
          </w:p>
        </w:tc>
        <w:tc>
          <w:tcPr>
            <w:tcMar>
              <w:top w:w="80" w:type="dxa"/>
              <w:left w:w="80" w:type="dxa"/>
              <w:bottom w:w="80" w:type="dxa"/>
              <w:right w:w="80" w:type="dxa"/>
            </w:tcMar>
            <w:vAlign w:val="center"/>
          </w:tcPr>
          <w:p w14:paraId="5491A663">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34AEEBD7">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4890127E">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7E8B4CCB">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17505576">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488FC6E5">
            <w:pPr>
              <w:pStyle w:val="25"/>
              <w:spacing w:before="0" w:after="0" w:line="240" w:lineRule="auto"/>
              <w:ind w:firstLine="0"/>
              <w:jc w:val="left"/>
            </w:pPr>
            <w:r>
              <w:rPr>
                <w:rFonts w:ascii="楷体" w:hAnsi="楷体" w:eastAsia="楷体" w:cs="楷体"/>
                <w:color w:val="000000"/>
                <w:sz w:val="18"/>
              </w:rPr>
              <w:t>37.6842</w:t>
            </w:r>
          </w:p>
        </w:tc>
        <w:tc>
          <w:tcPr>
            <w:tcMar>
              <w:top w:w="80" w:type="dxa"/>
              <w:left w:w="80" w:type="dxa"/>
              <w:bottom w:w="80" w:type="dxa"/>
              <w:right w:w="80" w:type="dxa"/>
            </w:tcMar>
            <w:vAlign w:val="center"/>
          </w:tcPr>
          <w:p w14:paraId="22BB06C3">
            <w:pPr>
              <w:pStyle w:val="25"/>
              <w:spacing w:before="0" w:after="0" w:line="240" w:lineRule="auto"/>
              <w:ind w:firstLine="0"/>
              <w:jc w:val="left"/>
            </w:pPr>
            <w:r>
              <w:rPr>
                <w:rFonts w:ascii="楷体" w:hAnsi="楷体" w:eastAsia="楷体" w:cs="楷体"/>
                <w:color w:val="000000"/>
                <w:sz w:val="18"/>
              </w:rPr>
              <w:t>13.9826</w:t>
            </w:r>
          </w:p>
        </w:tc>
        <w:tc>
          <w:tcPr>
            <w:tcMar>
              <w:top w:w="80" w:type="dxa"/>
              <w:left w:w="80" w:type="dxa"/>
              <w:bottom w:w="80" w:type="dxa"/>
              <w:right w:w="80" w:type="dxa"/>
            </w:tcMar>
            <w:vAlign w:val="center"/>
          </w:tcPr>
          <w:p w14:paraId="63377B99">
            <w:pPr>
              <w:pStyle w:val="25"/>
              <w:spacing w:before="0" w:after="0" w:line="240" w:lineRule="auto"/>
              <w:ind w:firstLine="0"/>
              <w:jc w:val="left"/>
            </w:pPr>
            <w:r>
              <w:rPr>
                <w:rFonts w:ascii="楷体" w:hAnsi="楷体" w:eastAsia="楷体" w:cs="楷体"/>
                <w:color w:val="000000"/>
                <w:sz w:val="18"/>
              </w:rPr>
              <w:t>24.7315</w:t>
            </w:r>
          </w:p>
        </w:tc>
        <w:tc>
          <w:tcPr>
            <w:tcMar>
              <w:top w:w="80" w:type="dxa"/>
              <w:left w:w="80" w:type="dxa"/>
              <w:bottom w:w="80" w:type="dxa"/>
              <w:right w:w="80" w:type="dxa"/>
            </w:tcMar>
            <w:vAlign w:val="center"/>
          </w:tcPr>
          <w:p w14:paraId="3299A2DE">
            <w:pPr>
              <w:pStyle w:val="25"/>
              <w:spacing w:before="0" w:after="0" w:line="240" w:lineRule="auto"/>
              <w:ind w:firstLine="0"/>
              <w:jc w:val="left"/>
            </w:pPr>
            <w:r>
              <w:rPr>
                <w:rFonts w:ascii="楷体" w:hAnsi="楷体" w:eastAsia="楷体" w:cs="楷体"/>
                <w:color w:val="000000"/>
                <w:sz w:val="18"/>
              </w:rPr>
              <w:t>23.8421</w:t>
            </w:r>
          </w:p>
        </w:tc>
        <w:tc>
          <w:tcPr>
            <w:tcMar>
              <w:top w:w="80" w:type="dxa"/>
              <w:left w:w="80" w:type="dxa"/>
              <w:bottom w:w="80" w:type="dxa"/>
              <w:right w:w="80" w:type="dxa"/>
            </w:tcMar>
            <w:vAlign w:val="center"/>
          </w:tcPr>
          <w:p w14:paraId="4DE1D65A">
            <w:pPr>
              <w:pStyle w:val="25"/>
              <w:spacing w:before="0" w:after="0" w:line="240" w:lineRule="auto"/>
              <w:ind w:firstLine="0"/>
              <w:jc w:val="left"/>
            </w:pPr>
            <w:r>
              <w:rPr>
                <w:rFonts w:ascii="楷体" w:hAnsi="楷体" w:eastAsia="楷体" w:cs="楷体"/>
                <w:color w:val="000000"/>
                <w:sz w:val="18"/>
              </w:rPr>
              <w:t>0.7076</w:t>
            </w:r>
          </w:p>
        </w:tc>
      </w:tr>
      <w:tr w14:paraId="10097E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7BD61EBC">
            <w:pPr>
              <w:pStyle w:val="25"/>
              <w:spacing w:before="0" w:after="0" w:line="240" w:lineRule="auto"/>
              <w:ind w:firstLine="0"/>
              <w:jc w:val="left"/>
            </w:pPr>
            <w:r>
              <w:rPr>
                <w:rFonts w:ascii="楷体" w:hAnsi="楷体" w:eastAsia="楷体" w:cs="楷体"/>
                <w:color w:val="000000"/>
                <w:sz w:val="18"/>
              </w:rPr>
              <w:t>w/o Freq</w:t>
            </w:r>
          </w:p>
        </w:tc>
        <w:tc>
          <w:tcPr>
            <w:tcMar>
              <w:top w:w="80" w:type="dxa"/>
              <w:left w:w="80" w:type="dxa"/>
              <w:bottom w:w="80" w:type="dxa"/>
              <w:right w:w="80" w:type="dxa"/>
            </w:tcMar>
            <w:vAlign w:val="center"/>
          </w:tcPr>
          <w:p w14:paraId="71D20D4F">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33FFA347">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32898812">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72706D41">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10BF8178">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197B6EA5">
            <w:pPr>
              <w:pStyle w:val="25"/>
              <w:spacing w:before="0" w:after="0" w:line="240" w:lineRule="auto"/>
              <w:ind w:firstLine="0"/>
              <w:jc w:val="left"/>
            </w:pPr>
            <w:r>
              <w:rPr>
                <w:rFonts w:ascii="楷体" w:hAnsi="楷体" w:eastAsia="楷体" w:cs="楷体"/>
                <w:color w:val="000000"/>
                <w:sz w:val="18"/>
              </w:rPr>
              <w:t>36.9458</w:t>
            </w:r>
          </w:p>
        </w:tc>
        <w:tc>
          <w:tcPr>
            <w:tcMar>
              <w:top w:w="80" w:type="dxa"/>
              <w:left w:w="80" w:type="dxa"/>
              <w:bottom w:w="80" w:type="dxa"/>
              <w:right w:w="80" w:type="dxa"/>
            </w:tcMar>
            <w:vAlign w:val="center"/>
          </w:tcPr>
          <w:p w14:paraId="2E54F3DC">
            <w:pPr>
              <w:pStyle w:val="25"/>
              <w:spacing w:before="0" w:after="0" w:line="240" w:lineRule="auto"/>
              <w:ind w:firstLine="0"/>
              <w:jc w:val="left"/>
            </w:pPr>
            <w:r>
              <w:rPr>
                <w:rFonts w:ascii="楷体" w:hAnsi="楷体" w:eastAsia="楷体" w:cs="楷体"/>
                <w:color w:val="000000"/>
                <w:sz w:val="18"/>
              </w:rPr>
              <w:t>12.6473</w:t>
            </w:r>
          </w:p>
        </w:tc>
        <w:tc>
          <w:tcPr>
            <w:tcMar>
              <w:top w:w="80" w:type="dxa"/>
              <w:left w:w="80" w:type="dxa"/>
              <w:bottom w:w="80" w:type="dxa"/>
              <w:right w:w="80" w:type="dxa"/>
            </w:tcMar>
            <w:vAlign w:val="center"/>
          </w:tcPr>
          <w:p w14:paraId="6C4419D6">
            <w:pPr>
              <w:pStyle w:val="25"/>
              <w:spacing w:before="0" w:after="0" w:line="240" w:lineRule="auto"/>
              <w:ind w:firstLine="0"/>
              <w:jc w:val="left"/>
            </w:pPr>
            <w:r>
              <w:rPr>
                <w:rFonts w:ascii="楷体" w:hAnsi="楷体" w:eastAsia="楷体" w:cs="楷体"/>
                <w:color w:val="000000"/>
                <w:sz w:val="18"/>
              </w:rPr>
              <w:t>23.8652</w:t>
            </w:r>
          </w:p>
        </w:tc>
        <w:tc>
          <w:tcPr>
            <w:tcMar>
              <w:top w:w="80" w:type="dxa"/>
              <w:left w:w="80" w:type="dxa"/>
              <w:bottom w:w="80" w:type="dxa"/>
              <w:right w:w="80" w:type="dxa"/>
            </w:tcMar>
            <w:vAlign w:val="center"/>
          </w:tcPr>
          <w:p w14:paraId="3009FCB9">
            <w:pPr>
              <w:pStyle w:val="25"/>
              <w:spacing w:before="0" w:after="0" w:line="240" w:lineRule="auto"/>
              <w:ind w:firstLine="0"/>
              <w:jc w:val="left"/>
            </w:pPr>
            <w:r>
              <w:rPr>
                <w:rFonts w:ascii="楷体" w:hAnsi="楷体" w:eastAsia="楷体" w:cs="楷体"/>
                <w:color w:val="000000"/>
                <w:sz w:val="18"/>
              </w:rPr>
              <w:t>23.4937</w:t>
            </w:r>
          </w:p>
        </w:tc>
        <w:tc>
          <w:tcPr>
            <w:tcMar>
              <w:top w:w="80" w:type="dxa"/>
              <w:left w:w="80" w:type="dxa"/>
              <w:bottom w:w="80" w:type="dxa"/>
              <w:right w:w="80" w:type="dxa"/>
            </w:tcMar>
            <w:vAlign w:val="center"/>
          </w:tcPr>
          <w:p w14:paraId="2021A6D4">
            <w:pPr>
              <w:pStyle w:val="25"/>
              <w:spacing w:before="0" w:after="0" w:line="240" w:lineRule="auto"/>
              <w:ind w:firstLine="0"/>
              <w:jc w:val="left"/>
            </w:pPr>
            <w:r>
              <w:rPr>
                <w:rFonts w:ascii="楷体" w:hAnsi="楷体" w:eastAsia="楷体" w:cs="楷体"/>
                <w:color w:val="000000"/>
                <w:sz w:val="18"/>
              </w:rPr>
              <w:t>0.6912</w:t>
            </w:r>
          </w:p>
        </w:tc>
      </w:tr>
      <w:tr w14:paraId="44F738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9456B07">
            <w:pPr>
              <w:pStyle w:val="25"/>
              <w:spacing w:before="0" w:after="0" w:line="240" w:lineRule="auto"/>
              <w:ind w:firstLine="0"/>
              <w:jc w:val="left"/>
            </w:pPr>
            <w:r>
              <w:rPr>
                <w:rFonts w:ascii="楷体" w:hAnsi="楷体" w:eastAsia="楷体" w:cs="楷体"/>
                <w:color w:val="000000"/>
                <w:sz w:val="18"/>
              </w:rPr>
              <w:t>w/o NG</w:t>
            </w:r>
          </w:p>
        </w:tc>
        <w:tc>
          <w:tcPr>
            <w:tcMar>
              <w:top w:w="80" w:type="dxa"/>
              <w:left w:w="80" w:type="dxa"/>
              <w:bottom w:w="80" w:type="dxa"/>
              <w:right w:w="80" w:type="dxa"/>
            </w:tcMar>
            <w:vAlign w:val="center"/>
          </w:tcPr>
          <w:p w14:paraId="71429501">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2D5A0AF1">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66B8BD3D">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06F38C40">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371F8E43">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1A9AC783">
            <w:pPr>
              <w:pStyle w:val="25"/>
              <w:spacing w:before="0" w:after="0" w:line="240" w:lineRule="auto"/>
              <w:ind w:firstLine="0"/>
              <w:jc w:val="left"/>
            </w:pPr>
            <w:r>
              <w:rPr>
                <w:rFonts w:ascii="楷体" w:hAnsi="楷体" w:eastAsia="楷体" w:cs="楷体"/>
                <w:color w:val="000000"/>
                <w:sz w:val="18"/>
              </w:rPr>
              <w:t>38.2167</w:t>
            </w:r>
          </w:p>
        </w:tc>
        <w:tc>
          <w:tcPr>
            <w:tcMar>
              <w:top w:w="80" w:type="dxa"/>
              <w:left w:w="80" w:type="dxa"/>
              <w:bottom w:w="80" w:type="dxa"/>
              <w:right w:w="80" w:type="dxa"/>
            </w:tcMar>
            <w:vAlign w:val="center"/>
          </w:tcPr>
          <w:p w14:paraId="453434A0">
            <w:pPr>
              <w:pStyle w:val="25"/>
              <w:spacing w:before="0" w:after="0" w:line="240" w:lineRule="auto"/>
              <w:ind w:firstLine="0"/>
              <w:jc w:val="left"/>
            </w:pPr>
            <w:r>
              <w:rPr>
                <w:rFonts w:ascii="楷体" w:hAnsi="楷体" w:eastAsia="楷体" w:cs="楷体"/>
                <w:color w:val="000000"/>
                <w:sz w:val="18"/>
              </w:rPr>
              <w:t>14.2368</w:t>
            </w:r>
          </w:p>
        </w:tc>
        <w:tc>
          <w:tcPr>
            <w:tcMar>
              <w:top w:w="80" w:type="dxa"/>
              <w:left w:w="80" w:type="dxa"/>
              <w:bottom w:w="80" w:type="dxa"/>
              <w:right w:w="80" w:type="dxa"/>
            </w:tcMar>
            <w:vAlign w:val="center"/>
          </w:tcPr>
          <w:p w14:paraId="0D2E863F">
            <w:pPr>
              <w:pStyle w:val="25"/>
              <w:spacing w:before="0" w:after="0" w:line="240" w:lineRule="auto"/>
              <w:ind w:firstLine="0"/>
              <w:jc w:val="left"/>
            </w:pPr>
            <w:r>
              <w:rPr>
                <w:rFonts w:ascii="楷体" w:hAnsi="楷体" w:eastAsia="楷体" w:cs="楷体"/>
                <w:color w:val="000000"/>
                <w:sz w:val="18"/>
              </w:rPr>
              <w:t>25.1126</w:t>
            </w:r>
          </w:p>
        </w:tc>
        <w:tc>
          <w:tcPr>
            <w:tcMar>
              <w:top w:w="80" w:type="dxa"/>
              <w:left w:w="80" w:type="dxa"/>
              <w:bottom w:w="80" w:type="dxa"/>
              <w:right w:w="80" w:type="dxa"/>
            </w:tcMar>
            <w:vAlign w:val="center"/>
          </w:tcPr>
          <w:p w14:paraId="068AF67B">
            <w:pPr>
              <w:pStyle w:val="25"/>
              <w:spacing w:before="0" w:after="0" w:line="240" w:lineRule="auto"/>
              <w:ind w:firstLine="0"/>
              <w:jc w:val="left"/>
            </w:pPr>
            <w:r>
              <w:rPr>
                <w:rFonts w:ascii="楷体" w:hAnsi="楷体" w:eastAsia="楷体" w:cs="楷体"/>
                <w:color w:val="000000"/>
                <w:sz w:val="18"/>
              </w:rPr>
              <w:t>23.6554</w:t>
            </w:r>
          </w:p>
        </w:tc>
        <w:tc>
          <w:tcPr>
            <w:tcMar>
              <w:top w:w="80" w:type="dxa"/>
              <w:left w:w="80" w:type="dxa"/>
              <w:bottom w:w="80" w:type="dxa"/>
              <w:right w:w="80" w:type="dxa"/>
            </w:tcMar>
            <w:vAlign w:val="center"/>
          </w:tcPr>
          <w:p w14:paraId="5FC8A6F8">
            <w:pPr>
              <w:pStyle w:val="25"/>
              <w:spacing w:before="0" w:after="0" w:line="240" w:lineRule="auto"/>
              <w:ind w:firstLine="0"/>
              <w:jc w:val="left"/>
            </w:pPr>
            <w:r>
              <w:rPr>
                <w:rFonts w:ascii="楷体" w:hAnsi="楷体" w:eastAsia="楷体" w:cs="楷体"/>
                <w:color w:val="000000"/>
                <w:sz w:val="18"/>
              </w:rPr>
              <w:t>0.6989</w:t>
            </w:r>
          </w:p>
        </w:tc>
      </w:tr>
      <w:tr w14:paraId="5DAE6E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771BD49B">
            <w:pPr>
              <w:pStyle w:val="25"/>
              <w:spacing w:before="0" w:after="0" w:line="240" w:lineRule="auto"/>
              <w:ind w:firstLine="0"/>
              <w:jc w:val="left"/>
            </w:pPr>
            <w:r>
              <w:rPr>
                <w:rFonts w:ascii="楷体" w:hAnsi="楷体" w:eastAsia="楷体" w:cs="楷体"/>
                <w:color w:val="000000"/>
                <w:sz w:val="18"/>
              </w:rPr>
              <w:t>w/o Bottle</w:t>
            </w:r>
          </w:p>
        </w:tc>
        <w:tc>
          <w:tcPr>
            <w:tcMar>
              <w:top w:w="80" w:type="dxa"/>
              <w:left w:w="80" w:type="dxa"/>
              <w:bottom w:w="80" w:type="dxa"/>
              <w:right w:w="80" w:type="dxa"/>
            </w:tcMar>
            <w:vAlign w:val="center"/>
          </w:tcPr>
          <w:p w14:paraId="7842163E">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00B6CF9E">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41575D37">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3B0A1EAB">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404103E2">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7ADB740E">
            <w:pPr>
              <w:pStyle w:val="25"/>
              <w:spacing w:before="0" w:after="0" w:line="240" w:lineRule="auto"/>
              <w:ind w:firstLine="0"/>
              <w:jc w:val="left"/>
            </w:pPr>
            <w:r>
              <w:rPr>
                <w:rFonts w:ascii="楷体" w:hAnsi="楷体" w:eastAsia="楷体" w:cs="楷体"/>
                <w:color w:val="000000"/>
                <w:sz w:val="18"/>
              </w:rPr>
              <w:t>35.8745</w:t>
            </w:r>
          </w:p>
        </w:tc>
        <w:tc>
          <w:tcPr>
            <w:tcMar>
              <w:top w:w="80" w:type="dxa"/>
              <w:left w:w="80" w:type="dxa"/>
              <w:bottom w:w="80" w:type="dxa"/>
              <w:right w:w="80" w:type="dxa"/>
            </w:tcMar>
            <w:vAlign w:val="center"/>
          </w:tcPr>
          <w:p w14:paraId="498B9037">
            <w:pPr>
              <w:pStyle w:val="25"/>
              <w:spacing w:before="0" w:after="0" w:line="240" w:lineRule="auto"/>
              <w:ind w:firstLine="0"/>
              <w:jc w:val="left"/>
            </w:pPr>
            <w:r>
              <w:rPr>
                <w:rFonts w:ascii="楷体" w:hAnsi="楷体" w:eastAsia="楷体" w:cs="楷体"/>
                <w:color w:val="000000"/>
                <w:sz w:val="18"/>
              </w:rPr>
              <w:t>12.9841</w:t>
            </w:r>
          </w:p>
        </w:tc>
        <w:tc>
          <w:tcPr>
            <w:tcMar>
              <w:top w:w="80" w:type="dxa"/>
              <w:left w:w="80" w:type="dxa"/>
              <w:bottom w:w="80" w:type="dxa"/>
              <w:right w:w="80" w:type="dxa"/>
            </w:tcMar>
            <w:vAlign w:val="center"/>
          </w:tcPr>
          <w:p w14:paraId="5433C630">
            <w:pPr>
              <w:pStyle w:val="25"/>
              <w:spacing w:before="0" w:after="0" w:line="240" w:lineRule="auto"/>
              <w:ind w:firstLine="0"/>
              <w:jc w:val="left"/>
            </w:pPr>
            <w:r>
              <w:rPr>
                <w:rFonts w:ascii="楷体" w:hAnsi="楷体" w:eastAsia="楷体" w:cs="楷体"/>
                <w:color w:val="000000"/>
                <w:sz w:val="18"/>
              </w:rPr>
              <w:t>23.9427</w:t>
            </w:r>
          </w:p>
        </w:tc>
        <w:tc>
          <w:tcPr>
            <w:tcMar>
              <w:top w:w="80" w:type="dxa"/>
              <w:left w:w="80" w:type="dxa"/>
              <w:bottom w:w="80" w:type="dxa"/>
              <w:right w:w="80" w:type="dxa"/>
            </w:tcMar>
            <w:vAlign w:val="center"/>
          </w:tcPr>
          <w:p w14:paraId="5ED4791B">
            <w:pPr>
              <w:pStyle w:val="25"/>
              <w:spacing w:before="0" w:after="0" w:line="240" w:lineRule="auto"/>
              <w:ind w:firstLine="0"/>
              <w:jc w:val="left"/>
            </w:pPr>
            <w:r>
              <w:rPr>
                <w:rFonts w:ascii="楷体" w:hAnsi="楷体" w:eastAsia="楷体" w:cs="楷体"/>
                <w:color w:val="000000"/>
                <w:sz w:val="18"/>
              </w:rPr>
              <w:t>23.9273</w:t>
            </w:r>
          </w:p>
        </w:tc>
        <w:tc>
          <w:tcPr>
            <w:tcMar>
              <w:top w:w="80" w:type="dxa"/>
              <w:left w:w="80" w:type="dxa"/>
              <w:bottom w:w="80" w:type="dxa"/>
              <w:right w:w="80" w:type="dxa"/>
            </w:tcMar>
            <w:vAlign w:val="center"/>
          </w:tcPr>
          <w:p w14:paraId="7EC65E58">
            <w:pPr>
              <w:pStyle w:val="25"/>
              <w:spacing w:before="0" w:after="0" w:line="240" w:lineRule="auto"/>
              <w:ind w:firstLine="0"/>
              <w:jc w:val="left"/>
            </w:pPr>
            <w:r>
              <w:rPr>
                <w:rFonts w:ascii="楷体" w:hAnsi="楷体" w:eastAsia="楷体" w:cs="楷体"/>
                <w:color w:val="000000"/>
                <w:sz w:val="18"/>
              </w:rPr>
              <w:t>0.7115</w:t>
            </w:r>
          </w:p>
        </w:tc>
      </w:tr>
      <w:tr w14:paraId="16877E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C2A9CC4">
            <w:pPr>
              <w:pStyle w:val="25"/>
              <w:spacing w:before="0" w:after="0" w:line="240" w:lineRule="auto"/>
              <w:ind w:firstLine="0"/>
              <w:jc w:val="left"/>
            </w:pPr>
            <w:r>
              <w:rPr>
                <w:rFonts w:ascii="楷体" w:hAnsi="楷体" w:eastAsia="楷体" w:cs="楷体"/>
                <w:color w:val="000000"/>
                <w:sz w:val="18"/>
              </w:rPr>
              <w:t>w/o Dual</w:t>
            </w:r>
          </w:p>
        </w:tc>
        <w:tc>
          <w:tcPr>
            <w:tcMar>
              <w:top w:w="80" w:type="dxa"/>
              <w:left w:w="80" w:type="dxa"/>
              <w:bottom w:w="80" w:type="dxa"/>
              <w:right w:w="80" w:type="dxa"/>
            </w:tcMar>
            <w:vAlign w:val="center"/>
          </w:tcPr>
          <w:p w14:paraId="4CBFF279">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7FCF88A5">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5941C294">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0DA8D2B4">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1D340C73">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71AB7A5F">
            <w:pPr>
              <w:pStyle w:val="25"/>
              <w:spacing w:before="0" w:after="0" w:line="240" w:lineRule="auto"/>
              <w:ind w:firstLine="0"/>
              <w:jc w:val="left"/>
            </w:pPr>
            <w:r>
              <w:rPr>
                <w:rFonts w:ascii="楷体" w:hAnsi="楷体" w:eastAsia="楷体" w:cs="楷体"/>
                <w:color w:val="000000"/>
                <w:sz w:val="18"/>
              </w:rPr>
              <w:t>37.4936</w:t>
            </w:r>
          </w:p>
        </w:tc>
        <w:tc>
          <w:tcPr>
            <w:tcMar>
              <w:top w:w="80" w:type="dxa"/>
              <w:left w:w="80" w:type="dxa"/>
              <w:bottom w:w="80" w:type="dxa"/>
              <w:right w:w="80" w:type="dxa"/>
            </w:tcMar>
            <w:vAlign w:val="center"/>
          </w:tcPr>
          <w:p w14:paraId="6998889B">
            <w:pPr>
              <w:pStyle w:val="25"/>
              <w:spacing w:before="0" w:after="0" w:line="240" w:lineRule="auto"/>
              <w:ind w:firstLine="0"/>
              <w:jc w:val="left"/>
            </w:pPr>
            <w:r>
              <w:rPr>
                <w:rFonts w:ascii="楷体" w:hAnsi="楷体" w:eastAsia="楷体" w:cs="楷体"/>
                <w:color w:val="000000"/>
                <w:sz w:val="18"/>
              </w:rPr>
              <w:t>13.7219</w:t>
            </w:r>
          </w:p>
        </w:tc>
        <w:tc>
          <w:tcPr>
            <w:tcMar>
              <w:top w:w="80" w:type="dxa"/>
              <w:left w:w="80" w:type="dxa"/>
              <w:bottom w:w="80" w:type="dxa"/>
              <w:right w:w="80" w:type="dxa"/>
            </w:tcMar>
            <w:vAlign w:val="center"/>
          </w:tcPr>
          <w:p w14:paraId="751CD99D">
            <w:pPr>
              <w:pStyle w:val="25"/>
              <w:spacing w:before="0" w:after="0" w:line="240" w:lineRule="auto"/>
              <w:ind w:firstLine="0"/>
              <w:jc w:val="left"/>
            </w:pPr>
            <w:r>
              <w:rPr>
                <w:rFonts w:ascii="楷体" w:hAnsi="楷体" w:eastAsia="楷体" w:cs="楷体"/>
                <w:color w:val="000000"/>
                <w:sz w:val="18"/>
              </w:rPr>
              <w:t>24.3654</w:t>
            </w:r>
          </w:p>
        </w:tc>
        <w:tc>
          <w:tcPr>
            <w:tcMar>
              <w:top w:w="80" w:type="dxa"/>
              <w:left w:w="80" w:type="dxa"/>
              <w:bottom w:w="80" w:type="dxa"/>
              <w:right w:w="80" w:type="dxa"/>
            </w:tcMar>
            <w:vAlign w:val="center"/>
          </w:tcPr>
          <w:p w14:paraId="5EFB80A4">
            <w:pPr>
              <w:pStyle w:val="25"/>
              <w:spacing w:before="0" w:after="0" w:line="240" w:lineRule="auto"/>
              <w:ind w:firstLine="0"/>
              <w:jc w:val="left"/>
            </w:pPr>
            <w:r>
              <w:rPr>
                <w:rFonts w:ascii="楷体" w:hAnsi="楷体" w:eastAsia="楷体" w:cs="楷体"/>
                <w:color w:val="000000"/>
                <w:sz w:val="18"/>
              </w:rPr>
              <w:t>23.5846</w:t>
            </w:r>
          </w:p>
        </w:tc>
        <w:tc>
          <w:tcPr>
            <w:tcMar>
              <w:top w:w="80" w:type="dxa"/>
              <w:left w:w="80" w:type="dxa"/>
              <w:bottom w:w="80" w:type="dxa"/>
              <w:right w:w="80" w:type="dxa"/>
            </w:tcMar>
            <w:vAlign w:val="center"/>
          </w:tcPr>
          <w:p w14:paraId="49D056A0">
            <w:pPr>
              <w:pStyle w:val="25"/>
              <w:spacing w:before="0" w:after="0" w:line="240" w:lineRule="auto"/>
              <w:ind w:firstLine="0"/>
              <w:jc w:val="left"/>
            </w:pPr>
            <w:r>
              <w:rPr>
                <w:rFonts w:ascii="楷体" w:hAnsi="楷体" w:eastAsia="楷体" w:cs="楷体"/>
                <w:color w:val="000000"/>
                <w:sz w:val="18"/>
              </w:rPr>
              <w:t>0.6953</w:t>
            </w:r>
          </w:p>
        </w:tc>
      </w:tr>
    </w:tbl>
    <w:p w14:paraId="7646750C">
      <w:pPr>
        <w:spacing w:before="0" w:after="0" w:line="360" w:lineRule="auto"/>
        <w:ind w:firstLine="420"/>
        <w:jc w:val="both"/>
        <w:rPr>
          <w:rFonts w:ascii="Times New Roman" w:hAnsi="Times New Roman" w:eastAsia="楷体" w:cs="Times New Roman"/>
          <w:color w:val="000000"/>
          <w:sz w:val="21"/>
        </w:rPr>
      </w:pPr>
    </w:p>
    <w:p w14:paraId="32175FD0">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 xml:space="preserve">定量结果表明，完整 DFNG-SARNet 在 NWPU-RESISC45 合成验证集上取得最优恢复性能，其 PSNR 和 SSIM 分别达到 </w:t>
      </w:r>
      <w:r>
        <w:rPr>
          <w:rFonts w:ascii="Times New Roman" w:hAnsi="Times New Roman" w:eastAsia="楷体" w:cs="Times New Roman"/>
          <w:b/>
          <w:bCs/>
          <w:color w:val="000000"/>
          <w:sz w:val="21"/>
        </w:rPr>
        <w:t>24.3276 dB</w:t>
      </w:r>
      <w:r>
        <w:rPr>
          <w:rFonts w:ascii="Times New Roman" w:hAnsi="Times New Roman" w:eastAsia="楷体" w:cs="Times New Roman"/>
          <w:color w:val="000000"/>
          <w:sz w:val="21"/>
        </w:rPr>
        <w:t xml:space="preserve"> 和 </w:t>
      </w:r>
      <w:r>
        <w:rPr>
          <w:rFonts w:ascii="Times New Roman" w:hAnsi="Times New Roman" w:eastAsia="楷体" w:cs="Times New Roman"/>
          <w:b/>
          <w:bCs/>
          <w:color w:val="000000"/>
          <w:sz w:val="21"/>
        </w:rPr>
        <w:t>0.7248</w:t>
      </w:r>
      <w:r>
        <w:rPr>
          <w:rFonts w:ascii="Times New Roman" w:hAnsi="Times New Roman" w:eastAsia="楷体" w:cs="Times New Roman"/>
          <w:color w:val="000000"/>
          <w:sz w:val="21"/>
        </w:rPr>
        <w:t xml:space="preserve">，均高于所有去模块消融版本。这一结果说明，所提出的多模块协同设计能够在有参考合成 SAR 去噪任务中有效提升整体重建精度与结构保持能力。与 w/o MSF 相比，完整模型的 PSNR 和 SSIM 分别提升 </w:t>
      </w:r>
      <w:r>
        <w:rPr>
          <w:rFonts w:ascii="Times New Roman" w:hAnsi="Times New Roman" w:eastAsia="楷体" w:cs="Times New Roman"/>
          <w:b/>
          <w:bCs/>
          <w:color w:val="000000"/>
          <w:sz w:val="21"/>
        </w:rPr>
        <w:t>0.4855 dB</w:t>
      </w:r>
      <w:r>
        <w:rPr>
          <w:rFonts w:ascii="Times New Roman" w:hAnsi="Times New Roman" w:eastAsia="楷体" w:cs="Times New Roman"/>
          <w:color w:val="000000"/>
          <w:sz w:val="21"/>
        </w:rPr>
        <w:t xml:space="preserve"> 和 </w:t>
      </w:r>
      <w:r>
        <w:rPr>
          <w:rFonts w:ascii="Times New Roman" w:hAnsi="Times New Roman" w:eastAsia="楷体" w:cs="Times New Roman"/>
          <w:b/>
          <w:bCs/>
          <w:color w:val="000000"/>
          <w:sz w:val="21"/>
        </w:rPr>
        <w:t>0.0172</w:t>
      </w:r>
      <w:r>
        <w:rPr>
          <w:rFonts w:ascii="Times New Roman" w:hAnsi="Times New Roman" w:eastAsia="楷体" w:cs="Times New Roman"/>
          <w:color w:val="000000"/>
          <w:sz w:val="21"/>
        </w:rPr>
        <w:t xml:space="preserve">，表明拼接式跳跃连接、多尺度特征融合与残差重建能够增强解码阶段对浅层空间细节和深层语义特征的联合利用，从而改善边缘、纹理及局部散射结构的恢复质量。与 w/o Freq 相比，完整模型的 PSNR 和 SSIM 分别提升 </w:t>
      </w:r>
      <w:r>
        <w:rPr>
          <w:rFonts w:ascii="Times New Roman" w:hAnsi="Times New Roman" w:eastAsia="楷体" w:cs="Times New Roman"/>
          <w:b/>
          <w:bCs/>
          <w:color w:val="000000"/>
          <w:sz w:val="21"/>
        </w:rPr>
        <w:t>0.8339 dB</w:t>
      </w:r>
      <w:r>
        <w:rPr>
          <w:rFonts w:ascii="Times New Roman" w:hAnsi="Times New Roman" w:eastAsia="楷体" w:cs="Times New Roman"/>
          <w:color w:val="000000"/>
          <w:sz w:val="21"/>
        </w:rPr>
        <w:t xml:space="preserve"> 和 </w:t>
      </w:r>
      <w:r>
        <w:rPr>
          <w:rFonts w:ascii="Times New Roman" w:hAnsi="Times New Roman" w:eastAsia="楷体" w:cs="Times New Roman"/>
          <w:b/>
          <w:bCs/>
          <w:color w:val="000000"/>
          <w:sz w:val="21"/>
        </w:rPr>
        <w:t>0.0336</w:t>
      </w:r>
      <w:r>
        <w:rPr>
          <w:rFonts w:ascii="Times New Roman" w:hAnsi="Times New Roman" w:eastAsia="楷体" w:cs="Times New Roman"/>
          <w:color w:val="000000"/>
          <w:sz w:val="21"/>
        </w:rPr>
        <w:t>，该消融项对应的性能退化最为显著，说明频域增强模块在抑制 speckle 高频扰动、保持真实结构高频响应以及提升噪声—细节可分性方面发挥关键作用。</w:t>
      </w:r>
    </w:p>
    <w:p w14:paraId="198DD671">
      <w:pPr>
        <w:spacing w:before="0" w:after="0" w:line="360" w:lineRule="auto"/>
        <w:ind w:firstLine="420"/>
        <w:jc w:val="center"/>
        <w:rPr>
          <w:rFonts w:ascii="Times New Roman" w:hAnsi="Times New Roman" w:eastAsia="楷体" w:cs="Times New Roman"/>
          <w:color w:val="000000"/>
          <w:sz w:val="21"/>
        </w:rPr>
      </w:pPr>
      <w:r>
        <w:rPr>
          <w:rFonts w:hint="eastAsia" w:ascii="Times New Roman" w:hAnsi="Times New Roman" w:eastAsia="楷体" w:cs="Times New Roman"/>
          <w:color w:val="000000"/>
          <w:sz w:val="21"/>
          <w:lang w:eastAsia="zh-CN"/>
        </w:rPr>
        <w:drawing>
          <wp:inline distT="0" distB="0" distL="114300" distR="114300">
            <wp:extent cx="3324225" cy="3397250"/>
            <wp:effectExtent l="0" t="0" r="13335" b="1270"/>
            <wp:docPr id="19" name="图片 19" descr="trn_buildings09_four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n_buildings09_four_panel"/>
                    <pic:cNvPicPr>
                      <a:picLocks noChangeAspect="1"/>
                    </pic:cNvPicPr>
                  </pic:nvPicPr>
                  <pic:blipFill>
                    <a:blip r:embed="rId23"/>
                    <a:stretch>
                      <a:fillRect/>
                    </a:stretch>
                  </pic:blipFill>
                  <pic:spPr>
                    <a:xfrm>
                      <a:off x="0" y="0"/>
                      <a:ext cx="3324225" cy="3397250"/>
                    </a:xfrm>
                    <a:prstGeom prst="rect">
                      <a:avLst/>
                    </a:prstGeom>
                  </pic:spPr>
                </pic:pic>
              </a:graphicData>
            </a:graphic>
          </wp:inline>
        </w:drawing>
      </w:r>
      <w:r>
        <w:rPr>
          <w:rFonts w:hint="eastAsia" w:ascii="Times New Roman" w:hAnsi="Times New Roman" w:eastAsia="楷体" w:cs="Times New Roman"/>
          <w:color w:val="000000"/>
          <w:sz w:val="21"/>
          <w:lang w:eastAsia="zh-CN"/>
        </w:rPr>
        <w:br w:type="textWrapping"/>
      </w:r>
      <w:r>
        <w:rPr>
          <w:rFonts w:ascii="楷体" w:hAnsi="楷体" w:eastAsia="楷体" w:cs="楷体"/>
          <w:b w:val="0"/>
          <w:i w:val="0"/>
          <w:color w:val="000000"/>
          <w:sz w:val="18"/>
          <w:szCs w:val="24"/>
          <w:lang w:val="en-US" w:eastAsia="en-US" w:bidi="ar-SA"/>
        </w:rPr>
        <w:t>图17：合成 SAR 去噪可视化对比图</w:t>
      </w:r>
    </w:p>
    <w:p w14:paraId="110370CB">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进一步分析各功能模块的独立贡献可以发现，移除噪声先验门控后，模型 PSNR 由 24.3276 dB 降至 23.6554 dB，SSIM 由 0.7248 降至 0.6989，分别下降 0.6722 dB 和 0.0259。该结果表明，NoiseEstimator 与 NoiseGuidedGate 所引入的空间自适应噪声调制机制能够为解码过程提供位置相关的噪声先验，使网络在非均匀 speckle 分布下具备更强的局部恢复适应性。移除瓶颈特征增强后，模型仍取得 23.9273 dB 和 0.7115，但相较完整模型分别下降 0.4003 dB 和 0.0133，说明深层瓶颈特征校正能够对全局语义表征和低分辨率高通道特征进行有效补偿，其贡献相对稳定但性能增益弱于频域增强和噪声先验门控。移除双域恢复机制后，PSNR 和 SSIM 分别降至 23.5846 dB 和0.6953，较完整模型下降 0.7430 dB 和 0.0295，表明单一恢复域难以充分刻画 SAR 图像乘性噪声退化过程。相比之下，log-intensity 域恢复能够缓解乘性噪声的非线性扰动，original intensity 域残差补偿则有助于保持辐射强度和局部散射细节，二者的联合建模能够在噪声抑制与结构保真之间取得更优平衡。综合来看，频域增强、双域恢复和噪声先验门控是完整 DFNG-SARNet 性能提升的主要来源，而多尺度融合与瓶颈增强则进一步提升了解码重建的稳定性和细节表达能力。</w:t>
      </w:r>
    </w:p>
    <w:p w14:paraId="31BC3EF4">
      <w:pPr>
        <w:spacing w:before="0" w:after="0" w:line="360" w:lineRule="auto"/>
        <w:ind w:firstLine="420"/>
        <w:jc w:val="both"/>
        <w:rPr>
          <w:rFonts w:hint="eastAsia" w:ascii="Times New Roman" w:hAnsi="Times New Roman" w:eastAsia="楷体" w:cs="Times New Roman"/>
          <w:color w:val="000000"/>
          <w:sz w:val="21"/>
          <w:lang w:eastAsia="zh-CN"/>
        </w:rPr>
      </w:pPr>
      <w:r>
        <w:rPr>
          <w:rFonts w:hint="eastAsia" w:cs="Times New Roman"/>
          <w:color w:val="000000"/>
          <w:sz w:val="21"/>
          <w:lang w:val="en-US" w:eastAsia="zh-CN"/>
        </w:rPr>
        <w:t xml:space="preserve">            </w:t>
      </w:r>
    </w:p>
    <w:bookmarkEnd w:id="54"/>
    <w:p w14:paraId="1C024FC1">
      <w:pPr>
        <w:pStyle w:val="4"/>
        <w:spacing w:before="120" w:after="60" w:line="360" w:lineRule="auto"/>
        <w:ind w:firstLine="0"/>
        <w:jc w:val="left"/>
      </w:pPr>
      <w:bookmarkStart w:id="55" w:name="ucmerced-三类场景泛化结果"/>
      <w:r>
        <w:rPr>
          <w:rFonts w:ascii="Times New Roman" w:hAnsi="Times New Roman" w:eastAsia="黑体" w:cs="Times New Roman"/>
          <w:b/>
          <w:color w:val="000000"/>
          <w:sz w:val="24"/>
        </w:rPr>
        <w:t>4.3 UCMerced 三类场景泛化结果</w:t>
      </w:r>
    </w:p>
    <w:p w14:paraId="467791D9">
      <w:pPr>
        <w:spacing w:before="0" w:after="0" w:line="360" w:lineRule="auto"/>
        <w:ind w:firstLine="420"/>
        <w:jc w:val="both"/>
      </w:pPr>
      <w:r>
        <w:rPr>
          <w:rFonts w:ascii="Times New Roman" w:hAnsi="Times New Roman" w:eastAsia="楷体" w:cs="Times New Roman"/>
          <w:color w:val="000000"/>
          <w:sz w:val="21"/>
        </w:rPr>
        <w:t>UCMerced_LandUse 三类典型场景测试用于评价模型在未参与主训练的数据来源上的场景泛化性能。本文选取 agricultural、buildings 和 residential 三类具有不同地物结构复杂度的场景进行测试，分别对应大面积相对平缓区域、规则建筑边缘区域和密集纹理区域。该实验能够进一步判断各模块在不同遥感结构条件下的稳定性。</w:t>
      </w:r>
    </w:p>
    <w:p w14:paraId="505B2FB5">
      <w:pPr>
        <w:pStyle w:val="12"/>
        <w:spacing w:before="60" w:after="60" w:line="240" w:lineRule="auto"/>
        <w:jc w:val="center"/>
        <w:rPr>
          <w:rFonts w:ascii="楷体" w:hAnsi="楷体" w:eastAsia="楷体" w:cs="楷体"/>
          <w:b w:val="0"/>
          <w:i w:val="0"/>
          <w:color w:val="000000"/>
          <w:sz w:val="18"/>
        </w:rPr>
      </w:pPr>
    </w:p>
    <w:bookmarkEnd w:id="55"/>
    <w:p w14:paraId="21DCA2B5">
      <w:pPr>
        <w:pStyle w:val="12"/>
        <w:spacing w:before="60" w:after="60"/>
        <w:jc w:val="center"/>
      </w:pPr>
      <w:bookmarkStart w:id="56" w:name="真实-sar-无参考评价结果"/>
      <w:r>
        <w:rPr>
          <w:rFonts w:ascii="楷体" w:hAnsi="楷体" w:eastAsia="楷体" w:cs="楷体"/>
          <w:i w:val="0"/>
          <w:color w:val="000000"/>
          <w:sz w:val="18"/>
        </w:rPr>
        <w:t>表 9 UCMerced 三类典型场景泛化测试结果</w:t>
      </w:r>
    </w:p>
    <w:tbl>
      <w:tblPr>
        <w:tblStyle w:val="19"/>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1160"/>
        <w:gridCol w:w="413"/>
        <w:gridCol w:w="743"/>
        <w:gridCol w:w="660"/>
        <w:gridCol w:w="916"/>
        <w:gridCol w:w="916"/>
        <w:gridCol w:w="916"/>
        <w:gridCol w:w="916"/>
        <w:gridCol w:w="916"/>
        <w:gridCol w:w="916"/>
      </w:tblGrid>
      <w:tr w14:paraId="0D29FF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W w:w="0" w:type="auto"/>
            <w:tcBorders>
              <w:bottom w:val="single" w:color="auto" w:sz="0" w:space="0"/>
            </w:tcBorders>
            <w:tcMar>
              <w:top w:w="80" w:type="dxa"/>
              <w:left w:w="80" w:type="dxa"/>
              <w:bottom w:w="80" w:type="dxa"/>
              <w:right w:w="80" w:type="dxa"/>
            </w:tcMar>
            <w:vAlign w:val="center"/>
          </w:tcPr>
          <w:p w14:paraId="285AB8FF">
            <w:pPr>
              <w:pStyle w:val="25"/>
              <w:spacing w:line="240" w:lineRule="auto"/>
              <w:ind w:firstLine="0"/>
              <w:jc w:val="left"/>
            </w:pPr>
            <w:r>
              <w:rPr>
                <w:rFonts w:ascii="楷体" w:hAnsi="楷体" w:cs="楷体"/>
                <w:b/>
                <w:sz w:val="18"/>
              </w:rPr>
              <w:t>Scene</w:t>
            </w:r>
          </w:p>
        </w:tc>
        <w:tc>
          <w:tcPr>
            <w:tcW w:w="0" w:type="auto"/>
            <w:tcBorders>
              <w:bottom w:val="single" w:color="auto" w:sz="0" w:space="0"/>
            </w:tcBorders>
            <w:tcMar>
              <w:top w:w="80" w:type="dxa"/>
              <w:left w:w="80" w:type="dxa"/>
              <w:bottom w:w="80" w:type="dxa"/>
              <w:right w:w="80" w:type="dxa"/>
            </w:tcMar>
            <w:vAlign w:val="center"/>
          </w:tcPr>
          <w:p w14:paraId="3B77CDCD">
            <w:pPr>
              <w:pStyle w:val="25"/>
              <w:spacing w:line="240" w:lineRule="auto"/>
              <w:ind w:firstLine="0"/>
              <w:jc w:val="left"/>
            </w:pPr>
            <w:r>
              <w:rPr>
                <w:rFonts w:ascii="楷体" w:hAnsi="楷体" w:cs="楷体"/>
                <w:b/>
                <w:sz w:val="18"/>
              </w:rPr>
              <w:t>Num</w:t>
            </w:r>
          </w:p>
        </w:tc>
        <w:tc>
          <w:tcPr>
            <w:tcW w:w="0" w:type="auto"/>
            <w:tcBorders>
              <w:bottom w:val="single" w:color="auto" w:sz="0" w:space="0"/>
            </w:tcBorders>
            <w:tcMar>
              <w:top w:w="80" w:type="dxa"/>
              <w:left w:w="80" w:type="dxa"/>
              <w:bottom w:w="80" w:type="dxa"/>
              <w:right w:w="80" w:type="dxa"/>
            </w:tcMar>
            <w:vAlign w:val="center"/>
          </w:tcPr>
          <w:p w14:paraId="7E1F1007">
            <w:pPr>
              <w:pStyle w:val="25"/>
              <w:spacing w:line="240" w:lineRule="auto"/>
              <w:ind w:firstLine="0"/>
              <w:jc w:val="left"/>
            </w:pPr>
            <w:r>
              <w:rPr>
                <w:rFonts w:ascii="楷体" w:hAnsi="楷体" w:cs="楷体"/>
                <w:b/>
                <w:sz w:val="18"/>
              </w:rPr>
              <w:t>Noisy PSNR</w:t>
            </w:r>
          </w:p>
        </w:tc>
        <w:tc>
          <w:tcPr>
            <w:tcW w:w="0" w:type="auto"/>
            <w:tcBorders>
              <w:bottom w:val="single" w:color="auto" w:sz="0" w:space="0"/>
            </w:tcBorders>
            <w:tcMar>
              <w:top w:w="80" w:type="dxa"/>
              <w:left w:w="80" w:type="dxa"/>
              <w:bottom w:w="80" w:type="dxa"/>
              <w:right w:w="80" w:type="dxa"/>
            </w:tcMar>
            <w:vAlign w:val="center"/>
          </w:tcPr>
          <w:p w14:paraId="08B6E597">
            <w:pPr>
              <w:pStyle w:val="25"/>
              <w:spacing w:line="240" w:lineRule="auto"/>
              <w:ind w:firstLine="0"/>
              <w:jc w:val="left"/>
            </w:pPr>
            <w:r>
              <w:rPr>
                <w:rFonts w:ascii="楷体" w:hAnsi="楷体" w:cs="楷体"/>
                <w:b/>
                <w:sz w:val="18"/>
              </w:rPr>
              <w:t>Noisy SSIM</w:t>
            </w:r>
          </w:p>
        </w:tc>
        <w:tc>
          <w:tcPr>
            <w:tcW w:w="0" w:type="auto"/>
            <w:tcBorders>
              <w:bottom w:val="single" w:color="auto" w:sz="0" w:space="0"/>
            </w:tcBorders>
            <w:tcMar>
              <w:top w:w="80" w:type="dxa"/>
              <w:left w:w="80" w:type="dxa"/>
              <w:bottom w:w="80" w:type="dxa"/>
              <w:right w:w="80" w:type="dxa"/>
            </w:tcMar>
            <w:vAlign w:val="center"/>
          </w:tcPr>
          <w:p w14:paraId="6B928DDF">
            <w:pPr>
              <w:pStyle w:val="25"/>
              <w:spacing w:line="240" w:lineRule="auto"/>
              <w:ind w:firstLine="0"/>
              <w:jc w:val="left"/>
            </w:pPr>
            <w:r>
              <w:rPr>
                <w:rFonts w:ascii="楷体" w:hAnsi="楷体" w:cs="楷体"/>
                <w:b/>
                <w:sz w:val="18"/>
              </w:rPr>
              <w:t>DFNG PSNR/SSIM</w:t>
            </w:r>
          </w:p>
        </w:tc>
        <w:tc>
          <w:tcPr>
            <w:tcW w:w="0" w:type="auto"/>
            <w:tcBorders>
              <w:bottom w:val="single" w:color="auto" w:sz="0" w:space="0"/>
            </w:tcBorders>
            <w:tcMar>
              <w:top w:w="80" w:type="dxa"/>
              <w:left w:w="80" w:type="dxa"/>
              <w:bottom w:w="80" w:type="dxa"/>
              <w:right w:w="80" w:type="dxa"/>
            </w:tcMar>
            <w:vAlign w:val="center"/>
          </w:tcPr>
          <w:p w14:paraId="705990CE">
            <w:pPr>
              <w:pStyle w:val="25"/>
              <w:spacing w:line="240" w:lineRule="auto"/>
              <w:ind w:firstLine="0"/>
              <w:jc w:val="left"/>
            </w:pPr>
            <w:r>
              <w:rPr>
                <w:rFonts w:ascii="楷体" w:hAnsi="楷体" w:cs="楷体"/>
                <w:b/>
                <w:sz w:val="18"/>
              </w:rPr>
              <w:t>w/o MSF PSNR/SSIM</w:t>
            </w:r>
          </w:p>
        </w:tc>
        <w:tc>
          <w:tcPr>
            <w:tcW w:w="0" w:type="auto"/>
            <w:tcBorders>
              <w:bottom w:val="single" w:color="auto" w:sz="0" w:space="0"/>
            </w:tcBorders>
            <w:tcMar>
              <w:top w:w="80" w:type="dxa"/>
              <w:left w:w="80" w:type="dxa"/>
              <w:bottom w:w="80" w:type="dxa"/>
              <w:right w:w="80" w:type="dxa"/>
            </w:tcMar>
            <w:vAlign w:val="center"/>
          </w:tcPr>
          <w:p w14:paraId="37152526">
            <w:pPr>
              <w:pStyle w:val="25"/>
              <w:spacing w:line="240" w:lineRule="auto"/>
              <w:ind w:firstLine="0"/>
              <w:jc w:val="left"/>
            </w:pPr>
            <w:r>
              <w:rPr>
                <w:rFonts w:ascii="楷体" w:hAnsi="楷体" w:cs="楷体"/>
                <w:b/>
                <w:sz w:val="18"/>
              </w:rPr>
              <w:t>w/o Freq PSNR/SSIM</w:t>
            </w:r>
          </w:p>
        </w:tc>
        <w:tc>
          <w:tcPr>
            <w:tcW w:w="0" w:type="auto"/>
            <w:tcBorders>
              <w:bottom w:val="single" w:color="auto" w:sz="0" w:space="0"/>
            </w:tcBorders>
            <w:tcMar>
              <w:top w:w="80" w:type="dxa"/>
              <w:left w:w="80" w:type="dxa"/>
              <w:bottom w:w="80" w:type="dxa"/>
              <w:right w:w="80" w:type="dxa"/>
            </w:tcMar>
            <w:vAlign w:val="center"/>
          </w:tcPr>
          <w:p w14:paraId="413EF573">
            <w:pPr>
              <w:pStyle w:val="25"/>
              <w:spacing w:line="240" w:lineRule="auto"/>
              <w:ind w:firstLine="0"/>
              <w:jc w:val="left"/>
            </w:pPr>
            <w:r>
              <w:rPr>
                <w:rFonts w:ascii="楷体" w:hAnsi="楷体" w:cs="楷体"/>
                <w:b/>
                <w:sz w:val="18"/>
              </w:rPr>
              <w:t>w/o NG PSNR/SSIM</w:t>
            </w:r>
          </w:p>
        </w:tc>
        <w:tc>
          <w:tcPr>
            <w:tcW w:w="0" w:type="auto"/>
            <w:tcBorders>
              <w:bottom w:val="single" w:color="auto" w:sz="0" w:space="0"/>
            </w:tcBorders>
            <w:tcMar>
              <w:top w:w="80" w:type="dxa"/>
              <w:left w:w="80" w:type="dxa"/>
              <w:bottom w:w="80" w:type="dxa"/>
              <w:right w:w="80" w:type="dxa"/>
            </w:tcMar>
            <w:vAlign w:val="center"/>
          </w:tcPr>
          <w:p w14:paraId="275B2408">
            <w:pPr>
              <w:pStyle w:val="25"/>
              <w:spacing w:line="240" w:lineRule="auto"/>
              <w:ind w:firstLine="0"/>
              <w:jc w:val="left"/>
            </w:pPr>
            <w:r>
              <w:rPr>
                <w:rFonts w:ascii="楷体" w:hAnsi="楷体" w:cs="楷体"/>
                <w:b/>
                <w:sz w:val="18"/>
              </w:rPr>
              <w:t>w/o Bottle PSNR/SSIM</w:t>
            </w:r>
          </w:p>
        </w:tc>
        <w:tc>
          <w:tcPr>
            <w:tcW w:w="0" w:type="auto"/>
            <w:tcBorders>
              <w:bottom w:val="single" w:color="auto" w:sz="0" w:space="0"/>
            </w:tcBorders>
            <w:tcMar>
              <w:top w:w="80" w:type="dxa"/>
              <w:left w:w="80" w:type="dxa"/>
              <w:bottom w:w="80" w:type="dxa"/>
              <w:right w:w="80" w:type="dxa"/>
            </w:tcMar>
            <w:vAlign w:val="center"/>
          </w:tcPr>
          <w:p w14:paraId="6E8205EB">
            <w:pPr>
              <w:pStyle w:val="25"/>
              <w:spacing w:line="240" w:lineRule="auto"/>
              <w:ind w:firstLine="0"/>
              <w:jc w:val="left"/>
            </w:pPr>
            <w:r>
              <w:rPr>
                <w:rFonts w:ascii="楷体" w:hAnsi="楷体" w:cs="楷体"/>
                <w:b/>
                <w:sz w:val="18"/>
              </w:rPr>
              <w:t>w/o Dual PSNR/SSIM</w:t>
            </w:r>
          </w:p>
        </w:tc>
      </w:tr>
      <w:tr w14:paraId="201144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0" w:type="auto"/>
            <w:tcMar>
              <w:top w:w="80" w:type="dxa"/>
              <w:left w:w="80" w:type="dxa"/>
              <w:bottom w:w="80" w:type="dxa"/>
              <w:right w:w="80" w:type="dxa"/>
            </w:tcMar>
            <w:vAlign w:val="center"/>
          </w:tcPr>
          <w:p w14:paraId="1F3630FC">
            <w:pPr>
              <w:pStyle w:val="25"/>
              <w:spacing w:line="240" w:lineRule="auto"/>
              <w:ind w:firstLine="0"/>
              <w:jc w:val="left"/>
            </w:pPr>
            <w:r>
              <w:rPr>
                <w:rFonts w:ascii="楷体" w:hAnsi="楷体" w:cs="楷体"/>
                <w:sz w:val="18"/>
              </w:rPr>
              <w:t>Agricultural</w:t>
            </w:r>
          </w:p>
        </w:tc>
        <w:tc>
          <w:tcPr>
            <w:tcW w:w="0" w:type="auto"/>
            <w:tcMar>
              <w:top w:w="80" w:type="dxa"/>
              <w:left w:w="80" w:type="dxa"/>
              <w:bottom w:w="80" w:type="dxa"/>
              <w:right w:w="80" w:type="dxa"/>
            </w:tcMar>
            <w:vAlign w:val="center"/>
          </w:tcPr>
          <w:p w14:paraId="7D01EEBD">
            <w:pPr>
              <w:pStyle w:val="25"/>
              <w:spacing w:line="240" w:lineRule="auto"/>
              <w:ind w:firstLine="0"/>
              <w:jc w:val="left"/>
            </w:pPr>
            <w:r>
              <w:rPr>
                <w:rFonts w:ascii="楷体" w:hAnsi="楷体" w:cs="楷体"/>
                <w:sz w:val="18"/>
              </w:rPr>
              <w:t>100</w:t>
            </w:r>
          </w:p>
        </w:tc>
        <w:tc>
          <w:tcPr>
            <w:tcW w:w="0" w:type="auto"/>
            <w:tcMar>
              <w:top w:w="80" w:type="dxa"/>
              <w:left w:w="80" w:type="dxa"/>
              <w:bottom w:w="80" w:type="dxa"/>
              <w:right w:w="80" w:type="dxa"/>
            </w:tcMar>
            <w:vAlign w:val="center"/>
          </w:tcPr>
          <w:p w14:paraId="4E30B588">
            <w:pPr>
              <w:pStyle w:val="25"/>
              <w:spacing w:line="240" w:lineRule="auto"/>
              <w:ind w:firstLine="0"/>
              <w:jc w:val="left"/>
              <w:rPr>
                <w:rFonts w:hint="default" w:eastAsia="楷体"/>
                <w:lang w:val="en-US" w:eastAsia="zh-CN"/>
              </w:rPr>
            </w:pPr>
            <w:r>
              <w:rPr>
                <w:rFonts w:ascii="楷体" w:hAnsi="楷体" w:cs="楷体"/>
                <w:sz w:val="18"/>
              </w:rPr>
              <w:t>1</w:t>
            </w:r>
            <w:r>
              <w:rPr>
                <w:rFonts w:hint="eastAsia" w:ascii="楷体" w:hAnsi="楷体" w:cs="楷体"/>
                <w:sz w:val="18"/>
                <w:lang w:val="en-US" w:eastAsia="zh-CN"/>
              </w:rPr>
              <w:t>7.7573</w:t>
            </w:r>
          </w:p>
        </w:tc>
        <w:tc>
          <w:tcPr>
            <w:tcW w:w="0" w:type="auto"/>
            <w:tcMar>
              <w:top w:w="80" w:type="dxa"/>
              <w:left w:w="80" w:type="dxa"/>
              <w:bottom w:w="80" w:type="dxa"/>
              <w:right w:w="80" w:type="dxa"/>
            </w:tcMar>
            <w:vAlign w:val="center"/>
          </w:tcPr>
          <w:p w14:paraId="3DB0F966">
            <w:pPr>
              <w:pStyle w:val="25"/>
              <w:spacing w:line="240" w:lineRule="auto"/>
              <w:ind w:firstLine="0"/>
              <w:jc w:val="left"/>
            </w:pPr>
            <w:r>
              <w:rPr>
                <w:rFonts w:ascii="楷体" w:hAnsi="楷体" w:cs="楷体"/>
                <w:sz w:val="18"/>
              </w:rPr>
              <w:t>0.4218</w:t>
            </w:r>
          </w:p>
        </w:tc>
        <w:tc>
          <w:tcPr>
            <w:tcW w:w="0" w:type="auto"/>
            <w:tcMar>
              <w:top w:w="80" w:type="dxa"/>
              <w:left w:w="80" w:type="dxa"/>
              <w:bottom w:w="80" w:type="dxa"/>
              <w:right w:w="80" w:type="dxa"/>
            </w:tcMar>
            <w:vAlign w:val="center"/>
          </w:tcPr>
          <w:p w14:paraId="495C9379">
            <w:pPr>
              <w:pStyle w:val="25"/>
              <w:spacing w:line="240" w:lineRule="auto"/>
              <w:ind w:firstLine="0"/>
              <w:jc w:val="left"/>
            </w:pPr>
            <w:r>
              <w:rPr>
                <w:rFonts w:ascii="楷体" w:hAnsi="楷体" w:cs="楷体"/>
                <w:b/>
                <w:bCs/>
                <w:sz w:val="18"/>
              </w:rPr>
              <w:t>24.1523 / 0.7046</w:t>
            </w:r>
          </w:p>
        </w:tc>
        <w:tc>
          <w:tcPr>
            <w:tcW w:w="0" w:type="auto"/>
            <w:tcMar>
              <w:top w:w="80" w:type="dxa"/>
              <w:left w:w="80" w:type="dxa"/>
              <w:bottom w:w="80" w:type="dxa"/>
              <w:right w:w="80" w:type="dxa"/>
            </w:tcMar>
            <w:vAlign w:val="center"/>
          </w:tcPr>
          <w:p w14:paraId="7F92657D">
            <w:pPr>
              <w:pStyle w:val="25"/>
              <w:spacing w:line="240" w:lineRule="auto"/>
              <w:ind w:firstLine="0"/>
              <w:jc w:val="left"/>
            </w:pPr>
            <w:r>
              <w:rPr>
                <w:rFonts w:ascii="楷体" w:hAnsi="楷体" w:cs="楷体"/>
                <w:sz w:val="18"/>
              </w:rPr>
              <w:t>23.6841 / 0.6871</w:t>
            </w:r>
          </w:p>
        </w:tc>
        <w:tc>
          <w:tcPr>
            <w:tcW w:w="0" w:type="auto"/>
            <w:tcMar>
              <w:top w:w="80" w:type="dxa"/>
              <w:left w:w="80" w:type="dxa"/>
              <w:bottom w:w="80" w:type="dxa"/>
              <w:right w:w="80" w:type="dxa"/>
            </w:tcMar>
            <w:vAlign w:val="center"/>
          </w:tcPr>
          <w:p w14:paraId="2E4C7920">
            <w:pPr>
              <w:pStyle w:val="25"/>
              <w:spacing w:line="240" w:lineRule="auto"/>
              <w:ind w:firstLine="0"/>
              <w:jc w:val="left"/>
            </w:pPr>
            <w:r>
              <w:rPr>
                <w:rFonts w:ascii="楷体" w:hAnsi="楷体" w:cs="楷体"/>
                <w:sz w:val="18"/>
              </w:rPr>
              <w:t>23.3126 / 0.6714</w:t>
            </w:r>
          </w:p>
        </w:tc>
        <w:tc>
          <w:tcPr>
            <w:tcW w:w="0" w:type="auto"/>
            <w:tcMar>
              <w:top w:w="80" w:type="dxa"/>
              <w:left w:w="80" w:type="dxa"/>
              <w:bottom w:w="80" w:type="dxa"/>
              <w:right w:w="80" w:type="dxa"/>
            </w:tcMar>
            <w:vAlign w:val="center"/>
          </w:tcPr>
          <w:p w14:paraId="46CF9F42">
            <w:pPr>
              <w:pStyle w:val="25"/>
              <w:spacing w:line="240" w:lineRule="auto"/>
              <w:ind w:firstLine="0"/>
              <w:jc w:val="left"/>
            </w:pPr>
            <w:r>
              <w:rPr>
                <w:rFonts w:ascii="楷体" w:hAnsi="楷体" w:cs="楷体"/>
                <w:sz w:val="18"/>
              </w:rPr>
              <w:t>23.5278 / 0.6803</w:t>
            </w:r>
          </w:p>
        </w:tc>
        <w:tc>
          <w:tcPr>
            <w:tcW w:w="0" w:type="auto"/>
            <w:tcMar>
              <w:top w:w="80" w:type="dxa"/>
              <w:left w:w="80" w:type="dxa"/>
              <w:bottom w:w="80" w:type="dxa"/>
              <w:right w:w="80" w:type="dxa"/>
            </w:tcMar>
            <w:vAlign w:val="center"/>
          </w:tcPr>
          <w:p w14:paraId="261D90A1">
            <w:pPr>
              <w:pStyle w:val="25"/>
              <w:spacing w:line="240" w:lineRule="auto"/>
              <w:ind w:firstLine="0"/>
              <w:jc w:val="left"/>
            </w:pPr>
            <w:r>
              <w:rPr>
                <w:rFonts w:ascii="楷体" w:hAnsi="楷体" w:cs="楷体"/>
                <w:sz w:val="18"/>
              </w:rPr>
              <w:t>23.7615 / 0.6908</w:t>
            </w:r>
          </w:p>
        </w:tc>
        <w:tc>
          <w:tcPr>
            <w:tcW w:w="0" w:type="auto"/>
            <w:tcMar>
              <w:top w:w="80" w:type="dxa"/>
              <w:left w:w="80" w:type="dxa"/>
              <w:bottom w:w="80" w:type="dxa"/>
              <w:right w:w="80" w:type="dxa"/>
            </w:tcMar>
            <w:vAlign w:val="center"/>
          </w:tcPr>
          <w:p w14:paraId="5742284F">
            <w:pPr>
              <w:pStyle w:val="25"/>
              <w:spacing w:line="240" w:lineRule="auto"/>
              <w:ind w:firstLine="0"/>
              <w:jc w:val="left"/>
            </w:pPr>
            <w:r>
              <w:rPr>
                <w:rFonts w:ascii="楷体" w:hAnsi="楷体" w:cs="楷体"/>
                <w:sz w:val="18"/>
              </w:rPr>
              <w:t>23.4382 / 0.6763</w:t>
            </w:r>
          </w:p>
        </w:tc>
      </w:tr>
      <w:tr w14:paraId="7FB096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0" w:type="auto"/>
            <w:tcMar>
              <w:top w:w="80" w:type="dxa"/>
              <w:left w:w="80" w:type="dxa"/>
              <w:bottom w:w="80" w:type="dxa"/>
              <w:right w:w="80" w:type="dxa"/>
            </w:tcMar>
            <w:vAlign w:val="center"/>
          </w:tcPr>
          <w:p w14:paraId="518D2277">
            <w:pPr>
              <w:pStyle w:val="25"/>
              <w:spacing w:line="240" w:lineRule="auto"/>
              <w:ind w:firstLine="0"/>
              <w:jc w:val="left"/>
            </w:pPr>
            <w:r>
              <w:rPr>
                <w:rFonts w:ascii="楷体" w:hAnsi="楷体" w:cs="楷体"/>
                <w:sz w:val="18"/>
              </w:rPr>
              <w:t>Buildings</w:t>
            </w:r>
          </w:p>
        </w:tc>
        <w:tc>
          <w:tcPr>
            <w:tcW w:w="0" w:type="auto"/>
            <w:tcMar>
              <w:top w:w="80" w:type="dxa"/>
              <w:left w:w="80" w:type="dxa"/>
              <w:bottom w:w="80" w:type="dxa"/>
              <w:right w:w="80" w:type="dxa"/>
            </w:tcMar>
            <w:vAlign w:val="center"/>
          </w:tcPr>
          <w:p w14:paraId="2E701330">
            <w:pPr>
              <w:pStyle w:val="25"/>
              <w:spacing w:line="240" w:lineRule="auto"/>
              <w:ind w:firstLine="0"/>
              <w:jc w:val="left"/>
            </w:pPr>
            <w:r>
              <w:rPr>
                <w:rFonts w:ascii="楷体" w:hAnsi="楷体" w:cs="楷体"/>
                <w:sz w:val="18"/>
              </w:rPr>
              <w:t>100</w:t>
            </w:r>
          </w:p>
        </w:tc>
        <w:tc>
          <w:tcPr>
            <w:tcW w:w="0" w:type="auto"/>
            <w:tcMar>
              <w:top w:w="80" w:type="dxa"/>
              <w:left w:w="80" w:type="dxa"/>
              <w:bottom w:w="80" w:type="dxa"/>
              <w:right w:w="80" w:type="dxa"/>
            </w:tcMar>
            <w:vAlign w:val="center"/>
          </w:tcPr>
          <w:p w14:paraId="1C9CD7C1">
            <w:pPr>
              <w:pStyle w:val="25"/>
              <w:spacing w:line="240" w:lineRule="auto"/>
              <w:ind w:firstLine="0"/>
              <w:jc w:val="left"/>
              <w:rPr>
                <w:rFonts w:hint="default" w:eastAsia="楷体"/>
                <w:lang w:val="en-US" w:eastAsia="zh-CN"/>
              </w:rPr>
            </w:pPr>
            <w:r>
              <w:rPr>
                <w:rFonts w:ascii="楷体" w:hAnsi="楷体" w:cs="楷体"/>
                <w:sz w:val="18"/>
              </w:rPr>
              <w:t>1</w:t>
            </w:r>
            <w:r>
              <w:rPr>
                <w:rFonts w:hint="eastAsia" w:ascii="楷体" w:hAnsi="楷体" w:cs="楷体"/>
                <w:sz w:val="18"/>
                <w:lang w:val="en-US" w:eastAsia="zh-CN"/>
              </w:rPr>
              <w:t>6.6583</w:t>
            </w:r>
          </w:p>
        </w:tc>
        <w:tc>
          <w:tcPr>
            <w:tcW w:w="0" w:type="auto"/>
            <w:tcMar>
              <w:top w:w="80" w:type="dxa"/>
              <w:left w:w="80" w:type="dxa"/>
              <w:bottom w:w="80" w:type="dxa"/>
              <w:right w:w="80" w:type="dxa"/>
            </w:tcMar>
            <w:vAlign w:val="center"/>
          </w:tcPr>
          <w:p w14:paraId="480DCD3F">
            <w:pPr>
              <w:pStyle w:val="25"/>
              <w:spacing w:line="240" w:lineRule="auto"/>
              <w:ind w:firstLine="0"/>
              <w:jc w:val="left"/>
            </w:pPr>
            <w:r>
              <w:rPr>
                <w:rFonts w:ascii="楷体" w:hAnsi="楷体" w:cs="楷体"/>
                <w:sz w:val="18"/>
              </w:rPr>
              <w:t>0.4625</w:t>
            </w:r>
          </w:p>
        </w:tc>
        <w:tc>
          <w:tcPr>
            <w:tcW w:w="0" w:type="auto"/>
            <w:tcMar>
              <w:top w:w="80" w:type="dxa"/>
              <w:left w:w="80" w:type="dxa"/>
              <w:bottom w:w="80" w:type="dxa"/>
              <w:right w:w="80" w:type="dxa"/>
            </w:tcMar>
            <w:vAlign w:val="center"/>
          </w:tcPr>
          <w:p w14:paraId="5487C453">
            <w:pPr>
              <w:pStyle w:val="25"/>
              <w:spacing w:line="240" w:lineRule="auto"/>
              <w:ind w:firstLine="0"/>
              <w:jc w:val="left"/>
            </w:pPr>
            <w:r>
              <w:rPr>
                <w:rFonts w:ascii="楷体" w:hAnsi="楷体" w:cs="楷体"/>
                <w:b/>
                <w:bCs/>
                <w:sz w:val="18"/>
              </w:rPr>
              <w:t>23.6827 / 0.7183</w:t>
            </w:r>
          </w:p>
        </w:tc>
        <w:tc>
          <w:tcPr>
            <w:tcW w:w="0" w:type="auto"/>
            <w:tcMar>
              <w:top w:w="80" w:type="dxa"/>
              <w:left w:w="80" w:type="dxa"/>
              <w:bottom w:w="80" w:type="dxa"/>
              <w:right w:w="80" w:type="dxa"/>
            </w:tcMar>
            <w:vAlign w:val="center"/>
          </w:tcPr>
          <w:p w14:paraId="77838734">
            <w:pPr>
              <w:pStyle w:val="25"/>
              <w:spacing w:line="240" w:lineRule="auto"/>
              <w:ind w:firstLine="0"/>
              <w:jc w:val="left"/>
            </w:pPr>
            <w:r>
              <w:rPr>
                <w:rFonts w:ascii="楷体" w:hAnsi="楷体" w:cs="楷体"/>
                <w:sz w:val="18"/>
              </w:rPr>
              <w:t>23.2146 / 0.7015</w:t>
            </w:r>
          </w:p>
        </w:tc>
        <w:tc>
          <w:tcPr>
            <w:tcW w:w="0" w:type="auto"/>
            <w:tcMar>
              <w:top w:w="80" w:type="dxa"/>
              <w:left w:w="80" w:type="dxa"/>
              <w:bottom w:w="80" w:type="dxa"/>
              <w:right w:w="80" w:type="dxa"/>
            </w:tcMar>
            <w:vAlign w:val="center"/>
          </w:tcPr>
          <w:p w14:paraId="0BE6DB0B">
            <w:pPr>
              <w:pStyle w:val="25"/>
              <w:spacing w:line="240" w:lineRule="auto"/>
              <w:ind w:firstLine="0"/>
              <w:jc w:val="left"/>
            </w:pPr>
            <w:r>
              <w:rPr>
                <w:rFonts w:ascii="楷体" w:hAnsi="楷体" w:cs="楷体"/>
                <w:sz w:val="18"/>
              </w:rPr>
              <w:t>22.9058 / 0.6848</w:t>
            </w:r>
          </w:p>
        </w:tc>
        <w:tc>
          <w:tcPr>
            <w:tcW w:w="0" w:type="auto"/>
            <w:tcMar>
              <w:top w:w="80" w:type="dxa"/>
              <w:left w:w="80" w:type="dxa"/>
              <w:bottom w:w="80" w:type="dxa"/>
              <w:right w:w="80" w:type="dxa"/>
            </w:tcMar>
            <w:vAlign w:val="center"/>
          </w:tcPr>
          <w:p w14:paraId="326DDFEE">
            <w:pPr>
              <w:pStyle w:val="25"/>
              <w:spacing w:line="240" w:lineRule="auto"/>
              <w:ind w:firstLine="0"/>
              <w:jc w:val="left"/>
            </w:pPr>
            <w:r>
              <w:rPr>
                <w:rFonts w:ascii="楷体" w:hAnsi="楷体" w:cs="楷体"/>
                <w:sz w:val="18"/>
              </w:rPr>
              <w:t>23.0312 / 0.6926</w:t>
            </w:r>
          </w:p>
        </w:tc>
        <w:tc>
          <w:tcPr>
            <w:tcW w:w="0" w:type="auto"/>
            <w:tcMar>
              <w:top w:w="80" w:type="dxa"/>
              <w:left w:w="80" w:type="dxa"/>
              <w:bottom w:w="80" w:type="dxa"/>
              <w:right w:w="80" w:type="dxa"/>
            </w:tcMar>
            <w:vAlign w:val="center"/>
          </w:tcPr>
          <w:p w14:paraId="3C348A5F">
            <w:pPr>
              <w:pStyle w:val="25"/>
              <w:spacing w:line="240" w:lineRule="auto"/>
              <w:ind w:firstLine="0"/>
              <w:jc w:val="left"/>
            </w:pPr>
            <w:r>
              <w:rPr>
                <w:rFonts w:ascii="楷体" w:hAnsi="楷体" w:cs="楷体"/>
                <w:sz w:val="18"/>
              </w:rPr>
              <w:t>23.2804 / 0.7061</w:t>
            </w:r>
          </w:p>
        </w:tc>
        <w:tc>
          <w:tcPr>
            <w:tcW w:w="0" w:type="auto"/>
            <w:tcMar>
              <w:top w:w="80" w:type="dxa"/>
              <w:left w:w="80" w:type="dxa"/>
              <w:bottom w:w="80" w:type="dxa"/>
              <w:right w:w="80" w:type="dxa"/>
            </w:tcMar>
            <w:vAlign w:val="center"/>
          </w:tcPr>
          <w:p w14:paraId="46AD4158">
            <w:pPr>
              <w:pStyle w:val="25"/>
              <w:spacing w:line="240" w:lineRule="auto"/>
              <w:ind w:firstLine="0"/>
              <w:jc w:val="left"/>
            </w:pPr>
            <w:r>
              <w:rPr>
                <w:rFonts w:ascii="楷体" w:hAnsi="楷体" w:cs="楷体"/>
                <w:sz w:val="18"/>
              </w:rPr>
              <w:t>22.9775 / 0.6882</w:t>
            </w:r>
          </w:p>
        </w:tc>
      </w:tr>
      <w:tr w14:paraId="5B6740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0" w:type="auto"/>
            <w:tcMar>
              <w:top w:w="80" w:type="dxa"/>
              <w:left w:w="80" w:type="dxa"/>
              <w:bottom w:w="80" w:type="dxa"/>
              <w:right w:w="80" w:type="dxa"/>
            </w:tcMar>
            <w:vAlign w:val="center"/>
          </w:tcPr>
          <w:p w14:paraId="3497E06B">
            <w:pPr>
              <w:pStyle w:val="25"/>
              <w:spacing w:line="240" w:lineRule="auto"/>
              <w:ind w:firstLine="0"/>
              <w:jc w:val="left"/>
            </w:pPr>
            <w:r>
              <w:rPr>
                <w:rFonts w:ascii="楷体" w:hAnsi="楷体" w:cs="楷体"/>
                <w:sz w:val="18"/>
              </w:rPr>
              <w:t>Residential</w:t>
            </w:r>
          </w:p>
        </w:tc>
        <w:tc>
          <w:tcPr>
            <w:tcW w:w="0" w:type="auto"/>
            <w:tcMar>
              <w:top w:w="80" w:type="dxa"/>
              <w:left w:w="80" w:type="dxa"/>
              <w:bottom w:w="80" w:type="dxa"/>
              <w:right w:w="80" w:type="dxa"/>
            </w:tcMar>
            <w:vAlign w:val="center"/>
          </w:tcPr>
          <w:p w14:paraId="41893DC4">
            <w:pPr>
              <w:pStyle w:val="25"/>
              <w:spacing w:line="240" w:lineRule="auto"/>
              <w:ind w:firstLine="0"/>
              <w:jc w:val="left"/>
            </w:pPr>
            <w:r>
              <w:rPr>
                <w:rFonts w:ascii="楷体" w:hAnsi="楷体" w:cs="楷体"/>
                <w:sz w:val="18"/>
              </w:rPr>
              <w:t>100</w:t>
            </w:r>
          </w:p>
        </w:tc>
        <w:tc>
          <w:tcPr>
            <w:tcW w:w="0" w:type="auto"/>
            <w:tcMar>
              <w:top w:w="80" w:type="dxa"/>
              <w:left w:w="80" w:type="dxa"/>
              <w:bottom w:w="80" w:type="dxa"/>
              <w:right w:w="80" w:type="dxa"/>
            </w:tcMar>
            <w:vAlign w:val="center"/>
          </w:tcPr>
          <w:p w14:paraId="49135A53">
            <w:pPr>
              <w:pStyle w:val="25"/>
              <w:spacing w:line="240" w:lineRule="auto"/>
              <w:ind w:firstLine="0"/>
              <w:jc w:val="left"/>
              <w:rPr>
                <w:rFonts w:hint="default" w:eastAsia="楷体"/>
                <w:lang w:val="en-US" w:eastAsia="zh-CN"/>
              </w:rPr>
            </w:pPr>
            <w:r>
              <w:rPr>
                <w:rFonts w:ascii="楷体" w:hAnsi="楷体" w:cs="楷体"/>
                <w:sz w:val="18"/>
              </w:rPr>
              <w:t>1</w:t>
            </w:r>
            <w:r>
              <w:rPr>
                <w:rFonts w:hint="eastAsia" w:ascii="楷体" w:hAnsi="楷体" w:cs="楷体"/>
                <w:sz w:val="18"/>
                <w:lang w:val="en-US" w:eastAsia="zh-CN"/>
              </w:rPr>
              <w:t>7.5475</w:t>
            </w:r>
          </w:p>
        </w:tc>
        <w:tc>
          <w:tcPr>
            <w:tcW w:w="0" w:type="auto"/>
            <w:tcMar>
              <w:top w:w="80" w:type="dxa"/>
              <w:left w:w="80" w:type="dxa"/>
              <w:bottom w:w="80" w:type="dxa"/>
              <w:right w:w="80" w:type="dxa"/>
            </w:tcMar>
            <w:vAlign w:val="center"/>
          </w:tcPr>
          <w:p w14:paraId="067CFEFE">
            <w:pPr>
              <w:pStyle w:val="25"/>
              <w:spacing w:line="240" w:lineRule="auto"/>
              <w:ind w:firstLine="0"/>
              <w:jc w:val="left"/>
            </w:pPr>
            <w:r>
              <w:rPr>
                <w:rFonts w:ascii="楷体" w:hAnsi="楷体" w:cs="楷体"/>
                <w:sz w:val="18"/>
              </w:rPr>
              <w:t>0.4557</w:t>
            </w:r>
          </w:p>
        </w:tc>
        <w:tc>
          <w:tcPr>
            <w:tcW w:w="0" w:type="auto"/>
            <w:tcMar>
              <w:top w:w="80" w:type="dxa"/>
              <w:left w:w="80" w:type="dxa"/>
              <w:bottom w:w="80" w:type="dxa"/>
              <w:right w:w="80" w:type="dxa"/>
            </w:tcMar>
            <w:vAlign w:val="center"/>
          </w:tcPr>
          <w:p w14:paraId="044F0BC7">
            <w:pPr>
              <w:pStyle w:val="25"/>
              <w:spacing w:line="240" w:lineRule="auto"/>
              <w:ind w:firstLine="0"/>
              <w:jc w:val="left"/>
            </w:pPr>
            <w:r>
              <w:rPr>
                <w:rFonts w:ascii="楷体" w:hAnsi="楷体" w:cs="楷体"/>
                <w:b/>
                <w:bCs/>
                <w:sz w:val="18"/>
              </w:rPr>
              <w:t>24.4376 / 0.7241</w:t>
            </w:r>
          </w:p>
        </w:tc>
        <w:tc>
          <w:tcPr>
            <w:tcW w:w="0" w:type="auto"/>
            <w:tcMar>
              <w:top w:w="80" w:type="dxa"/>
              <w:left w:w="80" w:type="dxa"/>
              <w:bottom w:w="80" w:type="dxa"/>
              <w:right w:w="80" w:type="dxa"/>
            </w:tcMar>
            <w:vAlign w:val="center"/>
          </w:tcPr>
          <w:p w14:paraId="678378EE">
            <w:pPr>
              <w:pStyle w:val="25"/>
              <w:spacing w:line="240" w:lineRule="auto"/>
              <w:ind w:firstLine="0"/>
              <w:jc w:val="left"/>
            </w:pPr>
            <w:r>
              <w:rPr>
                <w:rFonts w:ascii="楷体" w:hAnsi="楷体" w:cs="楷体"/>
                <w:sz w:val="18"/>
              </w:rPr>
              <w:t>23.9027 / 0.7063</w:t>
            </w:r>
          </w:p>
        </w:tc>
        <w:tc>
          <w:tcPr>
            <w:tcW w:w="0" w:type="auto"/>
            <w:tcMar>
              <w:top w:w="80" w:type="dxa"/>
              <w:left w:w="80" w:type="dxa"/>
              <w:bottom w:w="80" w:type="dxa"/>
              <w:right w:w="80" w:type="dxa"/>
            </w:tcMar>
            <w:vAlign w:val="center"/>
          </w:tcPr>
          <w:p w14:paraId="39C31FAC">
            <w:pPr>
              <w:pStyle w:val="25"/>
              <w:spacing w:line="240" w:lineRule="auto"/>
              <w:ind w:firstLine="0"/>
              <w:jc w:val="left"/>
            </w:pPr>
            <w:r>
              <w:rPr>
                <w:rFonts w:ascii="楷体" w:hAnsi="楷体" w:cs="楷体"/>
                <w:sz w:val="18"/>
              </w:rPr>
              <w:t>23.5649 / 0.6911</w:t>
            </w:r>
          </w:p>
        </w:tc>
        <w:tc>
          <w:tcPr>
            <w:tcW w:w="0" w:type="auto"/>
            <w:tcMar>
              <w:top w:w="80" w:type="dxa"/>
              <w:left w:w="80" w:type="dxa"/>
              <w:bottom w:w="80" w:type="dxa"/>
              <w:right w:w="80" w:type="dxa"/>
            </w:tcMar>
            <w:vAlign w:val="center"/>
          </w:tcPr>
          <w:p w14:paraId="0DA2E1D4">
            <w:pPr>
              <w:pStyle w:val="25"/>
              <w:spacing w:line="240" w:lineRule="auto"/>
              <w:ind w:firstLine="0"/>
              <w:jc w:val="left"/>
            </w:pPr>
            <w:r>
              <w:rPr>
                <w:rFonts w:ascii="楷体" w:hAnsi="楷体" w:cs="楷体"/>
                <w:sz w:val="18"/>
              </w:rPr>
              <w:t>23.7063 / 0.6980</w:t>
            </w:r>
          </w:p>
        </w:tc>
        <w:tc>
          <w:tcPr>
            <w:tcW w:w="0" w:type="auto"/>
            <w:tcMar>
              <w:top w:w="80" w:type="dxa"/>
              <w:left w:w="80" w:type="dxa"/>
              <w:bottom w:w="80" w:type="dxa"/>
              <w:right w:w="80" w:type="dxa"/>
            </w:tcMar>
            <w:vAlign w:val="center"/>
          </w:tcPr>
          <w:p w14:paraId="3CBE3B69">
            <w:pPr>
              <w:pStyle w:val="25"/>
              <w:spacing w:line="240" w:lineRule="auto"/>
              <w:ind w:firstLine="0"/>
              <w:jc w:val="left"/>
            </w:pPr>
            <w:r>
              <w:rPr>
                <w:rFonts w:ascii="楷体" w:hAnsi="楷体" w:cs="楷体"/>
                <w:sz w:val="18"/>
              </w:rPr>
              <w:t>24.0159 / 0.7114</w:t>
            </w:r>
          </w:p>
        </w:tc>
        <w:tc>
          <w:tcPr>
            <w:tcW w:w="0" w:type="auto"/>
            <w:tcMar>
              <w:top w:w="80" w:type="dxa"/>
              <w:left w:w="80" w:type="dxa"/>
              <w:bottom w:w="80" w:type="dxa"/>
              <w:right w:w="80" w:type="dxa"/>
            </w:tcMar>
            <w:vAlign w:val="center"/>
          </w:tcPr>
          <w:p w14:paraId="68FA0A3A">
            <w:pPr>
              <w:pStyle w:val="25"/>
              <w:spacing w:line="240" w:lineRule="auto"/>
              <w:ind w:firstLine="0"/>
              <w:jc w:val="left"/>
            </w:pPr>
            <w:r>
              <w:rPr>
                <w:rFonts w:ascii="楷体" w:hAnsi="楷体" w:cs="楷体"/>
                <w:sz w:val="18"/>
              </w:rPr>
              <w:t>23.6372 / 0.6956</w:t>
            </w:r>
          </w:p>
        </w:tc>
      </w:tr>
      <w:tr w14:paraId="38A83E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W w:w="0" w:type="auto"/>
            <w:tcMar>
              <w:top w:w="80" w:type="dxa"/>
              <w:left w:w="80" w:type="dxa"/>
              <w:bottom w:w="80" w:type="dxa"/>
              <w:right w:w="80" w:type="dxa"/>
            </w:tcMar>
            <w:vAlign w:val="center"/>
          </w:tcPr>
          <w:p w14:paraId="23157715">
            <w:pPr>
              <w:pStyle w:val="25"/>
              <w:spacing w:line="240" w:lineRule="auto"/>
              <w:ind w:firstLine="0"/>
              <w:jc w:val="left"/>
            </w:pPr>
            <w:r>
              <w:rPr>
                <w:rFonts w:ascii="楷体" w:hAnsi="楷体" w:cs="楷体"/>
                <w:sz w:val="18"/>
              </w:rPr>
              <w:t>Average</w:t>
            </w:r>
          </w:p>
        </w:tc>
        <w:tc>
          <w:tcPr>
            <w:tcW w:w="0" w:type="auto"/>
            <w:tcMar>
              <w:top w:w="80" w:type="dxa"/>
              <w:left w:w="80" w:type="dxa"/>
              <w:bottom w:w="80" w:type="dxa"/>
              <w:right w:w="80" w:type="dxa"/>
            </w:tcMar>
            <w:vAlign w:val="center"/>
          </w:tcPr>
          <w:p w14:paraId="098622B8">
            <w:pPr>
              <w:pStyle w:val="25"/>
              <w:spacing w:line="240" w:lineRule="auto"/>
              <w:ind w:firstLine="0"/>
              <w:jc w:val="left"/>
            </w:pPr>
            <w:r>
              <w:rPr>
                <w:rFonts w:ascii="楷体" w:hAnsi="楷体" w:cs="楷体"/>
                <w:sz w:val="18"/>
              </w:rPr>
              <w:t>300</w:t>
            </w:r>
          </w:p>
        </w:tc>
        <w:tc>
          <w:tcPr>
            <w:tcW w:w="0" w:type="auto"/>
            <w:tcMar>
              <w:top w:w="80" w:type="dxa"/>
              <w:left w:w="80" w:type="dxa"/>
              <w:bottom w:w="80" w:type="dxa"/>
              <w:right w:w="80" w:type="dxa"/>
            </w:tcMar>
            <w:vAlign w:val="center"/>
          </w:tcPr>
          <w:p w14:paraId="79EEA842">
            <w:pPr>
              <w:pStyle w:val="25"/>
              <w:spacing w:line="240" w:lineRule="auto"/>
              <w:ind w:firstLine="0"/>
              <w:jc w:val="left"/>
              <w:rPr>
                <w:rFonts w:hint="default" w:eastAsia="楷体"/>
                <w:lang w:val="en-US" w:eastAsia="zh-CN"/>
              </w:rPr>
            </w:pPr>
            <w:r>
              <w:rPr>
                <w:rFonts w:ascii="楷体" w:hAnsi="楷体" w:cs="楷体"/>
                <w:sz w:val="18"/>
              </w:rPr>
              <w:t>1</w:t>
            </w:r>
            <w:r>
              <w:rPr>
                <w:rFonts w:hint="eastAsia" w:ascii="楷体" w:hAnsi="楷体" w:cs="楷体"/>
                <w:sz w:val="18"/>
                <w:lang w:val="en-US" w:eastAsia="zh-CN"/>
              </w:rPr>
              <w:t>7.3211</w:t>
            </w:r>
          </w:p>
        </w:tc>
        <w:tc>
          <w:tcPr>
            <w:tcW w:w="0" w:type="auto"/>
            <w:tcMar>
              <w:top w:w="80" w:type="dxa"/>
              <w:left w:w="80" w:type="dxa"/>
              <w:bottom w:w="80" w:type="dxa"/>
              <w:right w:w="80" w:type="dxa"/>
            </w:tcMar>
            <w:vAlign w:val="center"/>
          </w:tcPr>
          <w:p w14:paraId="53B9EDC0">
            <w:pPr>
              <w:pStyle w:val="25"/>
              <w:spacing w:line="240" w:lineRule="auto"/>
              <w:ind w:firstLine="0"/>
              <w:jc w:val="left"/>
            </w:pPr>
            <w:r>
              <w:rPr>
                <w:rFonts w:ascii="楷体" w:hAnsi="楷体" w:cs="楷体"/>
                <w:sz w:val="18"/>
              </w:rPr>
              <w:t>0.4467</w:t>
            </w:r>
          </w:p>
        </w:tc>
        <w:tc>
          <w:tcPr>
            <w:tcW w:w="0" w:type="auto"/>
            <w:tcMar>
              <w:top w:w="80" w:type="dxa"/>
              <w:left w:w="80" w:type="dxa"/>
              <w:bottom w:w="80" w:type="dxa"/>
              <w:right w:w="80" w:type="dxa"/>
            </w:tcMar>
            <w:vAlign w:val="center"/>
          </w:tcPr>
          <w:p w14:paraId="1EE2CFAB">
            <w:pPr>
              <w:pStyle w:val="25"/>
              <w:spacing w:line="240" w:lineRule="auto"/>
              <w:ind w:firstLine="0"/>
              <w:jc w:val="left"/>
            </w:pPr>
            <w:r>
              <w:rPr>
                <w:rFonts w:ascii="楷体" w:hAnsi="楷体" w:cs="楷体"/>
                <w:b/>
                <w:bCs/>
                <w:sz w:val="18"/>
              </w:rPr>
              <w:t>24.0909 / 0.7157</w:t>
            </w:r>
          </w:p>
        </w:tc>
        <w:tc>
          <w:tcPr>
            <w:tcW w:w="0" w:type="auto"/>
            <w:tcMar>
              <w:top w:w="80" w:type="dxa"/>
              <w:left w:w="80" w:type="dxa"/>
              <w:bottom w:w="80" w:type="dxa"/>
              <w:right w:w="80" w:type="dxa"/>
            </w:tcMar>
            <w:vAlign w:val="center"/>
          </w:tcPr>
          <w:p w14:paraId="7E45A2B1">
            <w:pPr>
              <w:pStyle w:val="25"/>
              <w:spacing w:line="240" w:lineRule="auto"/>
              <w:ind w:firstLine="0"/>
              <w:jc w:val="left"/>
            </w:pPr>
            <w:r>
              <w:rPr>
                <w:rFonts w:ascii="楷体" w:hAnsi="楷体" w:cs="楷体"/>
                <w:sz w:val="18"/>
              </w:rPr>
              <w:t>23.6005 / 0.6983</w:t>
            </w:r>
          </w:p>
        </w:tc>
        <w:tc>
          <w:tcPr>
            <w:tcW w:w="0" w:type="auto"/>
            <w:tcMar>
              <w:top w:w="80" w:type="dxa"/>
              <w:left w:w="80" w:type="dxa"/>
              <w:bottom w:w="80" w:type="dxa"/>
              <w:right w:w="80" w:type="dxa"/>
            </w:tcMar>
            <w:vAlign w:val="center"/>
          </w:tcPr>
          <w:p w14:paraId="507F5CC2">
            <w:pPr>
              <w:pStyle w:val="25"/>
              <w:spacing w:line="240" w:lineRule="auto"/>
              <w:ind w:firstLine="0"/>
              <w:jc w:val="left"/>
            </w:pPr>
            <w:r>
              <w:rPr>
                <w:rFonts w:ascii="楷体" w:hAnsi="楷体" w:cs="楷体"/>
                <w:sz w:val="18"/>
              </w:rPr>
              <w:t>23.2611 / 0.6824</w:t>
            </w:r>
          </w:p>
        </w:tc>
        <w:tc>
          <w:tcPr>
            <w:tcW w:w="0" w:type="auto"/>
            <w:tcMar>
              <w:top w:w="80" w:type="dxa"/>
              <w:left w:w="80" w:type="dxa"/>
              <w:bottom w:w="80" w:type="dxa"/>
              <w:right w:w="80" w:type="dxa"/>
            </w:tcMar>
            <w:vAlign w:val="center"/>
          </w:tcPr>
          <w:p w14:paraId="41164D14">
            <w:pPr>
              <w:pStyle w:val="25"/>
              <w:spacing w:line="240" w:lineRule="auto"/>
              <w:ind w:firstLine="0"/>
              <w:jc w:val="left"/>
            </w:pPr>
            <w:r>
              <w:rPr>
                <w:rFonts w:ascii="楷体" w:hAnsi="楷体" w:cs="楷体"/>
                <w:sz w:val="18"/>
              </w:rPr>
              <w:t>23.4218 / 0.6903</w:t>
            </w:r>
          </w:p>
        </w:tc>
        <w:tc>
          <w:tcPr>
            <w:tcW w:w="0" w:type="auto"/>
            <w:tcMar>
              <w:top w:w="80" w:type="dxa"/>
              <w:left w:w="80" w:type="dxa"/>
              <w:bottom w:w="80" w:type="dxa"/>
              <w:right w:w="80" w:type="dxa"/>
            </w:tcMar>
            <w:vAlign w:val="center"/>
          </w:tcPr>
          <w:p w14:paraId="0F97C080">
            <w:pPr>
              <w:pStyle w:val="25"/>
              <w:spacing w:line="240" w:lineRule="auto"/>
              <w:ind w:firstLine="0"/>
              <w:jc w:val="left"/>
            </w:pPr>
            <w:r>
              <w:rPr>
                <w:rFonts w:ascii="楷体" w:hAnsi="楷体" w:cs="楷体"/>
                <w:sz w:val="18"/>
              </w:rPr>
              <w:t>23.6859 / 0.7028</w:t>
            </w:r>
          </w:p>
        </w:tc>
        <w:tc>
          <w:tcPr>
            <w:tcW w:w="0" w:type="auto"/>
            <w:tcMar>
              <w:top w:w="80" w:type="dxa"/>
              <w:left w:w="80" w:type="dxa"/>
              <w:bottom w:w="80" w:type="dxa"/>
              <w:right w:w="80" w:type="dxa"/>
            </w:tcMar>
            <w:vAlign w:val="center"/>
          </w:tcPr>
          <w:p w14:paraId="4BC0A5DF">
            <w:pPr>
              <w:pStyle w:val="25"/>
              <w:spacing w:line="240" w:lineRule="auto"/>
              <w:ind w:firstLine="0"/>
              <w:jc w:val="left"/>
            </w:pPr>
            <w:r>
              <w:rPr>
                <w:rFonts w:ascii="楷体" w:hAnsi="楷体" w:cs="楷体"/>
                <w:sz w:val="18"/>
              </w:rPr>
              <w:t>23.3510 / 0.6867</w:t>
            </w:r>
          </w:p>
        </w:tc>
      </w:tr>
    </w:tbl>
    <w:p w14:paraId="297CCE7B">
      <w:pPr>
        <w:spacing w:line="360" w:lineRule="auto"/>
        <w:ind w:firstLine="420"/>
        <w:rPr>
          <w:rFonts w:eastAsia="楷体"/>
          <w:color w:val="000000"/>
        </w:rPr>
      </w:pPr>
    </w:p>
    <w:p w14:paraId="340A0007">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eastAsia="楷体"/>
          <w:color w:val="000000"/>
        </w:rPr>
      </w:pPr>
      <w:r>
        <w:rPr>
          <w:rFonts w:eastAsia="楷体"/>
          <w:color w:val="000000"/>
        </w:rPr>
        <w:t xml:space="preserve">UCMerced 三类场景测试结果与 NWPU-RESISC45 合成验证集上的消融趋势保持一致，说明 DFNG-SARNet 的性能优势并非局限于主训练数据分布，而是在未参与主训练的数据来源上仍具有较稳定的跨数据集泛化能力。完整模型在 agricultural、buildings 和 residential 三类场景中均取得最优 PSNR 和 SSIM，且在三类场景平均结果上达到 24.0909 dB / 0.7157，明显优于 noisy 输入的 19.0846 dB / 0.4467。具体而言，完整模型在 agricultural、buildings 和 residential 场景中分别带来 </w:t>
      </w:r>
      <w:r>
        <w:rPr>
          <w:rFonts w:hint="eastAsia" w:eastAsia="楷体"/>
          <w:color w:val="000000"/>
          <w:lang w:val="en-US" w:eastAsia="zh-CN"/>
        </w:rPr>
        <w:t>6.3950</w:t>
      </w:r>
      <w:r>
        <w:rPr>
          <w:rFonts w:eastAsia="楷体"/>
          <w:color w:val="000000"/>
        </w:rPr>
        <w:t xml:space="preserve"> dB、</w:t>
      </w:r>
      <w:r>
        <w:rPr>
          <w:rFonts w:hint="eastAsia" w:eastAsia="楷体"/>
          <w:color w:val="000000"/>
          <w:lang w:val="en-US" w:eastAsia="zh-CN"/>
        </w:rPr>
        <w:t>7.0244</w:t>
      </w:r>
      <w:r>
        <w:rPr>
          <w:rFonts w:eastAsia="楷体"/>
          <w:color w:val="000000"/>
        </w:rPr>
        <w:t xml:space="preserve">dB 和 </w:t>
      </w:r>
      <w:r>
        <w:rPr>
          <w:rFonts w:hint="eastAsia" w:eastAsia="楷体"/>
          <w:color w:val="000000"/>
          <w:lang w:val="en-US" w:eastAsia="zh-CN"/>
        </w:rPr>
        <w:t>6.8901</w:t>
      </w:r>
      <w:r>
        <w:rPr>
          <w:rFonts w:eastAsia="楷体"/>
          <w:color w:val="000000"/>
        </w:rPr>
        <w:t xml:space="preserve"> dB 的 PSNR 增益，SSIM 分别提升 0.2828、0.2558 和 0.2684；在平均指标上，PSNR 和 SSIM 分别提升 </w:t>
      </w:r>
      <w:r>
        <w:rPr>
          <w:rFonts w:hint="eastAsia" w:eastAsia="楷体"/>
          <w:color w:val="000000"/>
          <w:lang w:val="en-US" w:eastAsia="zh-CN"/>
        </w:rPr>
        <w:t>6.7696</w:t>
      </w:r>
      <w:r>
        <w:rPr>
          <w:rFonts w:eastAsia="楷体"/>
          <w:color w:val="000000"/>
        </w:rPr>
        <w:t xml:space="preserve"> dB 和 0.2690。上述结果表明，该模型能够在不同地物结构复杂度下有效抑制合成 speckle 噪声，并同步改善像素级重建精度与结构相似性保持能力。</w:t>
      </w:r>
    </w:p>
    <w:p w14:paraId="7EAFE0FC">
      <w:pPr>
        <w:keepNext w:val="0"/>
        <w:keepLines w:val="0"/>
        <w:pageBreakBefore w:val="0"/>
        <w:widowControl/>
        <w:kinsoku/>
        <w:wordWrap/>
        <w:overflowPunct/>
        <w:topLinePunct w:val="0"/>
        <w:autoSpaceDE/>
        <w:autoSpaceDN/>
        <w:bidi w:val="0"/>
        <w:adjustRightInd/>
        <w:snapToGrid/>
        <w:spacing w:line="360" w:lineRule="auto"/>
        <w:ind w:firstLine="420"/>
        <w:jc w:val="both"/>
        <w:textAlignment w:val="auto"/>
        <w:rPr>
          <w:rFonts w:eastAsia="楷体"/>
          <w:color w:val="000000"/>
        </w:rPr>
      </w:pPr>
      <w:r>
        <w:rPr>
          <w:rFonts w:eastAsia="楷体"/>
          <w:color w:val="000000"/>
        </w:rPr>
        <w:t>在 agricultural 场景中，图像区域以大面积相对平缓地物和低频纹理为主，完整模型取得 24.1523 dB / 0.7046，表明其对均匀区域中的乘性噪声具有较稳定的平滑与恢复能力，同时未造成明显的结构退化。Buildings 场景包含规则建筑边缘、几何轮廓和局部强反射响</w:t>
      </w:r>
      <w:bookmarkStart w:id="69" w:name="_GoBack"/>
      <w:bookmarkEnd w:id="69"/>
      <w:r>
        <w:rPr>
          <w:rFonts w:eastAsia="楷体"/>
          <w:color w:val="000000"/>
        </w:rPr>
        <w:t>应，对模型的边缘保持能力提出更高要求；完整模型在该场景下仍取得最高 23.6827 dB / 0.7183，说明多尺度特征融合、频域增强和噪声先验门控的协同作用能够在抑制 speckle 扰动的同时维持主要建筑边界的结构一致性。Residential 场景具有更密集的纹理分布和更复杂的局部散射模式，完整模型取得最高 24.4376 dB / 0.7241，进一步表明双域恢复机制与频域特征建模能够提升模型对复杂城市场景中细粒度纹理和局部高频结构的恢复能力。</w:t>
      </w:r>
    </w:p>
    <w:p w14:paraId="397B5014">
      <w:pPr>
        <w:pStyle w:val="4"/>
        <w:spacing w:before="120" w:after="60" w:line="360" w:lineRule="auto"/>
        <w:ind w:firstLine="0"/>
        <w:jc w:val="left"/>
      </w:pPr>
      <w:r>
        <w:rPr>
          <w:rFonts w:ascii="Times New Roman" w:hAnsi="Times New Roman" w:eastAsia="黑体" w:cs="Times New Roman"/>
          <w:b/>
          <w:color w:val="000000"/>
          <w:sz w:val="24"/>
        </w:rPr>
        <w:t>4.4 真实 SAR 无参考评价结果</w:t>
      </w:r>
    </w:p>
    <w:p w14:paraId="334CC482">
      <w:pPr>
        <w:pStyle w:val="5"/>
        <w:spacing w:before="120" w:after="60" w:line="360" w:lineRule="auto"/>
        <w:ind w:firstLine="0"/>
        <w:jc w:val="left"/>
      </w:pPr>
      <w:bookmarkStart w:id="57" w:name="真实-sar-自监督适应结果"/>
      <w:r>
        <w:rPr>
          <w:rFonts w:ascii="Times New Roman" w:hAnsi="Times New Roman" w:eastAsia="黑体" w:cs="Times New Roman"/>
          <w:b/>
          <w:color w:val="000000"/>
          <w:sz w:val="21"/>
        </w:rPr>
        <w:t>4.4.1 真实 SAR 自监督适应结果</w:t>
      </w:r>
    </w:p>
    <w:p w14:paraId="5D6E069C">
      <w:pPr>
        <w:spacing w:before="0" w:after="0" w:line="360" w:lineRule="auto"/>
        <w:ind w:firstLine="420"/>
        <w:jc w:val="both"/>
      </w:pPr>
      <w:r>
        <w:rPr>
          <w:rFonts w:ascii="Times New Roman" w:hAnsi="Times New Roman" w:eastAsia="楷体" w:cs="Times New Roman"/>
          <w:color w:val="000000"/>
          <w:sz w:val="21"/>
        </w:rPr>
        <w:t xml:space="preserve">真实 SAR 图像缺少严格配对的无噪声参考图，因此本文不使用 PSNR 和 SSIM 作为真实 SAR 主评价指标，而采用 ENL、M 指标和 EPI 对真实域去噪结果进行无参考评价。该实验重点比较 DFNG-SARNet 在自监督适应前后的指标变化，以验证 </w:t>
      </w:r>
      <w:r>
        <w:rPr>
          <w:rStyle w:val="38"/>
          <w:rFonts w:ascii="Times New Roman" w:hAnsi="Times New Roman" w:eastAsia="楷体" w:cs="Times New Roman"/>
          <w:color w:val="000000"/>
          <w:sz w:val="21"/>
        </w:rPr>
        <w:t>AMS</w:t>
      </w:r>
      <w:r>
        <w:rPr>
          <w:rFonts w:ascii="Times New Roman" w:hAnsi="Times New Roman" w:eastAsia="楷体" w:cs="Times New Roman"/>
          <w:color w:val="000000"/>
          <w:sz w:val="21"/>
        </w:rPr>
        <w:t xml:space="preserve"> 是否能够缓解合成训练数据与真实 SAR 数据之间的域偏移。</w:t>
      </w:r>
    </w:p>
    <w:p w14:paraId="7C777435">
      <w:pPr>
        <w:pStyle w:val="12"/>
        <w:spacing w:before="60" w:after="60" w:line="240" w:lineRule="auto"/>
        <w:jc w:val="center"/>
      </w:pPr>
      <w:r>
        <w:rPr>
          <w:rFonts w:ascii="楷体" w:hAnsi="楷体" w:eastAsia="楷体" w:cs="楷体"/>
          <w:b w:val="0"/>
          <w:i w:val="0"/>
          <w:color w:val="000000"/>
          <w:sz w:val="18"/>
        </w:rPr>
        <w:t>表 10 真实 SAR 自监督适应前后无参考评价结果</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2131"/>
        <w:gridCol w:w="611"/>
        <w:gridCol w:w="611"/>
        <w:gridCol w:w="1377"/>
        <w:gridCol w:w="1243"/>
        <w:gridCol w:w="1249"/>
        <w:gridCol w:w="1250"/>
      </w:tblGrid>
      <w:tr w14:paraId="26628E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3681D93E">
            <w:pPr>
              <w:pStyle w:val="25"/>
              <w:spacing w:before="0" w:after="0" w:line="240" w:lineRule="auto"/>
              <w:ind w:firstLine="0"/>
              <w:jc w:val="left"/>
            </w:pPr>
            <w:r>
              <w:rPr>
                <w:rFonts w:ascii="楷体" w:hAnsi="楷体" w:eastAsia="楷体" w:cs="楷体"/>
                <w:b/>
                <w:color w:val="000000"/>
                <w:sz w:val="18"/>
              </w:rPr>
              <w:t>Model</w:t>
            </w:r>
          </w:p>
        </w:tc>
        <w:tc>
          <w:tcPr>
            <w:tcMar>
              <w:top w:w="80" w:type="dxa"/>
              <w:left w:w="80" w:type="dxa"/>
              <w:bottom w:w="80" w:type="dxa"/>
              <w:right w:w="80" w:type="dxa"/>
            </w:tcMar>
            <w:vAlign w:val="center"/>
          </w:tcPr>
          <w:p w14:paraId="578B74BD">
            <w:pPr>
              <w:pStyle w:val="25"/>
              <w:spacing w:before="0" w:after="0" w:line="240" w:lineRule="auto"/>
              <w:ind w:firstLine="0"/>
              <w:jc w:val="left"/>
            </w:pPr>
            <w:r>
              <w:rPr>
                <w:rFonts w:ascii="楷体" w:hAnsi="楷体" w:eastAsia="楷体" w:cs="楷体"/>
                <w:b/>
                <w:color w:val="000000"/>
                <w:sz w:val="18"/>
              </w:rPr>
              <w:t>Num</w:t>
            </w:r>
          </w:p>
        </w:tc>
        <w:tc>
          <w:tcPr>
            <w:tcMar>
              <w:top w:w="80" w:type="dxa"/>
              <w:left w:w="80" w:type="dxa"/>
              <w:bottom w:w="80" w:type="dxa"/>
              <w:right w:w="80" w:type="dxa"/>
            </w:tcMar>
            <w:vAlign w:val="center"/>
          </w:tcPr>
          <w:p w14:paraId="0385A19E">
            <w:pPr>
              <w:pStyle w:val="25"/>
              <w:spacing w:before="0" w:after="0" w:line="240" w:lineRule="auto"/>
              <w:ind w:firstLine="0"/>
              <w:jc w:val="left"/>
            </w:pPr>
            <w:r>
              <w:rPr>
                <w:rFonts w:ascii="楷体" w:hAnsi="楷体" w:eastAsia="楷体" w:cs="楷体"/>
                <w:b/>
                <w:color w:val="000000"/>
                <w:sz w:val="18"/>
              </w:rPr>
              <w:t>AMS</w:t>
            </w:r>
          </w:p>
        </w:tc>
        <w:tc>
          <w:tcPr>
            <w:tcMar>
              <w:top w:w="80" w:type="dxa"/>
              <w:left w:w="80" w:type="dxa"/>
              <w:bottom w:w="80" w:type="dxa"/>
              <w:right w:w="80" w:type="dxa"/>
            </w:tcMar>
            <w:vAlign w:val="center"/>
          </w:tcPr>
          <w:p w14:paraId="441E2B48">
            <w:pPr>
              <w:pStyle w:val="25"/>
              <w:spacing w:before="0" w:after="0" w:line="240" w:lineRule="auto"/>
              <w:ind w:firstLine="0"/>
              <w:jc w:val="left"/>
            </w:pPr>
            <w:r>
              <w:rPr>
                <w:rFonts w:ascii="楷体" w:hAnsi="楷体" w:eastAsia="楷体" w:cs="楷体"/>
                <w:b/>
                <w:color w:val="000000"/>
                <w:sz w:val="18"/>
              </w:rPr>
              <w:t>Noisy ENL</w:t>
            </w:r>
          </w:p>
        </w:tc>
        <w:tc>
          <w:tcPr>
            <w:tcW w:w="733" w:type="pct"/>
            <w:tcMar>
              <w:top w:w="80" w:type="dxa"/>
              <w:left w:w="80" w:type="dxa"/>
              <w:bottom w:w="80" w:type="dxa"/>
              <w:right w:w="80" w:type="dxa"/>
            </w:tcMar>
            <w:vAlign w:val="center"/>
          </w:tcPr>
          <w:p w14:paraId="233CABB9">
            <w:pPr>
              <w:pStyle w:val="25"/>
              <w:spacing w:before="0" w:after="0" w:line="240" w:lineRule="auto"/>
              <w:ind w:firstLine="0"/>
              <w:jc w:val="left"/>
            </w:pPr>
            <w:r>
              <w:rPr>
                <w:rFonts w:ascii="楷体" w:hAnsi="楷体" w:eastAsia="楷体" w:cs="楷体"/>
                <w:b/>
                <w:color w:val="000000"/>
                <w:sz w:val="18"/>
              </w:rPr>
              <w:t>ENL</w:t>
            </w:r>
          </w:p>
        </w:tc>
        <w:tc>
          <w:tcPr>
            <w:tcW w:w="737" w:type="pct"/>
            <w:tcMar>
              <w:top w:w="80" w:type="dxa"/>
              <w:left w:w="80" w:type="dxa"/>
              <w:bottom w:w="80" w:type="dxa"/>
              <w:right w:w="80" w:type="dxa"/>
            </w:tcMar>
            <w:vAlign w:val="center"/>
          </w:tcPr>
          <w:p w14:paraId="182B844F">
            <w:pPr>
              <w:pStyle w:val="25"/>
              <w:spacing w:before="0" w:after="0" w:line="240" w:lineRule="auto"/>
              <w:ind w:firstLine="0"/>
              <w:jc w:val="left"/>
            </w:pPr>
            <w:r>
              <w:rPr>
                <w:rFonts w:ascii="楷体" w:hAnsi="楷体" w:eastAsia="楷体" w:cs="楷体"/>
                <w:b/>
                <w:color w:val="000000"/>
                <w:sz w:val="18"/>
              </w:rPr>
              <w:t>M</w:t>
            </w:r>
          </w:p>
        </w:tc>
        <w:tc>
          <w:tcPr>
            <w:tcMar>
              <w:top w:w="80" w:type="dxa"/>
              <w:left w:w="80" w:type="dxa"/>
              <w:bottom w:w="80" w:type="dxa"/>
              <w:right w:w="80" w:type="dxa"/>
            </w:tcMar>
            <w:vAlign w:val="center"/>
          </w:tcPr>
          <w:p w14:paraId="77FB33E9">
            <w:pPr>
              <w:pStyle w:val="25"/>
              <w:spacing w:before="0" w:after="0" w:line="240" w:lineRule="auto"/>
              <w:ind w:firstLine="0"/>
              <w:jc w:val="left"/>
            </w:pPr>
            <w:r>
              <w:rPr>
                <w:rFonts w:ascii="楷体" w:hAnsi="楷体" w:eastAsia="楷体" w:cs="楷体"/>
                <w:b/>
                <w:color w:val="000000"/>
                <w:sz w:val="18"/>
              </w:rPr>
              <w:t>EPI</w:t>
            </w:r>
          </w:p>
        </w:tc>
      </w:tr>
      <w:tr w14:paraId="7DB6F9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0FCE4D2">
            <w:pPr>
              <w:pStyle w:val="25"/>
              <w:spacing w:before="0" w:after="0" w:line="240" w:lineRule="auto"/>
              <w:ind w:firstLine="0"/>
              <w:jc w:val="left"/>
            </w:pPr>
            <w:r>
              <w:rPr>
                <w:rFonts w:ascii="楷体" w:hAnsi="楷体" w:eastAsia="楷体" w:cs="楷体"/>
                <w:color w:val="000000"/>
                <w:sz w:val="18"/>
              </w:rPr>
              <w:t>DFNG-SARNet</w:t>
            </w:r>
          </w:p>
        </w:tc>
        <w:tc>
          <w:tcPr>
            <w:tcMar>
              <w:top w:w="80" w:type="dxa"/>
              <w:left w:w="80" w:type="dxa"/>
              <w:bottom w:w="80" w:type="dxa"/>
              <w:right w:w="80" w:type="dxa"/>
            </w:tcMar>
            <w:vAlign w:val="center"/>
          </w:tcPr>
          <w:p w14:paraId="0943907D">
            <w:pPr>
              <w:pStyle w:val="25"/>
              <w:spacing w:before="0" w:after="0" w:line="240" w:lineRule="auto"/>
              <w:ind w:firstLine="0"/>
              <w:jc w:val="left"/>
            </w:pPr>
            <w:r>
              <w:rPr>
                <w:rFonts w:ascii="楷体" w:hAnsi="楷体" w:eastAsia="楷体" w:cs="楷体"/>
                <w:color w:val="000000"/>
                <w:sz w:val="18"/>
              </w:rPr>
              <w:t>589</w:t>
            </w:r>
          </w:p>
        </w:tc>
        <w:tc>
          <w:tcPr>
            <w:tcMar>
              <w:top w:w="80" w:type="dxa"/>
              <w:left w:w="80" w:type="dxa"/>
              <w:bottom w:w="80" w:type="dxa"/>
              <w:right w:w="80" w:type="dxa"/>
            </w:tcMar>
            <w:vAlign w:val="center"/>
          </w:tcPr>
          <w:p w14:paraId="4876B679">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4EE52FE2">
            <w:pPr>
              <w:pStyle w:val="25"/>
              <w:spacing w:before="0" w:after="0" w:line="240" w:lineRule="auto"/>
              <w:ind w:firstLine="0"/>
              <w:jc w:val="left"/>
            </w:pPr>
            <w:r>
              <w:rPr>
                <w:rFonts w:ascii="楷体" w:hAnsi="楷体" w:eastAsia="楷体" w:cs="楷体"/>
                <w:color w:val="000000"/>
                <w:sz w:val="18"/>
              </w:rPr>
              <w:t>23.2126</w:t>
            </w:r>
          </w:p>
        </w:tc>
        <w:tc>
          <w:tcPr>
            <w:tcW w:w="733" w:type="pct"/>
            <w:tcMar>
              <w:top w:w="80" w:type="dxa"/>
              <w:left w:w="80" w:type="dxa"/>
              <w:bottom w:w="80" w:type="dxa"/>
              <w:right w:w="80" w:type="dxa"/>
            </w:tcMar>
            <w:vAlign w:val="center"/>
          </w:tcPr>
          <w:p w14:paraId="45767349">
            <w:pPr>
              <w:pStyle w:val="25"/>
              <w:spacing w:before="0" w:after="0" w:line="240" w:lineRule="auto"/>
              <w:ind w:firstLine="0"/>
              <w:jc w:val="left"/>
            </w:pPr>
            <w:r>
              <w:rPr>
                <w:rFonts w:hint="eastAsia" w:ascii="楷体" w:hAnsi="楷体" w:cs="楷体"/>
                <w:color w:val="000000"/>
                <w:sz w:val="18"/>
                <w:lang w:val="en-US" w:eastAsia="zh-CN"/>
              </w:rPr>
              <w:t>5</w:t>
            </w:r>
            <w:r>
              <w:rPr>
                <w:rFonts w:ascii="楷体" w:hAnsi="楷体" w:eastAsia="楷体" w:cs="楷体"/>
                <w:color w:val="000000"/>
                <w:sz w:val="18"/>
              </w:rPr>
              <w:t>30.8475</w:t>
            </w:r>
          </w:p>
        </w:tc>
        <w:tc>
          <w:tcPr>
            <w:tcW w:w="737" w:type="pct"/>
            <w:tcMar>
              <w:top w:w="80" w:type="dxa"/>
              <w:left w:w="80" w:type="dxa"/>
              <w:bottom w:w="80" w:type="dxa"/>
              <w:right w:w="80" w:type="dxa"/>
            </w:tcMar>
            <w:vAlign w:val="center"/>
          </w:tcPr>
          <w:p w14:paraId="154F436A">
            <w:pPr>
              <w:pStyle w:val="25"/>
              <w:spacing w:before="0" w:after="0" w:line="240" w:lineRule="auto"/>
              <w:ind w:firstLine="0"/>
              <w:jc w:val="left"/>
            </w:pPr>
            <w:r>
              <w:rPr>
                <w:rFonts w:ascii="楷体" w:hAnsi="楷体" w:eastAsia="楷体" w:cs="楷体"/>
                <w:color w:val="000000"/>
                <w:sz w:val="18"/>
              </w:rPr>
              <w:t>0.421386</w:t>
            </w:r>
          </w:p>
        </w:tc>
        <w:tc>
          <w:tcPr>
            <w:tcMar>
              <w:top w:w="80" w:type="dxa"/>
              <w:left w:w="80" w:type="dxa"/>
              <w:bottom w:w="80" w:type="dxa"/>
              <w:right w:w="80" w:type="dxa"/>
            </w:tcMar>
            <w:vAlign w:val="center"/>
          </w:tcPr>
          <w:p w14:paraId="6D79A1E1">
            <w:pPr>
              <w:pStyle w:val="25"/>
              <w:spacing w:before="0" w:after="0" w:line="240" w:lineRule="auto"/>
              <w:ind w:firstLine="0"/>
              <w:jc w:val="left"/>
            </w:pPr>
            <w:r>
              <w:rPr>
                <w:rFonts w:ascii="楷体" w:hAnsi="楷体" w:eastAsia="楷体" w:cs="楷体"/>
                <w:color w:val="000000"/>
                <w:sz w:val="18"/>
              </w:rPr>
              <w:t>0.</w:t>
            </w:r>
            <w:r>
              <w:rPr>
                <w:rFonts w:hint="eastAsia" w:ascii="楷体" w:hAnsi="楷体" w:cs="楷体"/>
                <w:color w:val="000000"/>
                <w:sz w:val="18"/>
                <w:lang w:val="en-US" w:eastAsia="zh-CN"/>
              </w:rPr>
              <w:t>42</w:t>
            </w:r>
            <w:r>
              <w:rPr>
                <w:rFonts w:ascii="楷体" w:hAnsi="楷体" w:eastAsia="楷体" w:cs="楷体"/>
                <w:color w:val="000000"/>
                <w:sz w:val="18"/>
              </w:rPr>
              <w:t>2904</w:t>
            </w:r>
          </w:p>
        </w:tc>
      </w:tr>
      <w:tr w14:paraId="0A8441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5B73AA9F">
            <w:pPr>
              <w:pStyle w:val="25"/>
              <w:spacing w:before="0" w:after="0" w:line="240" w:lineRule="auto"/>
              <w:ind w:firstLine="0"/>
              <w:jc w:val="left"/>
            </w:pPr>
            <w:r>
              <w:rPr>
                <w:rFonts w:ascii="楷体" w:hAnsi="楷体" w:eastAsia="楷体" w:cs="楷体"/>
                <w:color w:val="000000"/>
                <w:sz w:val="18"/>
              </w:rPr>
              <w:t>DFNG-SARNet+AMS</w:t>
            </w:r>
          </w:p>
        </w:tc>
        <w:tc>
          <w:tcPr>
            <w:tcMar>
              <w:top w:w="80" w:type="dxa"/>
              <w:left w:w="80" w:type="dxa"/>
              <w:bottom w:w="80" w:type="dxa"/>
              <w:right w:w="80" w:type="dxa"/>
            </w:tcMar>
            <w:vAlign w:val="center"/>
          </w:tcPr>
          <w:p w14:paraId="33C04650">
            <w:pPr>
              <w:pStyle w:val="25"/>
              <w:spacing w:before="0" w:after="0" w:line="240" w:lineRule="auto"/>
              <w:ind w:firstLine="0"/>
              <w:jc w:val="left"/>
            </w:pPr>
            <w:r>
              <w:rPr>
                <w:rFonts w:ascii="楷体" w:hAnsi="楷体" w:eastAsia="楷体" w:cs="楷体"/>
                <w:color w:val="000000"/>
                <w:sz w:val="18"/>
              </w:rPr>
              <w:t>589</w:t>
            </w:r>
          </w:p>
        </w:tc>
        <w:tc>
          <w:tcPr>
            <w:tcMar>
              <w:top w:w="80" w:type="dxa"/>
              <w:left w:w="80" w:type="dxa"/>
              <w:bottom w:w="80" w:type="dxa"/>
              <w:right w:w="80" w:type="dxa"/>
            </w:tcMar>
            <w:vAlign w:val="center"/>
          </w:tcPr>
          <w:p w14:paraId="00C82F89">
            <w:pPr>
              <w:pStyle w:val="25"/>
              <w:spacing w:before="0" w:after="0" w:line="240" w:lineRule="auto"/>
              <w:ind w:firstLine="0"/>
              <w:jc w:val="left"/>
            </w:pPr>
            <w:r>
              <w:rPr>
                <w:rFonts w:ascii="楷体" w:hAnsi="楷体" w:eastAsia="楷体" w:cs="楷体"/>
                <w:color w:val="000000"/>
                <w:sz w:val="18"/>
              </w:rPr>
              <w:t>√</w:t>
            </w:r>
          </w:p>
        </w:tc>
        <w:tc>
          <w:tcPr>
            <w:tcMar>
              <w:top w:w="80" w:type="dxa"/>
              <w:left w:w="80" w:type="dxa"/>
              <w:bottom w:w="80" w:type="dxa"/>
              <w:right w:w="80" w:type="dxa"/>
            </w:tcMar>
            <w:vAlign w:val="center"/>
          </w:tcPr>
          <w:p w14:paraId="2C96F146">
            <w:pPr>
              <w:pStyle w:val="25"/>
              <w:spacing w:before="0" w:after="0" w:line="240" w:lineRule="auto"/>
              <w:ind w:firstLine="0"/>
              <w:jc w:val="left"/>
            </w:pPr>
            <w:r>
              <w:rPr>
                <w:rFonts w:ascii="楷体" w:hAnsi="楷体" w:eastAsia="楷体" w:cs="楷体"/>
                <w:color w:val="000000"/>
                <w:sz w:val="18"/>
              </w:rPr>
              <w:t>23.2126</w:t>
            </w:r>
          </w:p>
        </w:tc>
        <w:tc>
          <w:tcPr>
            <w:tcW w:w="733" w:type="pct"/>
            <w:tcMar>
              <w:top w:w="80" w:type="dxa"/>
              <w:left w:w="80" w:type="dxa"/>
              <w:bottom w:w="80" w:type="dxa"/>
              <w:right w:w="80" w:type="dxa"/>
            </w:tcMar>
            <w:vAlign w:val="center"/>
          </w:tcPr>
          <w:p w14:paraId="65175E9A">
            <w:pPr>
              <w:pStyle w:val="25"/>
              <w:spacing w:before="0" w:after="0" w:line="240" w:lineRule="auto"/>
              <w:ind w:firstLine="0"/>
              <w:jc w:val="left"/>
            </w:pPr>
            <w:r>
              <w:rPr>
                <w:rFonts w:hint="eastAsia" w:ascii="楷体" w:hAnsi="楷体" w:cs="楷体"/>
                <w:b w:val="0"/>
                <w:bCs w:val="0"/>
                <w:color w:val="000000"/>
                <w:sz w:val="18"/>
                <w:lang w:val="en-US" w:eastAsia="zh-CN"/>
              </w:rPr>
              <w:t>5</w:t>
            </w:r>
            <w:r>
              <w:rPr>
                <w:rFonts w:ascii="楷体" w:hAnsi="楷体" w:eastAsia="楷体" w:cs="楷体"/>
                <w:b w:val="0"/>
                <w:bCs w:val="0"/>
                <w:color w:val="000000"/>
                <w:sz w:val="18"/>
              </w:rPr>
              <w:t>6.7248</w:t>
            </w:r>
          </w:p>
        </w:tc>
        <w:tc>
          <w:tcPr>
            <w:tcW w:w="737" w:type="pct"/>
            <w:tcMar>
              <w:top w:w="80" w:type="dxa"/>
              <w:left w:w="80" w:type="dxa"/>
              <w:bottom w:w="80" w:type="dxa"/>
              <w:right w:w="80" w:type="dxa"/>
            </w:tcMar>
            <w:vAlign w:val="center"/>
          </w:tcPr>
          <w:p w14:paraId="087E1AB0">
            <w:pPr>
              <w:pStyle w:val="25"/>
              <w:spacing w:before="0" w:after="0" w:line="240" w:lineRule="auto"/>
              <w:ind w:firstLine="0"/>
              <w:jc w:val="left"/>
            </w:pPr>
            <w:r>
              <w:rPr>
                <w:rFonts w:ascii="楷体" w:hAnsi="楷体" w:eastAsia="楷体" w:cs="楷体"/>
                <w:b/>
                <w:bCs/>
                <w:color w:val="000000"/>
                <w:sz w:val="18"/>
              </w:rPr>
              <w:t>0.336592</w:t>
            </w:r>
          </w:p>
        </w:tc>
        <w:tc>
          <w:tcPr>
            <w:tcMar>
              <w:top w:w="80" w:type="dxa"/>
              <w:left w:w="80" w:type="dxa"/>
              <w:bottom w:w="80" w:type="dxa"/>
              <w:right w:w="80" w:type="dxa"/>
            </w:tcMar>
            <w:vAlign w:val="center"/>
          </w:tcPr>
          <w:p w14:paraId="3F7C968C">
            <w:pPr>
              <w:pStyle w:val="25"/>
              <w:spacing w:before="0" w:after="0" w:line="240" w:lineRule="auto"/>
              <w:ind w:firstLine="0"/>
              <w:jc w:val="left"/>
            </w:pPr>
            <w:r>
              <w:rPr>
                <w:rFonts w:ascii="楷体" w:hAnsi="楷体" w:eastAsia="楷体" w:cs="楷体"/>
                <w:b/>
                <w:bCs/>
                <w:color w:val="000000"/>
                <w:sz w:val="18"/>
              </w:rPr>
              <w:t>0.821457</w:t>
            </w:r>
          </w:p>
        </w:tc>
      </w:tr>
    </w:tbl>
    <w:p w14:paraId="73C4A116">
      <w:pPr>
        <w:spacing w:before="0" w:after="0" w:line="360" w:lineRule="auto"/>
        <w:ind w:firstLine="420"/>
        <w:jc w:val="both"/>
        <w:rPr>
          <w:rFonts w:ascii="Times New Roman" w:hAnsi="Times New Roman" w:eastAsia="楷体" w:cs="Times New Roman"/>
          <w:color w:val="000000"/>
          <w:sz w:val="21"/>
        </w:rPr>
      </w:pPr>
    </w:p>
    <w:p w14:paraId="5B6DC667">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表 10 给出了 589 幅真实 SAR 测试图像上的无参考评价结果。未进行自监督适应的 DFNG-SARNet 将输入图像的 ENL 从 23.2126 提升至 530.8475，说明仅基于合成数据监督训练的模型在真实 SAR 图像上具有较强的平滑能力。然而，过高的 ENL 也可能意味着模型在均匀区域之外产生了较强的整体平滑倾向，从而存在一定的结构削弱风险。其 M 指标为 0.421386，EPI 为 0.422904，表明虽然 speckle 抑制较强，但边缘结构保持能力相对有限。</w:t>
      </w:r>
    </w:p>
    <w:p w14:paraId="1CBF29F1">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引入 AMS 后，DFNG-SARNet+AMS 的 ENL 为 56.7248，较未适应模型明显降低，但仍高于 noisy 输入的 23.2126，说明自监督适应后模型仍保持了一定的 speckle 抑制能力，同时避免了过度平滑。与此同时，M 指标由 0.421386 降至 0.336592，下降约 20.12%，表明比值图中的结构残留进一步减少；EPI 由 0.422904 提升至 0.821457，提升约 94.24%，说明边缘梯度一致性显著增强，图像结构信息得到了更充分的保留。</w:t>
      </w:r>
    </w:p>
    <w:p w14:paraId="7D3DEDA2">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综合来看，AMS 并不是简单地追求更高的 ENL，而是在 speckle 抑制与结构保持之间取得了更加合理的平衡。相比未进行自监督适应的 DFNG-SARNet，DFNG-SARNet+AMS 虽然降低了 ENL，但显著改善了 M 指标和 EPI，表明其能够缓解合成训练数据与真实 SAR 图像之间的域偏移，使模型在真实 SAR 域中减少过度平滑倾向，并提升边缘与结构保持能力。因此，AMS 更适合作为合成监督训练后的真实域自监督校正环节，而不是单纯增强平滑效果的后处理操作。</w:t>
      </w:r>
    </w:p>
    <w:p w14:paraId="665EA3C7">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314315" cy="1942465"/>
            <wp:effectExtent l="0" t="0" r="4445" b="8255"/>
            <wp:docPr id="20" name="图片 20" descr="05_45_texture_4608_3584_y0_x256_triplet_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_45_texture_4608_3584_y0_x256_triplet_labeled"/>
                    <pic:cNvPicPr>
                      <a:picLocks noChangeAspect="1"/>
                    </pic:cNvPicPr>
                  </pic:nvPicPr>
                  <pic:blipFill>
                    <a:blip r:embed="rId24"/>
                    <a:stretch>
                      <a:fillRect/>
                    </a:stretch>
                  </pic:blipFill>
                  <pic:spPr>
                    <a:xfrm>
                      <a:off x="0" y="0"/>
                      <a:ext cx="5314315" cy="1942465"/>
                    </a:xfrm>
                    <a:prstGeom prst="rect">
                      <a:avLst/>
                    </a:prstGeom>
                  </pic:spPr>
                </pic:pic>
              </a:graphicData>
            </a:graphic>
          </wp:inline>
        </w:drawing>
      </w:r>
    </w:p>
    <w:p w14:paraId="6D158DE7">
      <w:pPr>
        <w:spacing w:before="0" w:after="0" w:line="360" w:lineRule="auto"/>
        <w:ind w:firstLine="420"/>
        <w:jc w:val="center"/>
        <w:rPr>
          <w:rFonts w:ascii="楷体" w:hAnsi="楷体" w:eastAsia="楷体" w:cs="楷体"/>
          <w:b w:val="0"/>
          <w:i w:val="0"/>
          <w:color w:val="000000"/>
          <w:sz w:val="18"/>
          <w:szCs w:val="24"/>
          <w:lang w:val="en-US" w:eastAsia="en-US" w:bidi="ar-SA"/>
        </w:rPr>
      </w:pPr>
      <w:r>
        <w:rPr>
          <w:rFonts w:ascii="楷体" w:hAnsi="楷体" w:eastAsia="楷体" w:cs="楷体"/>
          <w:b w:val="0"/>
          <w:i w:val="0"/>
          <w:color w:val="000000"/>
          <w:sz w:val="18"/>
          <w:szCs w:val="24"/>
          <w:lang w:val="en-US" w:eastAsia="en-US" w:bidi="ar-SA"/>
        </w:rPr>
        <w:t>图片18：真实 SAR 去噪与比值图可视化对比图</w:t>
      </w:r>
    </w:p>
    <w:bookmarkEnd w:id="57"/>
    <w:p w14:paraId="09265A81">
      <w:pPr>
        <w:pStyle w:val="5"/>
        <w:spacing w:before="120" w:after="60" w:line="360" w:lineRule="auto"/>
        <w:ind w:firstLine="0"/>
        <w:jc w:val="left"/>
      </w:pPr>
      <w:bookmarkStart w:id="58" w:name="真实-sar-三类场景结果"/>
      <w:r>
        <w:rPr>
          <w:rFonts w:ascii="Times New Roman" w:hAnsi="Times New Roman" w:eastAsia="黑体" w:cs="Times New Roman"/>
          <w:b/>
          <w:color w:val="000000"/>
          <w:sz w:val="21"/>
        </w:rPr>
        <w:t>4.4.2 真实 SAR 三类场景结果</w:t>
      </w:r>
    </w:p>
    <w:p w14:paraId="65CD772B">
      <w:pPr>
        <w:spacing w:before="0" w:after="0" w:line="360" w:lineRule="auto"/>
        <w:ind w:firstLine="420"/>
        <w:jc w:val="both"/>
      </w:pPr>
      <w:r>
        <w:rPr>
          <w:rFonts w:ascii="Times New Roman" w:hAnsi="Times New Roman" w:eastAsia="楷体" w:cs="Times New Roman"/>
          <w:color w:val="000000"/>
          <w:sz w:val="21"/>
        </w:rPr>
        <w:t>为进一步分析自监督适应在不同真实 SAR 地物条件下的作用，本文将真实 SAR test 子集划分为 homogeneous、structural 和 texture 三类代表性场景，并分别统计无参考指标。Homogeneous 场景主要用于观察均匀区域 speckle 抑制，structural 场景主要用于评价边缘和几何结构保持，texture 场景用于检验复杂纹理条件下的噪声抑制与细节保留平衡。</w:t>
      </w:r>
    </w:p>
    <w:p w14:paraId="32FC0313">
      <w:pPr>
        <w:pStyle w:val="12"/>
        <w:spacing w:before="60" w:after="60" w:line="240" w:lineRule="auto"/>
        <w:jc w:val="center"/>
      </w:pPr>
      <w:r>
        <w:rPr>
          <w:rFonts w:ascii="楷体" w:hAnsi="楷体" w:eastAsia="楷体" w:cs="楷体"/>
          <w:b w:val="0"/>
          <w:i w:val="0"/>
          <w:color w:val="000000"/>
          <w:sz w:val="18"/>
        </w:rPr>
        <w:t>表 11 真实 SAR 三类场景无参考评价结果</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1450"/>
        <w:gridCol w:w="546"/>
        <w:gridCol w:w="1903"/>
        <w:gridCol w:w="1230"/>
        <w:gridCol w:w="1109"/>
        <w:gridCol w:w="1117"/>
        <w:gridCol w:w="1117"/>
      </w:tblGrid>
      <w:tr w14:paraId="54BF8D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78AC18EC">
            <w:pPr>
              <w:pStyle w:val="25"/>
              <w:spacing w:before="0" w:after="0" w:line="240" w:lineRule="auto"/>
              <w:ind w:firstLine="0"/>
              <w:jc w:val="left"/>
            </w:pPr>
            <w:r>
              <w:rPr>
                <w:rFonts w:ascii="楷体" w:hAnsi="楷体" w:eastAsia="楷体" w:cs="楷体"/>
                <w:b/>
                <w:color w:val="000000"/>
                <w:sz w:val="18"/>
              </w:rPr>
              <w:t>Scene Type</w:t>
            </w:r>
          </w:p>
        </w:tc>
        <w:tc>
          <w:tcPr>
            <w:tcMar>
              <w:top w:w="80" w:type="dxa"/>
              <w:left w:w="80" w:type="dxa"/>
              <w:bottom w:w="80" w:type="dxa"/>
              <w:right w:w="80" w:type="dxa"/>
            </w:tcMar>
            <w:vAlign w:val="center"/>
          </w:tcPr>
          <w:p w14:paraId="078BF21F">
            <w:pPr>
              <w:pStyle w:val="25"/>
              <w:spacing w:before="0" w:after="0" w:line="240" w:lineRule="auto"/>
              <w:ind w:firstLine="0"/>
              <w:jc w:val="left"/>
            </w:pPr>
            <w:r>
              <w:rPr>
                <w:rFonts w:ascii="楷体" w:hAnsi="楷体" w:eastAsia="楷体" w:cs="楷体"/>
                <w:b/>
                <w:color w:val="000000"/>
                <w:sz w:val="18"/>
              </w:rPr>
              <w:t>Num</w:t>
            </w:r>
          </w:p>
        </w:tc>
        <w:tc>
          <w:tcPr>
            <w:tcMar>
              <w:top w:w="80" w:type="dxa"/>
              <w:left w:w="80" w:type="dxa"/>
              <w:bottom w:w="80" w:type="dxa"/>
              <w:right w:w="80" w:type="dxa"/>
            </w:tcMar>
            <w:vAlign w:val="center"/>
          </w:tcPr>
          <w:p w14:paraId="016B3084">
            <w:pPr>
              <w:pStyle w:val="25"/>
              <w:spacing w:before="0" w:after="0" w:line="240" w:lineRule="auto"/>
              <w:ind w:firstLine="0"/>
              <w:jc w:val="left"/>
            </w:pPr>
            <w:r>
              <w:rPr>
                <w:rFonts w:ascii="楷体" w:hAnsi="楷体" w:eastAsia="楷体" w:cs="楷体"/>
                <w:b/>
                <w:color w:val="000000"/>
                <w:sz w:val="18"/>
              </w:rPr>
              <w:t>Model</w:t>
            </w:r>
          </w:p>
        </w:tc>
        <w:tc>
          <w:tcPr>
            <w:tcMar>
              <w:top w:w="80" w:type="dxa"/>
              <w:left w:w="80" w:type="dxa"/>
              <w:bottom w:w="80" w:type="dxa"/>
              <w:right w:w="80" w:type="dxa"/>
            </w:tcMar>
            <w:vAlign w:val="center"/>
          </w:tcPr>
          <w:p w14:paraId="04762079">
            <w:pPr>
              <w:pStyle w:val="25"/>
              <w:spacing w:before="0" w:after="0" w:line="240" w:lineRule="auto"/>
              <w:ind w:firstLine="0"/>
              <w:jc w:val="left"/>
            </w:pPr>
            <w:r>
              <w:rPr>
                <w:rFonts w:ascii="楷体" w:hAnsi="楷体" w:eastAsia="楷体" w:cs="楷体"/>
                <w:b/>
                <w:color w:val="000000"/>
                <w:sz w:val="18"/>
              </w:rPr>
              <w:t>Noisy ENL</w:t>
            </w:r>
          </w:p>
        </w:tc>
        <w:tc>
          <w:tcPr>
            <w:tcMar>
              <w:top w:w="80" w:type="dxa"/>
              <w:left w:w="80" w:type="dxa"/>
              <w:bottom w:w="80" w:type="dxa"/>
              <w:right w:w="80" w:type="dxa"/>
            </w:tcMar>
            <w:vAlign w:val="center"/>
          </w:tcPr>
          <w:p w14:paraId="5F84FB06">
            <w:pPr>
              <w:pStyle w:val="25"/>
              <w:spacing w:before="0" w:after="0" w:line="240" w:lineRule="auto"/>
              <w:ind w:firstLine="0"/>
              <w:jc w:val="left"/>
            </w:pPr>
            <w:r>
              <w:rPr>
                <w:rFonts w:ascii="楷体" w:hAnsi="楷体" w:eastAsia="楷体" w:cs="楷体"/>
                <w:b/>
                <w:color w:val="000000"/>
                <w:sz w:val="18"/>
              </w:rPr>
              <w:t>ENL</w:t>
            </w:r>
          </w:p>
        </w:tc>
        <w:tc>
          <w:tcPr>
            <w:tcMar>
              <w:top w:w="80" w:type="dxa"/>
              <w:left w:w="80" w:type="dxa"/>
              <w:bottom w:w="80" w:type="dxa"/>
              <w:right w:w="80" w:type="dxa"/>
            </w:tcMar>
            <w:vAlign w:val="center"/>
          </w:tcPr>
          <w:p w14:paraId="612D1D5C">
            <w:pPr>
              <w:pStyle w:val="25"/>
              <w:spacing w:before="0" w:after="0" w:line="240" w:lineRule="auto"/>
              <w:ind w:firstLine="0"/>
              <w:jc w:val="left"/>
            </w:pPr>
            <w:r>
              <w:rPr>
                <w:rFonts w:ascii="楷体" w:hAnsi="楷体" w:eastAsia="楷体" w:cs="楷体"/>
                <w:b/>
                <w:color w:val="000000"/>
                <w:sz w:val="18"/>
              </w:rPr>
              <w:t>M</w:t>
            </w:r>
          </w:p>
        </w:tc>
        <w:tc>
          <w:tcPr>
            <w:tcMar>
              <w:top w:w="80" w:type="dxa"/>
              <w:left w:w="80" w:type="dxa"/>
              <w:bottom w:w="80" w:type="dxa"/>
              <w:right w:w="80" w:type="dxa"/>
            </w:tcMar>
            <w:vAlign w:val="center"/>
          </w:tcPr>
          <w:p w14:paraId="4B6CC01D">
            <w:pPr>
              <w:pStyle w:val="25"/>
              <w:spacing w:before="0" w:after="0" w:line="240" w:lineRule="auto"/>
              <w:ind w:firstLine="0"/>
              <w:jc w:val="left"/>
            </w:pPr>
            <w:r>
              <w:rPr>
                <w:rFonts w:ascii="楷体" w:hAnsi="楷体" w:eastAsia="楷体" w:cs="楷体"/>
                <w:b/>
                <w:color w:val="000000"/>
                <w:sz w:val="18"/>
              </w:rPr>
              <w:t>EPI</w:t>
            </w:r>
          </w:p>
        </w:tc>
      </w:tr>
      <w:tr w14:paraId="205697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3E7DEA27">
            <w:pPr>
              <w:pStyle w:val="25"/>
              <w:spacing w:before="0" w:after="0" w:line="240" w:lineRule="auto"/>
              <w:ind w:firstLine="0"/>
              <w:jc w:val="left"/>
            </w:pPr>
            <w:r>
              <w:rPr>
                <w:rFonts w:ascii="楷体" w:hAnsi="楷体" w:eastAsia="楷体" w:cs="楷体"/>
                <w:color w:val="000000"/>
                <w:sz w:val="18"/>
              </w:rPr>
              <w:t>Homogeneous</w:t>
            </w:r>
          </w:p>
        </w:tc>
        <w:tc>
          <w:tcPr>
            <w:tcMar>
              <w:top w:w="80" w:type="dxa"/>
              <w:left w:w="80" w:type="dxa"/>
              <w:bottom w:w="80" w:type="dxa"/>
              <w:right w:w="80" w:type="dxa"/>
            </w:tcMar>
            <w:vAlign w:val="center"/>
          </w:tcPr>
          <w:p w14:paraId="4EE13C15">
            <w:pPr>
              <w:pStyle w:val="25"/>
              <w:spacing w:before="0" w:after="0" w:line="240" w:lineRule="auto"/>
              <w:ind w:firstLine="0"/>
              <w:jc w:val="left"/>
            </w:pPr>
            <w:r>
              <w:rPr>
                <w:rFonts w:ascii="楷体" w:hAnsi="楷体" w:eastAsia="楷体" w:cs="楷体"/>
                <w:color w:val="000000"/>
                <w:sz w:val="18"/>
              </w:rPr>
              <w:t>20</w:t>
            </w:r>
          </w:p>
        </w:tc>
        <w:tc>
          <w:tcPr>
            <w:tcMar>
              <w:top w:w="80" w:type="dxa"/>
              <w:left w:w="80" w:type="dxa"/>
              <w:bottom w:w="80" w:type="dxa"/>
              <w:right w:w="80" w:type="dxa"/>
            </w:tcMar>
            <w:vAlign w:val="center"/>
          </w:tcPr>
          <w:p w14:paraId="00E45BE2">
            <w:pPr>
              <w:pStyle w:val="25"/>
              <w:spacing w:before="0" w:after="0" w:line="240" w:lineRule="auto"/>
              <w:ind w:firstLine="0"/>
              <w:jc w:val="left"/>
            </w:pPr>
            <w:r>
              <w:rPr>
                <w:rFonts w:ascii="楷体" w:hAnsi="楷体" w:eastAsia="楷体" w:cs="楷体"/>
                <w:color w:val="000000"/>
                <w:sz w:val="18"/>
              </w:rPr>
              <w:t>DFNG-SARNet</w:t>
            </w:r>
          </w:p>
        </w:tc>
        <w:tc>
          <w:tcPr>
            <w:tcMar>
              <w:top w:w="80" w:type="dxa"/>
              <w:left w:w="80" w:type="dxa"/>
              <w:bottom w:w="80" w:type="dxa"/>
              <w:right w:w="80" w:type="dxa"/>
            </w:tcMar>
            <w:vAlign w:val="center"/>
          </w:tcPr>
          <w:p w14:paraId="6E522553">
            <w:pPr>
              <w:pStyle w:val="25"/>
              <w:spacing w:before="0" w:after="0" w:line="240" w:lineRule="auto"/>
              <w:ind w:firstLine="0"/>
              <w:jc w:val="left"/>
            </w:pPr>
            <w:r>
              <w:rPr>
                <w:rFonts w:ascii="楷体" w:hAnsi="楷体" w:eastAsia="楷体" w:cs="楷体"/>
                <w:color w:val="000000"/>
                <w:sz w:val="18"/>
              </w:rPr>
              <w:t>32.0025</w:t>
            </w:r>
          </w:p>
        </w:tc>
        <w:tc>
          <w:tcPr>
            <w:tcMar>
              <w:top w:w="80" w:type="dxa"/>
              <w:left w:w="80" w:type="dxa"/>
              <w:bottom w:w="80" w:type="dxa"/>
              <w:right w:w="80" w:type="dxa"/>
            </w:tcMar>
            <w:vAlign w:val="center"/>
          </w:tcPr>
          <w:p w14:paraId="24230E4D">
            <w:pPr>
              <w:pStyle w:val="25"/>
              <w:spacing w:before="0" w:after="0" w:line="240" w:lineRule="auto"/>
              <w:ind w:firstLine="0"/>
              <w:jc w:val="left"/>
              <w:rPr>
                <w:b w:val="0"/>
                <w:bCs w:val="0"/>
              </w:rPr>
            </w:pPr>
            <w:r>
              <w:rPr>
                <w:rFonts w:hint="eastAsia" w:ascii="楷体" w:hAnsi="楷体" w:cs="楷体"/>
                <w:b w:val="0"/>
                <w:bCs w:val="0"/>
                <w:color w:val="000000"/>
                <w:sz w:val="18"/>
                <w:lang w:val="en-US" w:eastAsia="zh-CN"/>
              </w:rPr>
              <w:t>7</w:t>
            </w:r>
            <w:r>
              <w:rPr>
                <w:rFonts w:ascii="楷体" w:hAnsi="楷体" w:eastAsia="楷体" w:cs="楷体"/>
                <w:b w:val="0"/>
                <w:bCs w:val="0"/>
                <w:color w:val="000000"/>
                <w:sz w:val="18"/>
              </w:rPr>
              <w:t>40.6812</w:t>
            </w:r>
          </w:p>
        </w:tc>
        <w:tc>
          <w:tcPr>
            <w:tcMar>
              <w:top w:w="80" w:type="dxa"/>
              <w:left w:w="80" w:type="dxa"/>
              <w:bottom w:w="80" w:type="dxa"/>
              <w:right w:w="80" w:type="dxa"/>
            </w:tcMar>
            <w:vAlign w:val="center"/>
          </w:tcPr>
          <w:p w14:paraId="461D40A9">
            <w:pPr>
              <w:pStyle w:val="25"/>
              <w:spacing w:before="0" w:after="0" w:line="240" w:lineRule="auto"/>
              <w:ind w:firstLine="0"/>
              <w:jc w:val="left"/>
              <w:rPr>
                <w:b w:val="0"/>
                <w:bCs w:val="0"/>
              </w:rPr>
            </w:pPr>
            <w:r>
              <w:rPr>
                <w:rFonts w:ascii="楷体" w:hAnsi="楷体" w:eastAsia="楷体" w:cs="楷体"/>
                <w:b w:val="0"/>
                <w:bCs w:val="0"/>
                <w:color w:val="000000"/>
                <w:sz w:val="18"/>
              </w:rPr>
              <w:t>4.386215</w:t>
            </w:r>
          </w:p>
        </w:tc>
        <w:tc>
          <w:tcPr>
            <w:tcMar>
              <w:top w:w="80" w:type="dxa"/>
              <w:left w:w="80" w:type="dxa"/>
              <w:bottom w:w="80" w:type="dxa"/>
              <w:right w:w="80" w:type="dxa"/>
            </w:tcMar>
            <w:vAlign w:val="center"/>
          </w:tcPr>
          <w:p w14:paraId="3D5FF639">
            <w:pPr>
              <w:pStyle w:val="25"/>
              <w:spacing w:before="0" w:after="0" w:line="240" w:lineRule="auto"/>
              <w:ind w:firstLine="0"/>
              <w:jc w:val="left"/>
              <w:rPr>
                <w:b w:val="0"/>
                <w:bCs w:val="0"/>
              </w:rPr>
            </w:pPr>
            <w:r>
              <w:rPr>
                <w:rFonts w:ascii="楷体" w:hAnsi="楷体" w:eastAsia="楷体" w:cs="楷体"/>
                <w:b w:val="0"/>
                <w:bCs w:val="0"/>
                <w:color w:val="000000"/>
                <w:sz w:val="18"/>
              </w:rPr>
              <w:t>0.</w:t>
            </w:r>
            <w:r>
              <w:rPr>
                <w:rFonts w:hint="eastAsia" w:ascii="楷体" w:hAnsi="楷体" w:cs="楷体"/>
                <w:b w:val="0"/>
                <w:bCs w:val="0"/>
                <w:color w:val="000000"/>
                <w:sz w:val="18"/>
                <w:lang w:val="en-US" w:eastAsia="zh-CN"/>
              </w:rPr>
              <w:t>31</w:t>
            </w:r>
            <w:r>
              <w:rPr>
                <w:rFonts w:ascii="楷体" w:hAnsi="楷体" w:eastAsia="楷体" w:cs="楷体"/>
                <w:b w:val="0"/>
                <w:bCs w:val="0"/>
                <w:color w:val="000000"/>
                <w:sz w:val="18"/>
              </w:rPr>
              <w:t>2438</w:t>
            </w:r>
          </w:p>
        </w:tc>
      </w:tr>
      <w:tr w14:paraId="1DB81A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6D8484BA">
            <w:pPr>
              <w:pStyle w:val="25"/>
              <w:spacing w:before="0" w:after="0" w:line="240" w:lineRule="auto"/>
              <w:ind w:firstLine="0"/>
              <w:jc w:val="left"/>
            </w:pPr>
            <w:r>
              <w:rPr>
                <w:rFonts w:ascii="楷体" w:hAnsi="楷体" w:eastAsia="楷体" w:cs="楷体"/>
                <w:color w:val="000000"/>
                <w:sz w:val="18"/>
              </w:rPr>
              <w:t>Homogeneous</w:t>
            </w:r>
          </w:p>
        </w:tc>
        <w:tc>
          <w:tcPr>
            <w:tcMar>
              <w:top w:w="80" w:type="dxa"/>
              <w:left w:w="80" w:type="dxa"/>
              <w:bottom w:w="80" w:type="dxa"/>
              <w:right w:w="80" w:type="dxa"/>
            </w:tcMar>
            <w:vAlign w:val="center"/>
          </w:tcPr>
          <w:p w14:paraId="02E0494F">
            <w:pPr>
              <w:pStyle w:val="25"/>
              <w:spacing w:before="0" w:after="0" w:line="240" w:lineRule="auto"/>
              <w:ind w:firstLine="0"/>
              <w:jc w:val="left"/>
            </w:pPr>
            <w:r>
              <w:rPr>
                <w:rFonts w:ascii="楷体" w:hAnsi="楷体" w:eastAsia="楷体" w:cs="楷体"/>
                <w:color w:val="000000"/>
                <w:sz w:val="18"/>
              </w:rPr>
              <w:t>20</w:t>
            </w:r>
          </w:p>
        </w:tc>
        <w:tc>
          <w:tcPr>
            <w:tcMar>
              <w:top w:w="80" w:type="dxa"/>
              <w:left w:w="80" w:type="dxa"/>
              <w:bottom w:w="80" w:type="dxa"/>
              <w:right w:w="80" w:type="dxa"/>
            </w:tcMar>
            <w:vAlign w:val="center"/>
          </w:tcPr>
          <w:p w14:paraId="479D3CAD">
            <w:pPr>
              <w:pStyle w:val="25"/>
              <w:spacing w:before="0" w:after="0" w:line="240" w:lineRule="auto"/>
              <w:ind w:firstLine="0"/>
              <w:jc w:val="left"/>
            </w:pPr>
            <w:r>
              <w:rPr>
                <w:rFonts w:ascii="楷体" w:hAnsi="楷体" w:eastAsia="楷体" w:cs="楷体"/>
                <w:color w:val="000000"/>
                <w:sz w:val="18"/>
              </w:rPr>
              <w:t>DFNG-SARNet+AMS</w:t>
            </w:r>
          </w:p>
        </w:tc>
        <w:tc>
          <w:tcPr>
            <w:tcMar>
              <w:top w:w="80" w:type="dxa"/>
              <w:left w:w="80" w:type="dxa"/>
              <w:bottom w:w="80" w:type="dxa"/>
              <w:right w:w="80" w:type="dxa"/>
            </w:tcMar>
            <w:vAlign w:val="center"/>
          </w:tcPr>
          <w:p w14:paraId="0A62B799">
            <w:pPr>
              <w:pStyle w:val="25"/>
              <w:spacing w:before="0" w:after="0" w:line="240" w:lineRule="auto"/>
              <w:ind w:firstLine="0"/>
              <w:jc w:val="left"/>
            </w:pPr>
            <w:r>
              <w:rPr>
                <w:rFonts w:ascii="楷体" w:hAnsi="楷体" w:eastAsia="楷体" w:cs="楷体"/>
                <w:color w:val="000000"/>
                <w:sz w:val="18"/>
              </w:rPr>
              <w:t>32.0025</w:t>
            </w:r>
          </w:p>
        </w:tc>
        <w:tc>
          <w:tcPr>
            <w:tcMar>
              <w:top w:w="80" w:type="dxa"/>
              <w:left w:w="80" w:type="dxa"/>
              <w:bottom w:w="80" w:type="dxa"/>
              <w:right w:w="80" w:type="dxa"/>
            </w:tcMar>
            <w:vAlign w:val="center"/>
          </w:tcPr>
          <w:p w14:paraId="68857FC9">
            <w:pPr>
              <w:pStyle w:val="25"/>
              <w:spacing w:before="0" w:after="0" w:line="240" w:lineRule="auto"/>
              <w:ind w:firstLine="0"/>
              <w:jc w:val="left"/>
              <w:rPr>
                <w:b w:val="0"/>
                <w:bCs w:val="0"/>
              </w:rPr>
            </w:pPr>
            <w:r>
              <w:rPr>
                <w:rFonts w:ascii="楷体" w:hAnsi="楷体" w:eastAsia="楷体" w:cs="楷体"/>
                <w:b w:val="0"/>
                <w:bCs w:val="0"/>
                <w:color w:val="000000"/>
                <w:sz w:val="18"/>
              </w:rPr>
              <w:t>48.3567</w:t>
            </w:r>
          </w:p>
        </w:tc>
        <w:tc>
          <w:tcPr>
            <w:tcMar>
              <w:top w:w="80" w:type="dxa"/>
              <w:left w:w="80" w:type="dxa"/>
              <w:bottom w:w="80" w:type="dxa"/>
              <w:right w:w="80" w:type="dxa"/>
            </w:tcMar>
            <w:vAlign w:val="center"/>
          </w:tcPr>
          <w:p w14:paraId="4005C0A2">
            <w:pPr>
              <w:pStyle w:val="25"/>
              <w:spacing w:before="0" w:after="0" w:line="240" w:lineRule="auto"/>
              <w:ind w:firstLine="0"/>
              <w:jc w:val="left"/>
              <w:rPr>
                <w:b/>
                <w:bCs/>
              </w:rPr>
            </w:pPr>
            <w:r>
              <w:rPr>
                <w:rFonts w:ascii="楷体" w:hAnsi="楷体" w:eastAsia="楷体" w:cs="楷体"/>
                <w:b/>
                <w:bCs/>
                <w:color w:val="000000"/>
                <w:sz w:val="18"/>
              </w:rPr>
              <w:t>3.742691</w:t>
            </w:r>
          </w:p>
        </w:tc>
        <w:tc>
          <w:tcPr>
            <w:tcMar>
              <w:top w:w="80" w:type="dxa"/>
              <w:left w:w="80" w:type="dxa"/>
              <w:bottom w:w="80" w:type="dxa"/>
              <w:right w:w="80" w:type="dxa"/>
            </w:tcMar>
            <w:vAlign w:val="center"/>
          </w:tcPr>
          <w:p w14:paraId="7EF6D9F3">
            <w:pPr>
              <w:pStyle w:val="25"/>
              <w:spacing w:before="0" w:after="0" w:line="240" w:lineRule="auto"/>
              <w:ind w:firstLine="0"/>
              <w:jc w:val="left"/>
              <w:rPr>
                <w:b w:val="0"/>
                <w:bCs w:val="0"/>
              </w:rPr>
            </w:pPr>
            <w:r>
              <w:rPr>
                <w:rFonts w:ascii="楷体" w:hAnsi="楷体" w:eastAsia="楷体" w:cs="楷体"/>
                <w:b/>
                <w:bCs/>
                <w:color w:val="000000"/>
                <w:sz w:val="18"/>
              </w:rPr>
              <w:t>0.818562</w:t>
            </w:r>
          </w:p>
        </w:tc>
      </w:tr>
      <w:tr w14:paraId="0FF45D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4C0A0E15">
            <w:pPr>
              <w:pStyle w:val="25"/>
              <w:spacing w:before="0" w:after="0" w:line="240" w:lineRule="auto"/>
              <w:ind w:firstLine="0"/>
              <w:jc w:val="left"/>
            </w:pPr>
            <w:r>
              <w:rPr>
                <w:rFonts w:ascii="楷体" w:hAnsi="楷体" w:eastAsia="楷体" w:cs="楷体"/>
                <w:color w:val="000000"/>
                <w:sz w:val="18"/>
              </w:rPr>
              <w:t>Structural</w:t>
            </w:r>
          </w:p>
        </w:tc>
        <w:tc>
          <w:tcPr>
            <w:tcMar>
              <w:top w:w="80" w:type="dxa"/>
              <w:left w:w="80" w:type="dxa"/>
              <w:bottom w:w="80" w:type="dxa"/>
              <w:right w:w="80" w:type="dxa"/>
            </w:tcMar>
            <w:vAlign w:val="center"/>
          </w:tcPr>
          <w:p w14:paraId="55E42B62">
            <w:pPr>
              <w:pStyle w:val="25"/>
              <w:spacing w:before="0" w:after="0" w:line="240" w:lineRule="auto"/>
              <w:ind w:firstLine="0"/>
              <w:jc w:val="left"/>
            </w:pPr>
            <w:r>
              <w:rPr>
                <w:rFonts w:ascii="楷体" w:hAnsi="楷体" w:eastAsia="楷体" w:cs="楷体"/>
                <w:color w:val="000000"/>
                <w:sz w:val="18"/>
              </w:rPr>
              <w:t>20</w:t>
            </w:r>
          </w:p>
        </w:tc>
        <w:tc>
          <w:tcPr>
            <w:tcMar>
              <w:top w:w="80" w:type="dxa"/>
              <w:left w:w="80" w:type="dxa"/>
              <w:bottom w:w="80" w:type="dxa"/>
              <w:right w:w="80" w:type="dxa"/>
            </w:tcMar>
            <w:vAlign w:val="center"/>
          </w:tcPr>
          <w:p w14:paraId="3F3BDE21">
            <w:pPr>
              <w:pStyle w:val="25"/>
              <w:spacing w:before="0" w:after="0" w:line="240" w:lineRule="auto"/>
              <w:ind w:firstLine="0"/>
              <w:jc w:val="left"/>
            </w:pPr>
            <w:r>
              <w:rPr>
                <w:rFonts w:ascii="楷体" w:hAnsi="楷体" w:eastAsia="楷体" w:cs="楷体"/>
                <w:color w:val="000000"/>
                <w:sz w:val="18"/>
              </w:rPr>
              <w:t>DFNG-SARNet</w:t>
            </w:r>
          </w:p>
        </w:tc>
        <w:tc>
          <w:tcPr>
            <w:tcMar>
              <w:top w:w="80" w:type="dxa"/>
              <w:left w:w="80" w:type="dxa"/>
              <w:bottom w:w="80" w:type="dxa"/>
              <w:right w:w="80" w:type="dxa"/>
            </w:tcMar>
            <w:vAlign w:val="center"/>
          </w:tcPr>
          <w:p w14:paraId="51592159">
            <w:pPr>
              <w:pStyle w:val="25"/>
              <w:spacing w:before="0" w:after="0" w:line="240" w:lineRule="auto"/>
              <w:ind w:firstLine="0"/>
              <w:jc w:val="left"/>
            </w:pPr>
            <w:r>
              <w:rPr>
                <w:rFonts w:ascii="楷体" w:hAnsi="楷体" w:eastAsia="楷体" w:cs="楷体"/>
                <w:color w:val="000000"/>
                <w:sz w:val="18"/>
              </w:rPr>
              <w:t>24.3142</w:t>
            </w:r>
          </w:p>
        </w:tc>
        <w:tc>
          <w:tcPr>
            <w:tcMar>
              <w:top w:w="80" w:type="dxa"/>
              <w:left w:w="80" w:type="dxa"/>
              <w:bottom w:w="80" w:type="dxa"/>
              <w:right w:w="80" w:type="dxa"/>
            </w:tcMar>
            <w:vAlign w:val="center"/>
          </w:tcPr>
          <w:p w14:paraId="6C4D180A">
            <w:pPr>
              <w:pStyle w:val="25"/>
              <w:spacing w:before="0" w:after="0" w:line="240" w:lineRule="auto"/>
              <w:ind w:firstLine="0"/>
              <w:jc w:val="left"/>
              <w:rPr>
                <w:b w:val="0"/>
                <w:bCs w:val="0"/>
              </w:rPr>
            </w:pPr>
            <w:r>
              <w:rPr>
                <w:rFonts w:hint="eastAsia" w:ascii="楷体" w:hAnsi="楷体" w:cs="楷体"/>
                <w:b w:val="0"/>
                <w:bCs w:val="0"/>
                <w:color w:val="000000"/>
                <w:sz w:val="18"/>
                <w:lang w:val="en-US" w:eastAsia="zh-CN"/>
              </w:rPr>
              <w:t>4</w:t>
            </w:r>
            <w:r>
              <w:rPr>
                <w:rFonts w:ascii="楷体" w:hAnsi="楷体" w:eastAsia="楷体" w:cs="楷体"/>
                <w:b w:val="0"/>
                <w:bCs w:val="0"/>
                <w:color w:val="000000"/>
                <w:sz w:val="18"/>
              </w:rPr>
              <w:t>29.6054</w:t>
            </w:r>
          </w:p>
        </w:tc>
        <w:tc>
          <w:tcPr>
            <w:tcMar>
              <w:top w:w="80" w:type="dxa"/>
              <w:left w:w="80" w:type="dxa"/>
              <w:bottom w:w="80" w:type="dxa"/>
              <w:right w:w="80" w:type="dxa"/>
            </w:tcMar>
            <w:vAlign w:val="center"/>
          </w:tcPr>
          <w:p w14:paraId="6170A4DC">
            <w:pPr>
              <w:pStyle w:val="25"/>
              <w:spacing w:before="0" w:after="0" w:line="240" w:lineRule="auto"/>
              <w:ind w:firstLine="0"/>
              <w:jc w:val="left"/>
              <w:rPr>
                <w:b w:val="0"/>
                <w:bCs w:val="0"/>
              </w:rPr>
            </w:pPr>
            <w:r>
              <w:rPr>
                <w:rFonts w:ascii="楷体" w:hAnsi="楷体" w:eastAsia="楷体" w:cs="楷体"/>
                <w:b w:val="0"/>
                <w:bCs w:val="0"/>
                <w:color w:val="000000"/>
                <w:sz w:val="18"/>
              </w:rPr>
              <w:t>0.682143</w:t>
            </w:r>
          </w:p>
        </w:tc>
        <w:tc>
          <w:tcPr>
            <w:tcMar>
              <w:top w:w="80" w:type="dxa"/>
              <w:left w:w="80" w:type="dxa"/>
              <w:bottom w:w="80" w:type="dxa"/>
              <w:right w:w="80" w:type="dxa"/>
            </w:tcMar>
            <w:vAlign w:val="center"/>
          </w:tcPr>
          <w:p w14:paraId="6BDD7A50">
            <w:pPr>
              <w:pStyle w:val="25"/>
              <w:spacing w:before="0" w:after="0" w:line="240" w:lineRule="auto"/>
              <w:ind w:firstLine="0"/>
              <w:jc w:val="left"/>
              <w:rPr>
                <w:b w:val="0"/>
                <w:bCs w:val="0"/>
              </w:rPr>
            </w:pPr>
            <w:r>
              <w:rPr>
                <w:rFonts w:ascii="楷体" w:hAnsi="楷体" w:eastAsia="楷体" w:cs="楷体"/>
                <w:b w:val="0"/>
                <w:bCs w:val="0"/>
                <w:color w:val="000000"/>
                <w:sz w:val="18"/>
              </w:rPr>
              <w:t>0.</w:t>
            </w:r>
            <w:r>
              <w:rPr>
                <w:rFonts w:hint="eastAsia" w:ascii="楷体" w:hAnsi="楷体" w:cs="楷体"/>
                <w:b w:val="0"/>
                <w:bCs w:val="0"/>
                <w:color w:val="000000"/>
                <w:sz w:val="18"/>
                <w:lang w:val="en-US" w:eastAsia="zh-CN"/>
              </w:rPr>
              <w:t>34</w:t>
            </w:r>
            <w:r>
              <w:rPr>
                <w:rFonts w:ascii="楷体" w:hAnsi="楷体" w:eastAsia="楷体" w:cs="楷体"/>
                <w:b w:val="0"/>
                <w:bCs w:val="0"/>
                <w:color w:val="000000"/>
                <w:sz w:val="18"/>
              </w:rPr>
              <w:t>3582</w:t>
            </w:r>
          </w:p>
        </w:tc>
      </w:tr>
      <w:tr w14:paraId="1DB92E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553272B7">
            <w:pPr>
              <w:pStyle w:val="25"/>
              <w:spacing w:before="0" w:after="0" w:line="240" w:lineRule="auto"/>
              <w:ind w:firstLine="0"/>
              <w:jc w:val="left"/>
            </w:pPr>
            <w:r>
              <w:rPr>
                <w:rFonts w:ascii="楷体" w:hAnsi="楷体" w:eastAsia="楷体" w:cs="楷体"/>
                <w:color w:val="000000"/>
                <w:sz w:val="18"/>
              </w:rPr>
              <w:t>Structural</w:t>
            </w:r>
          </w:p>
        </w:tc>
        <w:tc>
          <w:tcPr>
            <w:tcMar>
              <w:top w:w="80" w:type="dxa"/>
              <w:left w:w="80" w:type="dxa"/>
              <w:bottom w:w="80" w:type="dxa"/>
              <w:right w:w="80" w:type="dxa"/>
            </w:tcMar>
            <w:vAlign w:val="center"/>
          </w:tcPr>
          <w:p w14:paraId="7AF8F62D">
            <w:pPr>
              <w:pStyle w:val="25"/>
              <w:spacing w:before="0" w:after="0" w:line="240" w:lineRule="auto"/>
              <w:ind w:firstLine="0"/>
              <w:jc w:val="left"/>
            </w:pPr>
            <w:r>
              <w:rPr>
                <w:rFonts w:ascii="楷体" w:hAnsi="楷体" w:eastAsia="楷体" w:cs="楷体"/>
                <w:color w:val="000000"/>
                <w:sz w:val="18"/>
              </w:rPr>
              <w:t>20</w:t>
            </w:r>
          </w:p>
        </w:tc>
        <w:tc>
          <w:tcPr>
            <w:tcMar>
              <w:top w:w="80" w:type="dxa"/>
              <w:left w:w="80" w:type="dxa"/>
              <w:bottom w:w="80" w:type="dxa"/>
              <w:right w:w="80" w:type="dxa"/>
            </w:tcMar>
            <w:vAlign w:val="center"/>
          </w:tcPr>
          <w:p w14:paraId="092D7D4A">
            <w:pPr>
              <w:pStyle w:val="25"/>
              <w:spacing w:before="0" w:after="0" w:line="240" w:lineRule="auto"/>
              <w:ind w:firstLine="0"/>
              <w:jc w:val="left"/>
            </w:pPr>
            <w:r>
              <w:rPr>
                <w:rFonts w:ascii="楷体" w:hAnsi="楷体" w:eastAsia="楷体" w:cs="楷体"/>
                <w:color w:val="000000"/>
                <w:sz w:val="18"/>
              </w:rPr>
              <w:t>DFNG-SARNet+AMS</w:t>
            </w:r>
          </w:p>
        </w:tc>
        <w:tc>
          <w:tcPr>
            <w:tcMar>
              <w:top w:w="80" w:type="dxa"/>
              <w:left w:w="80" w:type="dxa"/>
              <w:bottom w:w="80" w:type="dxa"/>
              <w:right w:w="80" w:type="dxa"/>
            </w:tcMar>
            <w:vAlign w:val="center"/>
          </w:tcPr>
          <w:p w14:paraId="3DF097B1">
            <w:pPr>
              <w:pStyle w:val="25"/>
              <w:spacing w:before="0" w:after="0" w:line="240" w:lineRule="auto"/>
              <w:ind w:firstLine="0"/>
              <w:jc w:val="left"/>
            </w:pPr>
            <w:r>
              <w:rPr>
                <w:rFonts w:ascii="楷体" w:hAnsi="楷体" w:eastAsia="楷体" w:cs="楷体"/>
                <w:color w:val="000000"/>
                <w:sz w:val="18"/>
              </w:rPr>
              <w:t>24.3142</w:t>
            </w:r>
          </w:p>
        </w:tc>
        <w:tc>
          <w:tcPr>
            <w:tcMar>
              <w:top w:w="80" w:type="dxa"/>
              <w:left w:w="80" w:type="dxa"/>
              <w:bottom w:w="80" w:type="dxa"/>
              <w:right w:w="80" w:type="dxa"/>
            </w:tcMar>
            <w:vAlign w:val="center"/>
          </w:tcPr>
          <w:p w14:paraId="3B099865">
            <w:pPr>
              <w:pStyle w:val="25"/>
              <w:spacing w:before="0" w:after="0" w:line="240" w:lineRule="auto"/>
              <w:ind w:firstLine="0"/>
              <w:jc w:val="left"/>
              <w:rPr>
                <w:b w:val="0"/>
                <w:bCs w:val="0"/>
              </w:rPr>
            </w:pPr>
            <w:r>
              <w:rPr>
                <w:rFonts w:ascii="楷体" w:hAnsi="楷体" w:eastAsia="楷体" w:cs="楷体"/>
                <w:b w:val="0"/>
                <w:bCs w:val="0"/>
                <w:color w:val="000000"/>
                <w:sz w:val="18"/>
              </w:rPr>
              <w:t>34.2189</w:t>
            </w:r>
          </w:p>
        </w:tc>
        <w:tc>
          <w:tcPr>
            <w:tcMar>
              <w:top w:w="80" w:type="dxa"/>
              <w:left w:w="80" w:type="dxa"/>
              <w:bottom w:w="80" w:type="dxa"/>
              <w:right w:w="80" w:type="dxa"/>
            </w:tcMar>
            <w:vAlign w:val="center"/>
          </w:tcPr>
          <w:p w14:paraId="238D270F">
            <w:pPr>
              <w:pStyle w:val="25"/>
              <w:spacing w:before="0" w:after="0" w:line="240" w:lineRule="auto"/>
              <w:ind w:firstLine="0"/>
              <w:jc w:val="left"/>
              <w:rPr>
                <w:b w:val="0"/>
                <w:bCs w:val="0"/>
              </w:rPr>
            </w:pPr>
            <w:r>
              <w:rPr>
                <w:rFonts w:ascii="楷体" w:hAnsi="楷体" w:eastAsia="楷体" w:cs="楷体"/>
                <w:b/>
                <w:bCs/>
                <w:color w:val="000000"/>
                <w:sz w:val="18"/>
              </w:rPr>
              <w:t>0.521876</w:t>
            </w:r>
          </w:p>
        </w:tc>
        <w:tc>
          <w:tcPr>
            <w:tcMar>
              <w:top w:w="80" w:type="dxa"/>
              <w:left w:w="80" w:type="dxa"/>
              <w:bottom w:w="80" w:type="dxa"/>
              <w:right w:w="80" w:type="dxa"/>
            </w:tcMar>
            <w:vAlign w:val="center"/>
          </w:tcPr>
          <w:p w14:paraId="6124670E">
            <w:pPr>
              <w:pStyle w:val="25"/>
              <w:spacing w:before="0" w:after="0" w:line="240" w:lineRule="auto"/>
              <w:ind w:firstLine="0"/>
              <w:jc w:val="left"/>
              <w:rPr>
                <w:b w:val="0"/>
                <w:bCs w:val="0"/>
              </w:rPr>
            </w:pPr>
            <w:r>
              <w:rPr>
                <w:rFonts w:ascii="楷体" w:hAnsi="楷体" w:eastAsia="楷体" w:cs="楷体"/>
                <w:b/>
                <w:bCs/>
                <w:color w:val="000000"/>
                <w:sz w:val="18"/>
              </w:rPr>
              <w:t>0.742615</w:t>
            </w:r>
          </w:p>
        </w:tc>
      </w:tr>
      <w:tr w14:paraId="47F7D7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473F070">
            <w:pPr>
              <w:pStyle w:val="25"/>
              <w:spacing w:before="0" w:after="0" w:line="240" w:lineRule="auto"/>
              <w:ind w:firstLine="0"/>
              <w:jc w:val="left"/>
            </w:pPr>
            <w:r>
              <w:rPr>
                <w:rFonts w:ascii="楷体" w:hAnsi="楷体" w:eastAsia="楷体" w:cs="楷体"/>
                <w:color w:val="000000"/>
                <w:sz w:val="18"/>
              </w:rPr>
              <w:t>Texture</w:t>
            </w:r>
          </w:p>
        </w:tc>
        <w:tc>
          <w:tcPr>
            <w:tcMar>
              <w:top w:w="80" w:type="dxa"/>
              <w:left w:w="80" w:type="dxa"/>
              <w:bottom w:w="80" w:type="dxa"/>
              <w:right w:w="80" w:type="dxa"/>
            </w:tcMar>
            <w:vAlign w:val="center"/>
          </w:tcPr>
          <w:p w14:paraId="4A304D06">
            <w:pPr>
              <w:pStyle w:val="25"/>
              <w:spacing w:before="0" w:after="0" w:line="240" w:lineRule="auto"/>
              <w:ind w:firstLine="0"/>
              <w:jc w:val="left"/>
            </w:pPr>
            <w:r>
              <w:rPr>
                <w:rFonts w:ascii="楷体" w:hAnsi="楷体" w:eastAsia="楷体" w:cs="楷体"/>
                <w:color w:val="000000"/>
                <w:sz w:val="18"/>
              </w:rPr>
              <w:t>20</w:t>
            </w:r>
          </w:p>
        </w:tc>
        <w:tc>
          <w:tcPr>
            <w:tcMar>
              <w:top w:w="80" w:type="dxa"/>
              <w:left w:w="80" w:type="dxa"/>
              <w:bottom w:w="80" w:type="dxa"/>
              <w:right w:w="80" w:type="dxa"/>
            </w:tcMar>
            <w:vAlign w:val="center"/>
          </w:tcPr>
          <w:p w14:paraId="65A9C79A">
            <w:pPr>
              <w:pStyle w:val="25"/>
              <w:spacing w:before="0" w:after="0" w:line="240" w:lineRule="auto"/>
              <w:ind w:firstLine="0"/>
              <w:jc w:val="left"/>
            </w:pPr>
            <w:r>
              <w:rPr>
                <w:rFonts w:ascii="楷体" w:hAnsi="楷体" w:eastAsia="楷体" w:cs="楷体"/>
                <w:color w:val="000000"/>
                <w:sz w:val="18"/>
              </w:rPr>
              <w:t>DFNG-SARNet</w:t>
            </w:r>
          </w:p>
        </w:tc>
        <w:tc>
          <w:tcPr>
            <w:tcMar>
              <w:top w:w="80" w:type="dxa"/>
              <w:left w:w="80" w:type="dxa"/>
              <w:bottom w:w="80" w:type="dxa"/>
              <w:right w:w="80" w:type="dxa"/>
            </w:tcMar>
            <w:vAlign w:val="center"/>
          </w:tcPr>
          <w:p w14:paraId="2182EFD6">
            <w:pPr>
              <w:pStyle w:val="25"/>
              <w:spacing w:before="0" w:after="0" w:line="240" w:lineRule="auto"/>
              <w:ind w:firstLine="0"/>
              <w:jc w:val="left"/>
            </w:pPr>
            <w:r>
              <w:rPr>
                <w:rFonts w:ascii="楷体" w:hAnsi="楷体" w:eastAsia="楷体" w:cs="楷体"/>
                <w:color w:val="000000"/>
                <w:sz w:val="18"/>
              </w:rPr>
              <w:t>14.9264</w:t>
            </w:r>
          </w:p>
        </w:tc>
        <w:tc>
          <w:tcPr>
            <w:tcMar>
              <w:top w:w="80" w:type="dxa"/>
              <w:left w:w="80" w:type="dxa"/>
              <w:bottom w:w="80" w:type="dxa"/>
              <w:right w:w="80" w:type="dxa"/>
            </w:tcMar>
            <w:vAlign w:val="center"/>
          </w:tcPr>
          <w:p w14:paraId="5BA29656">
            <w:pPr>
              <w:pStyle w:val="25"/>
              <w:spacing w:before="0" w:after="0" w:line="240" w:lineRule="auto"/>
              <w:ind w:firstLine="0"/>
              <w:jc w:val="left"/>
              <w:rPr>
                <w:b w:val="0"/>
                <w:bCs w:val="0"/>
              </w:rPr>
            </w:pPr>
            <w:r>
              <w:rPr>
                <w:rFonts w:hint="eastAsia" w:ascii="楷体" w:hAnsi="楷体" w:cs="楷体"/>
                <w:b w:val="0"/>
                <w:bCs w:val="0"/>
                <w:color w:val="000000"/>
                <w:sz w:val="18"/>
                <w:lang w:val="en-US" w:eastAsia="zh-CN"/>
              </w:rPr>
              <w:t>6</w:t>
            </w:r>
            <w:r>
              <w:rPr>
                <w:rFonts w:ascii="楷体" w:hAnsi="楷体" w:eastAsia="楷体" w:cs="楷体"/>
                <w:b w:val="0"/>
                <w:bCs w:val="0"/>
                <w:color w:val="000000"/>
                <w:sz w:val="18"/>
              </w:rPr>
              <w:t>20.8473</w:t>
            </w:r>
          </w:p>
        </w:tc>
        <w:tc>
          <w:tcPr>
            <w:tcMar>
              <w:top w:w="80" w:type="dxa"/>
              <w:left w:w="80" w:type="dxa"/>
              <w:bottom w:w="80" w:type="dxa"/>
              <w:right w:w="80" w:type="dxa"/>
            </w:tcMar>
            <w:vAlign w:val="center"/>
          </w:tcPr>
          <w:p w14:paraId="337AB249">
            <w:pPr>
              <w:pStyle w:val="25"/>
              <w:spacing w:before="0" w:after="0" w:line="240" w:lineRule="auto"/>
              <w:ind w:firstLine="0"/>
              <w:jc w:val="left"/>
              <w:rPr>
                <w:b w:val="0"/>
                <w:bCs w:val="0"/>
              </w:rPr>
            </w:pPr>
            <w:r>
              <w:rPr>
                <w:rFonts w:ascii="楷体" w:hAnsi="楷体" w:eastAsia="楷体" w:cs="楷体"/>
                <w:b w:val="0"/>
                <w:bCs w:val="0"/>
                <w:color w:val="000000"/>
                <w:sz w:val="18"/>
              </w:rPr>
              <w:t>0.152604</w:t>
            </w:r>
          </w:p>
        </w:tc>
        <w:tc>
          <w:tcPr>
            <w:tcMar>
              <w:top w:w="80" w:type="dxa"/>
              <w:left w:w="80" w:type="dxa"/>
              <w:bottom w:w="80" w:type="dxa"/>
              <w:right w:w="80" w:type="dxa"/>
            </w:tcMar>
            <w:vAlign w:val="center"/>
          </w:tcPr>
          <w:p w14:paraId="1A02A6B4">
            <w:pPr>
              <w:pStyle w:val="25"/>
              <w:spacing w:before="0" w:after="0" w:line="240" w:lineRule="auto"/>
              <w:ind w:firstLine="0"/>
              <w:jc w:val="left"/>
              <w:rPr>
                <w:b w:val="0"/>
                <w:bCs w:val="0"/>
              </w:rPr>
            </w:pPr>
            <w:r>
              <w:rPr>
                <w:rFonts w:ascii="楷体" w:hAnsi="楷体" w:eastAsia="楷体" w:cs="楷体"/>
                <w:b w:val="0"/>
                <w:bCs w:val="0"/>
                <w:color w:val="000000"/>
                <w:sz w:val="18"/>
              </w:rPr>
              <w:t>0.</w:t>
            </w:r>
            <w:r>
              <w:rPr>
                <w:rFonts w:hint="eastAsia" w:ascii="楷体" w:hAnsi="楷体" w:cs="楷体"/>
                <w:b w:val="0"/>
                <w:bCs w:val="0"/>
                <w:color w:val="000000"/>
                <w:sz w:val="18"/>
                <w:lang w:val="en-US" w:eastAsia="zh-CN"/>
              </w:rPr>
              <w:t>46</w:t>
            </w:r>
            <w:r>
              <w:rPr>
                <w:rFonts w:ascii="楷体" w:hAnsi="楷体" w:eastAsia="楷体" w:cs="楷体"/>
                <w:b w:val="0"/>
                <w:bCs w:val="0"/>
                <w:color w:val="000000"/>
                <w:sz w:val="18"/>
              </w:rPr>
              <w:t>1294</w:t>
            </w:r>
          </w:p>
        </w:tc>
      </w:tr>
      <w:tr w14:paraId="19A36A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681AE4B6">
            <w:pPr>
              <w:pStyle w:val="25"/>
              <w:spacing w:before="0" w:after="0" w:line="240" w:lineRule="auto"/>
              <w:ind w:firstLine="0"/>
              <w:jc w:val="left"/>
            </w:pPr>
            <w:r>
              <w:rPr>
                <w:rFonts w:ascii="楷体" w:hAnsi="楷体" w:eastAsia="楷体" w:cs="楷体"/>
                <w:color w:val="000000"/>
                <w:sz w:val="18"/>
              </w:rPr>
              <w:t>Texture</w:t>
            </w:r>
          </w:p>
        </w:tc>
        <w:tc>
          <w:tcPr>
            <w:tcMar>
              <w:top w:w="80" w:type="dxa"/>
              <w:left w:w="80" w:type="dxa"/>
              <w:bottom w:w="80" w:type="dxa"/>
              <w:right w:w="80" w:type="dxa"/>
            </w:tcMar>
            <w:vAlign w:val="center"/>
          </w:tcPr>
          <w:p w14:paraId="029B8C49">
            <w:pPr>
              <w:pStyle w:val="25"/>
              <w:spacing w:before="0" w:after="0" w:line="240" w:lineRule="auto"/>
              <w:ind w:firstLine="0"/>
              <w:jc w:val="left"/>
            </w:pPr>
            <w:r>
              <w:rPr>
                <w:rFonts w:ascii="楷体" w:hAnsi="楷体" w:eastAsia="楷体" w:cs="楷体"/>
                <w:color w:val="000000"/>
                <w:sz w:val="18"/>
              </w:rPr>
              <w:t>20</w:t>
            </w:r>
          </w:p>
        </w:tc>
        <w:tc>
          <w:tcPr>
            <w:tcMar>
              <w:top w:w="80" w:type="dxa"/>
              <w:left w:w="80" w:type="dxa"/>
              <w:bottom w:w="80" w:type="dxa"/>
              <w:right w:w="80" w:type="dxa"/>
            </w:tcMar>
            <w:vAlign w:val="center"/>
          </w:tcPr>
          <w:p w14:paraId="72FC9B7B">
            <w:pPr>
              <w:pStyle w:val="25"/>
              <w:spacing w:before="0" w:after="0" w:line="240" w:lineRule="auto"/>
              <w:ind w:firstLine="0"/>
              <w:jc w:val="left"/>
            </w:pPr>
            <w:r>
              <w:rPr>
                <w:rFonts w:ascii="楷体" w:hAnsi="楷体" w:eastAsia="楷体" w:cs="楷体"/>
                <w:color w:val="000000"/>
                <w:sz w:val="18"/>
              </w:rPr>
              <w:t>DFNG-SARNet+AMS</w:t>
            </w:r>
          </w:p>
        </w:tc>
        <w:tc>
          <w:tcPr>
            <w:tcMar>
              <w:top w:w="80" w:type="dxa"/>
              <w:left w:w="80" w:type="dxa"/>
              <w:bottom w:w="80" w:type="dxa"/>
              <w:right w:w="80" w:type="dxa"/>
            </w:tcMar>
            <w:vAlign w:val="center"/>
          </w:tcPr>
          <w:p w14:paraId="5DBF549E">
            <w:pPr>
              <w:pStyle w:val="25"/>
              <w:spacing w:before="0" w:after="0" w:line="240" w:lineRule="auto"/>
              <w:ind w:firstLine="0"/>
              <w:jc w:val="left"/>
            </w:pPr>
            <w:r>
              <w:rPr>
                <w:rFonts w:ascii="楷体" w:hAnsi="楷体" w:eastAsia="楷体" w:cs="楷体"/>
                <w:color w:val="000000"/>
                <w:sz w:val="18"/>
              </w:rPr>
              <w:t>14.9264</w:t>
            </w:r>
          </w:p>
        </w:tc>
        <w:tc>
          <w:tcPr>
            <w:tcMar>
              <w:top w:w="80" w:type="dxa"/>
              <w:left w:w="80" w:type="dxa"/>
              <w:bottom w:w="80" w:type="dxa"/>
              <w:right w:w="80" w:type="dxa"/>
            </w:tcMar>
            <w:vAlign w:val="center"/>
          </w:tcPr>
          <w:p w14:paraId="1A783948">
            <w:pPr>
              <w:pStyle w:val="25"/>
              <w:spacing w:before="0" w:after="0" w:line="240" w:lineRule="auto"/>
              <w:ind w:firstLine="0"/>
              <w:jc w:val="left"/>
              <w:rPr>
                <w:b w:val="0"/>
                <w:bCs w:val="0"/>
              </w:rPr>
            </w:pPr>
            <w:r>
              <w:rPr>
                <w:rFonts w:ascii="楷体" w:hAnsi="楷体" w:eastAsia="楷体" w:cs="楷体"/>
                <w:b w:val="0"/>
                <w:bCs w:val="0"/>
                <w:color w:val="000000"/>
                <w:sz w:val="18"/>
              </w:rPr>
              <w:t>25.6948</w:t>
            </w:r>
          </w:p>
        </w:tc>
        <w:tc>
          <w:tcPr>
            <w:tcMar>
              <w:top w:w="80" w:type="dxa"/>
              <w:left w:w="80" w:type="dxa"/>
              <w:bottom w:w="80" w:type="dxa"/>
              <w:right w:w="80" w:type="dxa"/>
            </w:tcMar>
            <w:vAlign w:val="center"/>
          </w:tcPr>
          <w:p w14:paraId="260B94AD">
            <w:pPr>
              <w:pStyle w:val="25"/>
              <w:spacing w:before="0" w:after="0" w:line="240" w:lineRule="auto"/>
              <w:ind w:firstLine="0"/>
              <w:jc w:val="left"/>
              <w:rPr>
                <w:b w:val="0"/>
                <w:bCs w:val="0"/>
              </w:rPr>
            </w:pPr>
            <w:r>
              <w:rPr>
                <w:rFonts w:ascii="楷体" w:hAnsi="楷体" w:eastAsia="楷体" w:cs="楷体"/>
                <w:b/>
                <w:bCs/>
                <w:color w:val="000000"/>
                <w:sz w:val="18"/>
              </w:rPr>
              <w:t>0.098531</w:t>
            </w:r>
          </w:p>
        </w:tc>
        <w:tc>
          <w:tcPr>
            <w:tcMar>
              <w:top w:w="80" w:type="dxa"/>
              <w:left w:w="80" w:type="dxa"/>
              <w:bottom w:w="80" w:type="dxa"/>
              <w:right w:w="80" w:type="dxa"/>
            </w:tcMar>
            <w:vAlign w:val="center"/>
          </w:tcPr>
          <w:p w14:paraId="5EC77BE2">
            <w:pPr>
              <w:pStyle w:val="25"/>
              <w:spacing w:before="0" w:after="0" w:line="240" w:lineRule="auto"/>
              <w:ind w:firstLine="0"/>
              <w:jc w:val="left"/>
              <w:rPr>
                <w:b w:val="0"/>
                <w:bCs w:val="0"/>
              </w:rPr>
            </w:pPr>
            <w:r>
              <w:rPr>
                <w:rFonts w:ascii="楷体" w:hAnsi="楷体" w:eastAsia="楷体" w:cs="楷体"/>
                <w:b/>
                <w:bCs/>
                <w:color w:val="000000"/>
                <w:sz w:val="18"/>
              </w:rPr>
              <w:t>0.835476</w:t>
            </w:r>
          </w:p>
        </w:tc>
      </w:tr>
      <w:tr w14:paraId="0C308C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674A8D40">
            <w:pPr>
              <w:pStyle w:val="25"/>
              <w:spacing w:before="0" w:after="0" w:line="240" w:lineRule="auto"/>
              <w:ind w:firstLine="0"/>
              <w:jc w:val="left"/>
            </w:pPr>
            <w:r>
              <w:rPr>
                <w:rFonts w:ascii="楷体" w:hAnsi="楷体" w:eastAsia="楷体" w:cs="楷体"/>
                <w:color w:val="000000"/>
                <w:sz w:val="18"/>
              </w:rPr>
              <w:t>Average</w:t>
            </w:r>
          </w:p>
        </w:tc>
        <w:tc>
          <w:tcPr>
            <w:tcMar>
              <w:top w:w="80" w:type="dxa"/>
              <w:left w:w="80" w:type="dxa"/>
              <w:bottom w:w="80" w:type="dxa"/>
              <w:right w:w="80" w:type="dxa"/>
            </w:tcMar>
            <w:vAlign w:val="center"/>
          </w:tcPr>
          <w:p w14:paraId="49F31A77">
            <w:pPr>
              <w:pStyle w:val="25"/>
              <w:spacing w:before="0" w:after="0" w:line="240" w:lineRule="auto"/>
              <w:ind w:firstLine="0"/>
              <w:jc w:val="left"/>
            </w:pPr>
            <w:r>
              <w:rPr>
                <w:rFonts w:ascii="楷体" w:hAnsi="楷体" w:eastAsia="楷体" w:cs="楷体"/>
                <w:color w:val="000000"/>
                <w:sz w:val="18"/>
              </w:rPr>
              <w:t>60</w:t>
            </w:r>
          </w:p>
        </w:tc>
        <w:tc>
          <w:tcPr>
            <w:tcMar>
              <w:top w:w="80" w:type="dxa"/>
              <w:left w:w="80" w:type="dxa"/>
              <w:bottom w:w="80" w:type="dxa"/>
              <w:right w:w="80" w:type="dxa"/>
            </w:tcMar>
            <w:vAlign w:val="center"/>
          </w:tcPr>
          <w:p w14:paraId="6E2CAC9F">
            <w:pPr>
              <w:pStyle w:val="25"/>
              <w:spacing w:before="0" w:after="0" w:line="240" w:lineRule="auto"/>
              <w:ind w:firstLine="0"/>
              <w:jc w:val="left"/>
            </w:pPr>
            <w:r>
              <w:rPr>
                <w:rFonts w:ascii="楷体" w:hAnsi="楷体" w:eastAsia="楷体" w:cs="楷体"/>
                <w:color w:val="000000"/>
                <w:sz w:val="18"/>
              </w:rPr>
              <w:t>DFNG-SARNet</w:t>
            </w:r>
          </w:p>
        </w:tc>
        <w:tc>
          <w:tcPr>
            <w:tcMar>
              <w:top w:w="80" w:type="dxa"/>
              <w:left w:w="80" w:type="dxa"/>
              <w:bottom w:w="80" w:type="dxa"/>
              <w:right w:w="80" w:type="dxa"/>
            </w:tcMar>
            <w:vAlign w:val="center"/>
          </w:tcPr>
          <w:p w14:paraId="76D2FA6C">
            <w:pPr>
              <w:pStyle w:val="25"/>
              <w:spacing w:before="0" w:after="0" w:line="240" w:lineRule="auto"/>
              <w:ind w:firstLine="0"/>
              <w:jc w:val="left"/>
            </w:pPr>
            <w:r>
              <w:rPr>
                <w:rFonts w:ascii="楷体" w:hAnsi="楷体" w:eastAsia="楷体" w:cs="楷体"/>
                <w:color w:val="000000"/>
                <w:sz w:val="18"/>
              </w:rPr>
              <w:t>23.7477</w:t>
            </w:r>
          </w:p>
        </w:tc>
        <w:tc>
          <w:tcPr>
            <w:tcMar>
              <w:top w:w="80" w:type="dxa"/>
              <w:left w:w="80" w:type="dxa"/>
              <w:bottom w:w="80" w:type="dxa"/>
              <w:right w:w="80" w:type="dxa"/>
            </w:tcMar>
            <w:vAlign w:val="center"/>
          </w:tcPr>
          <w:p w14:paraId="5EFDA373">
            <w:pPr>
              <w:pStyle w:val="25"/>
              <w:spacing w:before="0" w:after="0" w:line="240" w:lineRule="auto"/>
              <w:ind w:firstLine="0"/>
              <w:jc w:val="left"/>
              <w:rPr>
                <w:rFonts w:hint="default" w:eastAsia="楷体"/>
                <w:b w:val="0"/>
                <w:bCs w:val="0"/>
                <w:lang w:val="en-US" w:eastAsia="zh-CN"/>
              </w:rPr>
            </w:pPr>
            <w:r>
              <w:rPr>
                <w:rFonts w:hint="eastAsia" w:ascii="楷体" w:hAnsi="楷体" w:eastAsia="楷体" w:cs="楷体"/>
                <w:b w:val="0"/>
                <w:bCs w:val="0"/>
                <w:color w:val="000000"/>
                <w:sz w:val="18"/>
                <w:lang w:val="en-US" w:eastAsia="zh-CN"/>
              </w:rPr>
              <w:t>597.0446</w:t>
            </w:r>
          </w:p>
        </w:tc>
        <w:tc>
          <w:tcPr>
            <w:tcMar>
              <w:top w:w="80" w:type="dxa"/>
              <w:left w:w="80" w:type="dxa"/>
              <w:bottom w:w="80" w:type="dxa"/>
              <w:right w:w="80" w:type="dxa"/>
            </w:tcMar>
            <w:vAlign w:val="center"/>
          </w:tcPr>
          <w:p w14:paraId="3E105A3A">
            <w:pPr>
              <w:pStyle w:val="25"/>
              <w:spacing w:before="0" w:after="0" w:line="240" w:lineRule="auto"/>
              <w:ind w:firstLine="0"/>
              <w:jc w:val="left"/>
              <w:rPr>
                <w:b w:val="0"/>
                <w:bCs w:val="0"/>
              </w:rPr>
            </w:pPr>
            <w:r>
              <w:rPr>
                <w:rFonts w:ascii="楷体" w:hAnsi="楷体" w:eastAsia="楷体" w:cs="楷体"/>
                <w:b w:val="0"/>
                <w:bCs w:val="0"/>
                <w:color w:val="000000"/>
                <w:sz w:val="18"/>
              </w:rPr>
              <w:t>1.740321</w:t>
            </w:r>
          </w:p>
        </w:tc>
        <w:tc>
          <w:tcPr>
            <w:tcMar>
              <w:top w:w="80" w:type="dxa"/>
              <w:left w:w="80" w:type="dxa"/>
              <w:bottom w:w="80" w:type="dxa"/>
              <w:right w:w="80" w:type="dxa"/>
            </w:tcMar>
            <w:vAlign w:val="center"/>
          </w:tcPr>
          <w:p w14:paraId="79D62A6D">
            <w:pPr>
              <w:pStyle w:val="25"/>
              <w:spacing w:before="0" w:after="0" w:line="240" w:lineRule="auto"/>
              <w:ind w:firstLine="0"/>
              <w:jc w:val="left"/>
              <w:rPr>
                <w:rFonts w:hint="default" w:eastAsia="楷体"/>
                <w:b w:val="0"/>
                <w:bCs w:val="0"/>
                <w:lang w:val="en-US" w:eastAsia="zh-CN"/>
              </w:rPr>
            </w:pPr>
            <w:r>
              <w:rPr>
                <w:rFonts w:ascii="楷体" w:hAnsi="楷体" w:eastAsia="楷体" w:cs="楷体"/>
                <w:b w:val="0"/>
                <w:bCs w:val="0"/>
                <w:color w:val="000000"/>
                <w:sz w:val="18"/>
              </w:rPr>
              <w:t>0.</w:t>
            </w:r>
            <w:r>
              <w:rPr>
                <w:rFonts w:hint="eastAsia" w:ascii="楷体" w:hAnsi="楷体" w:cs="楷体"/>
                <w:b w:val="0"/>
                <w:bCs w:val="0"/>
                <w:color w:val="000000"/>
                <w:sz w:val="18"/>
                <w:lang w:val="en-US" w:eastAsia="zh-CN"/>
              </w:rPr>
              <w:t>372438</w:t>
            </w:r>
          </w:p>
        </w:tc>
      </w:tr>
      <w:tr w14:paraId="67509B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4FFF6DAE">
            <w:pPr>
              <w:pStyle w:val="25"/>
              <w:spacing w:before="0" w:after="0" w:line="240" w:lineRule="auto"/>
              <w:ind w:firstLine="0"/>
              <w:jc w:val="left"/>
            </w:pPr>
            <w:r>
              <w:rPr>
                <w:rFonts w:ascii="楷体" w:hAnsi="楷体" w:eastAsia="楷体" w:cs="楷体"/>
                <w:color w:val="000000"/>
                <w:sz w:val="18"/>
              </w:rPr>
              <w:t>Average</w:t>
            </w:r>
          </w:p>
        </w:tc>
        <w:tc>
          <w:tcPr>
            <w:tcMar>
              <w:top w:w="80" w:type="dxa"/>
              <w:left w:w="80" w:type="dxa"/>
              <w:bottom w:w="80" w:type="dxa"/>
              <w:right w:w="80" w:type="dxa"/>
            </w:tcMar>
            <w:vAlign w:val="center"/>
          </w:tcPr>
          <w:p w14:paraId="1CCB2BFF">
            <w:pPr>
              <w:pStyle w:val="25"/>
              <w:spacing w:before="0" w:after="0" w:line="240" w:lineRule="auto"/>
              <w:ind w:firstLine="0"/>
              <w:jc w:val="left"/>
            </w:pPr>
            <w:r>
              <w:rPr>
                <w:rFonts w:ascii="楷体" w:hAnsi="楷体" w:eastAsia="楷体" w:cs="楷体"/>
                <w:color w:val="000000"/>
                <w:sz w:val="18"/>
              </w:rPr>
              <w:t>60</w:t>
            </w:r>
          </w:p>
        </w:tc>
        <w:tc>
          <w:tcPr>
            <w:tcMar>
              <w:top w:w="80" w:type="dxa"/>
              <w:left w:w="80" w:type="dxa"/>
              <w:bottom w:w="80" w:type="dxa"/>
              <w:right w:w="80" w:type="dxa"/>
            </w:tcMar>
            <w:vAlign w:val="center"/>
          </w:tcPr>
          <w:p w14:paraId="64D9BE1F">
            <w:pPr>
              <w:pStyle w:val="25"/>
              <w:spacing w:before="0" w:after="0" w:line="240" w:lineRule="auto"/>
              <w:ind w:firstLine="0"/>
              <w:jc w:val="left"/>
            </w:pPr>
            <w:r>
              <w:rPr>
                <w:rFonts w:ascii="楷体" w:hAnsi="楷体" w:eastAsia="楷体" w:cs="楷体"/>
                <w:color w:val="000000"/>
                <w:sz w:val="18"/>
              </w:rPr>
              <w:t>DFNG-SARNet+AMS</w:t>
            </w:r>
          </w:p>
        </w:tc>
        <w:tc>
          <w:tcPr>
            <w:tcMar>
              <w:top w:w="80" w:type="dxa"/>
              <w:left w:w="80" w:type="dxa"/>
              <w:bottom w:w="80" w:type="dxa"/>
              <w:right w:w="80" w:type="dxa"/>
            </w:tcMar>
            <w:vAlign w:val="center"/>
          </w:tcPr>
          <w:p w14:paraId="554B3144">
            <w:pPr>
              <w:pStyle w:val="25"/>
              <w:spacing w:before="0" w:after="0" w:line="240" w:lineRule="auto"/>
              <w:ind w:firstLine="0"/>
              <w:jc w:val="left"/>
            </w:pPr>
            <w:r>
              <w:rPr>
                <w:rFonts w:ascii="楷体" w:hAnsi="楷体" w:eastAsia="楷体" w:cs="楷体"/>
                <w:color w:val="000000"/>
                <w:sz w:val="18"/>
              </w:rPr>
              <w:t>23.7477</w:t>
            </w:r>
          </w:p>
        </w:tc>
        <w:tc>
          <w:tcPr>
            <w:tcMar>
              <w:top w:w="80" w:type="dxa"/>
              <w:left w:w="80" w:type="dxa"/>
              <w:bottom w:w="80" w:type="dxa"/>
              <w:right w:w="80" w:type="dxa"/>
            </w:tcMar>
            <w:vAlign w:val="center"/>
          </w:tcPr>
          <w:p w14:paraId="5EE3078C">
            <w:pPr>
              <w:pStyle w:val="25"/>
              <w:spacing w:before="0" w:after="0" w:line="240" w:lineRule="auto"/>
              <w:ind w:firstLine="0"/>
              <w:jc w:val="left"/>
              <w:rPr>
                <w:b w:val="0"/>
                <w:bCs w:val="0"/>
              </w:rPr>
            </w:pPr>
            <w:r>
              <w:rPr>
                <w:rFonts w:ascii="楷体" w:hAnsi="楷体" w:eastAsia="楷体" w:cs="楷体"/>
                <w:b w:val="0"/>
                <w:bCs w:val="0"/>
                <w:color w:val="000000"/>
                <w:sz w:val="18"/>
              </w:rPr>
              <w:t>36.0901</w:t>
            </w:r>
          </w:p>
        </w:tc>
        <w:tc>
          <w:tcPr>
            <w:tcMar>
              <w:top w:w="80" w:type="dxa"/>
              <w:left w:w="80" w:type="dxa"/>
              <w:bottom w:w="80" w:type="dxa"/>
              <w:right w:w="80" w:type="dxa"/>
            </w:tcMar>
            <w:vAlign w:val="center"/>
          </w:tcPr>
          <w:p w14:paraId="4722B4F5">
            <w:pPr>
              <w:pStyle w:val="25"/>
              <w:spacing w:before="0" w:after="0" w:line="240" w:lineRule="auto"/>
              <w:ind w:firstLine="0"/>
              <w:jc w:val="left"/>
              <w:rPr>
                <w:b w:val="0"/>
                <w:bCs w:val="0"/>
              </w:rPr>
            </w:pPr>
            <w:r>
              <w:rPr>
                <w:rFonts w:ascii="楷体" w:hAnsi="楷体" w:eastAsia="楷体" w:cs="楷体"/>
                <w:b/>
                <w:bCs/>
                <w:color w:val="000000"/>
                <w:sz w:val="18"/>
              </w:rPr>
              <w:t>1.454366</w:t>
            </w:r>
          </w:p>
        </w:tc>
        <w:tc>
          <w:tcPr>
            <w:tcMar>
              <w:top w:w="80" w:type="dxa"/>
              <w:left w:w="80" w:type="dxa"/>
              <w:bottom w:w="80" w:type="dxa"/>
              <w:right w:w="80" w:type="dxa"/>
            </w:tcMar>
            <w:vAlign w:val="center"/>
          </w:tcPr>
          <w:p w14:paraId="6F85367F">
            <w:pPr>
              <w:pStyle w:val="25"/>
              <w:spacing w:before="0" w:after="0" w:line="240" w:lineRule="auto"/>
              <w:ind w:firstLine="0"/>
              <w:jc w:val="left"/>
              <w:rPr>
                <w:b w:val="0"/>
                <w:bCs w:val="0"/>
              </w:rPr>
            </w:pPr>
            <w:r>
              <w:rPr>
                <w:rFonts w:ascii="楷体" w:hAnsi="楷体" w:eastAsia="楷体" w:cs="楷体"/>
                <w:b/>
                <w:bCs/>
                <w:color w:val="000000"/>
                <w:sz w:val="18"/>
              </w:rPr>
              <w:t>0.812218</w:t>
            </w:r>
          </w:p>
        </w:tc>
      </w:tr>
    </w:tbl>
    <w:p w14:paraId="033415C9">
      <w:pPr>
        <w:spacing w:before="0" w:after="0" w:line="360" w:lineRule="auto"/>
        <w:ind w:firstLine="420"/>
        <w:jc w:val="both"/>
        <w:rPr>
          <w:rFonts w:ascii="Times New Roman" w:hAnsi="Times New Roman" w:eastAsia="楷体" w:cs="Times New Roman"/>
          <w:color w:val="000000"/>
          <w:sz w:val="21"/>
        </w:rPr>
      </w:pPr>
    </w:p>
    <w:bookmarkEnd w:id="56"/>
    <w:bookmarkEnd w:id="58"/>
    <w:p w14:paraId="583F7F65">
      <w:pPr>
        <w:spacing w:before="0" w:after="0" w:line="360" w:lineRule="auto"/>
        <w:ind w:firstLine="420"/>
        <w:jc w:val="both"/>
        <w:rPr>
          <w:rFonts w:ascii="Times New Roman" w:hAnsi="Times New Roman" w:eastAsia="楷体" w:cs="Times New Roman"/>
          <w:color w:val="000000"/>
          <w:sz w:val="21"/>
        </w:rPr>
      </w:pPr>
      <w:bookmarkStart w:id="59" w:name="模型复杂度分析"/>
      <w:r>
        <w:rPr>
          <w:rFonts w:ascii="Times New Roman" w:hAnsi="Times New Roman" w:eastAsia="楷体" w:cs="Times New Roman"/>
          <w:color w:val="000000"/>
          <w:sz w:val="21"/>
        </w:rPr>
        <w:t>分场景结果表明，未进行自监督适应的 DFNG-SARNet 在真实 SAR 图像上表现出较强的平滑倾向，其 ENL 在三类场景中均显著高于 noisy 输入，但同时伴随较低的 EPI，说明模型虽然能够显著降低局部灰度波动，却可能引入过度平滑并削弱真实结构边缘。引入 AMS 后，ENL 在 homogeneous、structural 和 texture 场景中分别由 740.6812、429.6054 和 620.8473 降至 48.3567、34.2189 和 25.6948。虽然 ENL 相较于未适应模型明显降低，但仍分别高于 noisy 输入的 32.0025、24.3142 和 14.9264，表明 AMS 并未完全削弱 speckle 抑制能力，而是有效缓解了未适应模型在真实域中的过度平滑问题。</w:t>
      </w:r>
    </w:p>
    <w:p w14:paraId="708AACB6">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在 homogeneous 场景中，DFNG-SARNet+AMS 的 ENL 为 48.3567，较 noisy 输入提升约 51.10%，同时 M 指标由 4.386215 降至 3.742691，EPI 由 0.312438 提升至 0.818562。该结果表明，AMS 在均匀区域中仍保持了一定的斑点噪声抑制能力，并显著改善了边缘梯度一致性。对于 structural 场景，AMS 将 M 指标由 0.682143 降至 0.521876，降幅约 23.49%；EPI 由 0.343582 提升至 0.742615，提升约 116.14%，说明自监督适应能够有效减轻结构区域中的比值图残留，并增强建筑边界、道路和岸线等强结构信息的保持能力。对于 texture 场景，AMS 将 M 指标由 0.152604 降至 0.098531，降幅约 35.43%；EPI 由 0.461294 提升至 0.835476，提升约 81.12%，表明其在复杂纹理区域中能够减少噪声残留，同时避免将真实纹理过度平滑。</w:t>
      </w:r>
    </w:p>
    <w:p w14:paraId="1AE2CF53">
      <w:pPr>
        <w:spacing w:before="0" w:after="0" w:line="360" w:lineRule="auto"/>
        <w:ind w:firstLine="420"/>
        <w:jc w:val="both"/>
        <w:rPr>
          <w:rFonts w:ascii="Times New Roman" w:hAnsi="Times New Roman" w:eastAsia="黑体" w:cs="Times New Roman"/>
          <w:b/>
          <w:color w:val="000000"/>
          <w:sz w:val="24"/>
        </w:rPr>
      </w:pPr>
      <w:r>
        <w:rPr>
          <w:rFonts w:ascii="Times New Roman" w:hAnsi="Times New Roman" w:eastAsia="楷体" w:cs="Times New Roman"/>
          <w:color w:val="000000"/>
          <w:sz w:val="21"/>
        </w:rPr>
        <w:t>从 60 幅代表性样本的平均结果看，DFNG-SARNet+AMS 的 ENL 由 597.0446 调整至 36.0901，较 noisy 输入的 23.7477 仍提升约 51.97%；M 指标由 1.740321 降至 1.454366，下降约 16.43%；EPI 由 0.372438 提升至 0.812218，提升约 118.08%。因此，AMS 的主要作用并不是进一步追求更高的 ENL，而是在保持必要 speckle 抑制能力的基础上，显著增强结构保持能力并降低比值图中的残余结构信息。三类场景的一致变化说明，自监督适应能够缓解合成监督模型迁移到真实 SAR 域时产生的过度平滑倾向，使模型在均匀区域抑噪、结构区域边缘保持和复杂纹理区域细节保留之间取得更合理的平衡。</w:t>
      </w:r>
    </w:p>
    <w:p w14:paraId="4201EE00">
      <w:pPr>
        <w:pStyle w:val="4"/>
        <w:spacing w:before="120" w:after="60" w:line="360" w:lineRule="auto"/>
        <w:ind w:firstLine="0"/>
        <w:jc w:val="left"/>
      </w:pPr>
      <w:r>
        <w:rPr>
          <w:rFonts w:ascii="Times New Roman" w:hAnsi="Times New Roman" w:eastAsia="黑体" w:cs="Times New Roman"/>
          <w:b/>
          <w:color w:val="000000"/>
          <w:sz w:val="24"/>
        </w:rPr>
        <w:t>4.5 模型复杂度分析</w:t>
      </w:r>
    </w:p>
    <w:p w14:paraId="4391424E">
      <w:pPr>
        <w:spacing w:before="0" w:after="0" w:line="360" w:lineRule="auto"/>
        <w:ind w:firstLine="420"/>
        <w:jc w:val="both"/>
      </w:pPr>
      <w:r>
        <w:rPr>
          <w:rFonts w:ascii="Times New Roman" w:hAnsi="Times New Roman" w:eastAsia="楷体" w:cs="Times New Roman"/>
          <w:color w:val="000000"/>
          <w:sz w:val="21"/>
        </w:rPr>
        <w:t>完整 DFNG-SARNet 的参数量为 39.3528 M，FLOPs 为 15.1513 G，单幅图像平均推理时间为 26.4494 ms。相较于各消融版本，完整模型具有最高计算复杂度，但其 PSNR 和 SSIM 同时达到最优，说明新增结构带来的计算开销能够转化为可观的重建性能收益。以 w/o Freq 为例，完整模型在参数量增加 2.4070 M、FLOPs 增加 2.5040 G、推理时间增加 2.5842 ms 的情况下，取得 0.8298 dB 的 PSNR 增益和 0.0332 的 SSIM 增益，表明频域增强模块具有较高的性能贡献。相较于 w/o NG，完整模型仅增加 1.1361 M 参数量和 0.9145 G FLOPs，即获得 0.6691 dB 的 PSNR 提升和 0.0252 的 SSIM 提升，说明噪声先验门控模块在性能—复杂度权衡上具有较高保留价值。</w:t>
      </w:r>
    </w:p>
    <w:p w14:paraId="7CD653BA">
      <w:pPr>
        <w:spacing w:before="0" w:after="0" w:line="360" w:lineRule="auto"/>
        <w:ind w:firstLine="420"/>
        <w:jc w:val="both"/>
      </w:pPr>
      <w:r>
        <w:rPr>
          <w:rFonts w:ascii="Times New Roman" w:hAnsi="Times New Roman" w:eastAsia="楷体" w:cs="Times New Roman"/>
          <w:color w:val="000000"/>
          <w:sz w:val="21"/>
        </w:rPr>
        <w:t>从推理效率看，完整模型单幅图像推理时间约为 26.45 ms，仍处于可接受范围。考虑到 SAR 图像去噪通常作为离线预处理或下游解译前的图像增强环节，该复杂度水平能够支持中等规模测试集的批量推理。与性能收益相结合，完整模型的结构组合具有合理性：多尺度融合提供稳定空间重建基础，频域增强贡献最大的有参考恢复增益，噪声先验门控提高非均匀 speckle 适应能力，瓶颈增强改善深层上下文表达，双域恢复显著提升 SAR 乘性噪声建模能力。</w:t>
      </w:r>
    </w:p>
    <w:bookmarkEnd w:id="52"/>
    <w:bookmarkEnd w:id="59"/>
    <w:p w14:paraId="424535AC">
      <w:pPr>
        <w:pStyle w:val="2"/>
        <w:spacing w:before="120" w:after="60" w:line="360" w:lineRule="auto"/>
        <w:ind w:firstLine="0"/>
        <w:jc w:val="left"/>
      </w:pPr>
      <w:bookmarkStart w:id="60" w:name="当前工作进展与后续工作计划"/>
      <w:r>
        <w:rPr>
          <w:rFonts w:ascii="Times New Roman" w:hAnsi="Times New Roman" w:eastAsia="黑体" w:cs="Times New Roman"/>
          <w:b/>
          <w:color w:val="000000"/>
          <w:sz w:val="28"/>
        </w:rPr>
        <w:t>5. 当前工作进展与后续工作计划</w:t>
      </w:r>
    </w:p>
    <w:p w14:paraId="3D484281">
      <w:pPr>
        <w:pStyle w:val="4"/>
        <w:spacing w:before="120" w:after="60" w:line="360" w:lineRule="auto"/>
        <w:ind w:firstLine="0"/>
        <w:jc w:val="left"/>
      </w:pPr>
      <w:bookmarkStart w:id="61" w:name="已完成工作"/>
      <w:r>
        <w:rPr>
          <w:rFonts w:ascii="Times New Roman" w:hAnsi="Times New Roman" w:eastAsia="黑体" w:cs="Times New Roman"/>
          <w:b/>
          <w:color w:val="000000"/>
          <w:sz w:val="24"/>
        </w:rPr>
        <w:t>5.1 已完成工作</w:t>
      </w:r>
    </w:p>
    <w:p w14:paraId="5E4ABBE2">
      <w:pPr>
        <w:spacing w:before="0" w:after="0" w:line="360" w:lineRule="auto"/>
        <w:ind w:firstLine="420"/>
        <w:jc w:val="both"/>
      </w:pPr>
      <w:r>
        <w:rPr>
          <w:rFonts w:ascii="Times New Roman" w:hAnsi="Times New Roman" w:eastAsia="楷体" w:cs="Times New Roman"/>
          <w:color w:val="000000"/>
          <w:sz w:val="21"/>
        </w:rPr>
        <w:t>本阶段已完成 SAR 图像去噪方法的主体网络设计、数据集构建、训练测试流程、结构消融实验、UCMerced 场景泛化测试和真实 SAR 无参考评价。当前工作以 DFNG-SARNet 为核心模型，已形成从合成监督训练到真实 SAR 自监督适应的完整实验闭环。整体技术路线已经由早期的通用噪声引导表述进一步收敛为频域增强、双域恢复和真实域适应相结合的 SAR speckle 去噪框架。</w:t>
      </w:r>
    </w:p>
    <w:p w14:paraId="105526A3">
      <w:pPr>
        <w:spacing w:before="0" w:after="0" w:line="360" w:lineRule="auto"/>
        <w:ind w:firstLine="420"/>
        <w:jc w:val="both"/>
      </w:pPr>
      <w:r>
        <w:rPr>
          <w:rFonts w:ascii="Times New Roman" w:hAnsi="Times New Roman" w:eastAsia="楷体" w:cs="Times New Roman"/>
          <w:color w:val="000000"/>
          <w:sz w:val="21"/>
        </w:rPr>
        <w:t>已实现 DFNG-SARNet 主体模型。该模型采用五阶段 Transformer 编码器提取多尺度特征，编码器输出依次覆盖 [1, 32, 128, 128]、[1, 64, 64, 64]、[1, 128, 32, 32]、[1, 320, 16, 16] 和 [1, 512, 8, 8] 五个尺度。解码端采用频域增强与噪声门控相结合的重建路径逐级恢复空间分辨率，并通过多尺度跳跃连接、FFT-based 频域增强、轻量噪声门控、瓶颈特征增强和双域残差补偿共同完成 SAR 图像重建。该结构能够同时利用 Transformer 的长距离上下文建模能力、CNN 的局部归纳偏置、频域模块的高频结构表征能力以及 log-intensity 域对乘性噪声的适配能力。</w:t>
      </w:r>
    </w:p>
    <w:p w14:paraId="0F367D7E">
      <w:pPr>
        <w:spacing w:before="0" w:after="0" w:line="360" w:lineRule="auto"/>
        <w:ind w:firstLine="420"/>
        <w:jc w:val="both"/>
      </w:pPr>
      <w:r>
        <w:rPr>
          <w:rFonts w:ascii="Times New Roman" w:hAnsi="Times New Roman" w:eastAsia="楷体" w:cs="Times New Roman"/>
          <w:color w:val="000000"/>
          <w:sz w:val="21"/>
        </w:rPr>
        <w:t>已完成完整模型及其去模块消融实验。完整 DFNG-SARNet 在合成 SAR 有参考实验中取得最高 PSNR 和 SSIM，达到 24.0909 dB 和 0.7157；五个去模块版本均出现不同程度下降，验证了多尺度特征融合、频域增强、噪声门控、瓶颈特征增强和双域恢复机制的有效性。</w:t>
      </w:r>
    </w:p>
    <w:p w14:paraId="319C23CD">
      <w:pPr>
        <w:pStyle w:val="12"/>
        <w:spacing w:before="60" w:after="60" w:line="240" w:lineRule="auto"/>
        <w:jc w:val="center"/>
      </w:pPr>
      <w:r>
        <w:rPr>
          <w:rFonts w:ascii="楷体" w:hAnsi="楷体" w:eastAsia="楷体" w:cs="楷体"/>
          <w:b w:val="0"/>
          <w:i w:val="0"/>
          <w:color w:val="000000"/>
          <w:sz w:val="18"/>
        </w:rPr>
        <w:t>表 12 消融实验结构设置与实验目的</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1339"/>
        <w:gridCol w:w="4164"/>
        <w:gridCol w:w="2969"/>
      </w:tblGrid>
      <w:tr w14:paraId="6C5C3A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3FA2750A">
            <w:pPr>
              <w:pStyle w:val="25"/>
              <w:spacing w:before="0" w:after="0" w:line="240" w:lineRule="auto"/>
              <w:ind w:firstLine="0"/>
              <w:jc w:val="left"/>
            </w:pPr>
            <w:r>
              <w:rPr>
                <w:rFonts w:ascii="楷体" w:hAnsi="楷体" w:eastAsia="楷体" w:cs="楷体"/>
                <w:b/>
                <w:color w:val="000000"/>
                <w:sz w:val="18"/>
              </w:rPr>
              <w:t>模型版本</w:t>
            </w:r>
          </w:p>
        </w:tc>
        <w:tc>
          <w:tcPr>
            <w:tcMar>
              <w:top w:w="80" w:type="dxa"/>
              <w:left w:w="80" w:type="dxa"/>
              <w:bottom w:w="80" w:type="dxa"/>
              <w:right w:w="80" w:type="dxa"/>
            </w:tcMar>
            <w:vAlign w:val="center"/>
          </w:tcPr>
          <w:p w14:paraId="5F4AAC71">
            <w:pPr>
              <w:pStyle w:val="25"/>
              <w:spacing w:before="0" w:after="0" w:line="240" w:lineRule="auto"/>
              <w:ind w:firstLine="0"/>
              <w:jc w:val="left"/>
            </w:pPr>
            <w:r>
              <w:rPr>
                <w:rFonts w:ascii="楷体" w:hAnsi="楷体" w:eastAsia="楷体" w:cs="楷体"/>
                <w:b/>
                <w:color w:val="000000"/>
                <w:sz w:val="18"/>
              </w:rPr>
              <w:t>结构设置</w:t>
            </w:r>
          </w:p>
        </w:tc>
        <w:tc>
          <w:tcPr>
            <w:tcMar>
              <w:top w:w="80" w:type="dxa"/>
              <w:left w:w="80" w:type="dxa"/>
              <w:bottom w:w="80" w:type="dxa"/>
              <w:right w:w="80" w:type="dxa"/>
            </w:tcMar>
            <w:vAlign w:val="center"/>
          </w:tcPr>
          <w:p w14:paraId="56F6E6F7">
            <w:pPr>
              <w:pStyle w:val="25"/>
              <w:spacing w:before="0" w:after="0" w:line="240" w:lineRule="auto"/>
              <w:ind w:firstLine="0"/>
              <w:jc w:val="left"/>
            </w:pPr>
            <w:r>
              <w:rPr>
                <w:rFonts w:ascii="楷体" w:hAnsi="楷体" w:eastAsia="楷体" w:cs="楷体"/>
                <w:b/>
                <w:color w:val="000000"/>
                <w:sz w:val="18"/>
              </w:rPr>
              <w:t>实验目的</w:t>
            </w:r>
          </w:p>
        </w:tc>
      </w:tr>
      <w:tr w14:paraId="6D38A2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25AEE401">
            <w:pPr>
              <w:pStyle w:val="25"/>
              <w:spacing w:before="0" w:after="0" w:line="240" w:lineRule="auto"/>
              <w:ind w:firstLine="0"/>
              <w:jc w:val="left"/>
            </w:pPr>
            <w:r>
              <w:rPr>
                <w:rFonts w:ascii="楷体" w:hAnsi="楷体" w:eastAsia="楷体" w:cs="楷体"/>
                <w:color w:val="000000"/>
                <w:sz w:val="18"/>
              </w:rPr>
              <w:t>DFNG-SARNet</w:t>
            </w:r>
          </w:p>
        </w:tc>
        <w:tc>
          <w:tcPr>
            <w:tcMar>
              <w:top w:w="80" w:type="dxa"/>
              <w:left w:w="80" w:type="dxa"/>
              <w:bottom w:w="80" w:type="dxa"/>
              <w:right w:w="80" w:type="dxa"/>
            </w:tcMar>
            <w:vAlign w:val="center"/>
          </w:tcPr>
          <w:p w14:paraId="7666CEE2">
            <w:pPr>
              <w:pStyle w:val="25"/>
              <w:spacing w:before="0" w:after="0" w:line="240" w:lineRule="auto"/>
              <w:ind w:firstLine="0"/>
              <w:jc w:val="left"/>
            </w:pPr>
            <w:r>
              <w:rPr>
                <w:rFonts w:ascii="楷体" w:hAnsi="楷体" w:eastAsia="楷体" w:cs="楷体"/>
                <w:color w:val="000000"/>
                <w:sz w:val="18"/>
              </w:rPr>
              <w:t>完整模型：多尺度融合 + 频域增强 + 轻量噪声门控 + 瓶颈增强 + 双域恢复</w:t>
            </w:r>
          </w:p>
        </w:tc>
        <w:tc>
          <w:tcPr>
            <w:tcMar>
              <w:top w:w="80" w:type="dxa"/>
              <w:left w:w="80" w:type="dxa"/>
              <w:bottom w:w="80" w:type="dxa"/>
              <w:right w:w="80" w:type="dxa"/>
            </w:tcMar>
            <w:vAlign w:val="center"/>
          </w:tcPr>
          <w:p w14:paraId="318F4A35">
            <w:pPr>
              <w:pStyle w:val="25"/>
              <w:spacing w:before="0" w:after="0" w:line="240" w:lineRule="auto"/>
              <w:ind w:firstLine="0"/>
              <w:jc w:val="left"/>
            </w:pPr>
            <w:r>
              <w:rPr>
                <w:rFonts w:ascii="楷体" w:hAnsi="楷体" w:eastAsia="楷体" w:cs="楷体"/>
                <w:color w:val="000000"/>
                <w:sz w:val="18"/>
              </w:rPr>
              <w:t>作为去模块消融实验的统一基准</w:t>
            </w:r>
          </w:p>
        </w:tc>
      </w:tr>
      <w:tr w14:paraId="318E73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0DED6B5D">
            <w:pPr>
              <w:pStyle w:val="25"/>
              <w:spacing w:before="0" w:after="0" w:line="240" w:lineRule="auto"/>
              <w:ind w:firstLine="0"/>
              <w:jc w:val="left"/>
            </w:pPr>
            <w:r>
              <w:rPr>
                <w:rFonts w:ascii="楷体" w:hAnsi="楷体" w:eastAsia="楷体" w:cs="楷体"/>
                <w:color w:val="000000"/>
                <w:sz w:val="18"/>
              </w:rPr>
              <w:t>w/o MSF</w:t>
            </w:r>
          </w:p>
        </w:tc>
        <w:tc>
          <w:tcPr>
            <w:tcMar>
              <w:top w:w="80" w:type="dxa"/>
              <w:left w:w="80" w:type="dxa"/>
              <w:bottom w:w="80" w:type="dxa"/>
              <w:right w:w="80" w:type="dxa"/>
            </w:tcMar>
            <w:vAlign w:val="center"/>
          </w:tcPr>
          <w:p w14:paraId="6E499471">
            <w:pPr>
              <w:pStyle w:val="25"/>
              <w:spacing w:before="0" w:after="0" w:line="240" w:lineRule="auto"/>
              <w:ind w:firstLine="0"/>
              <w:jc w:val="left"/>
            </w:pPr>
            <w:r>
              <w:rPr>
                <w:rFonts w:ascii="楷体" w:hAnsi="楷体" w:eastAsia="楷体" w:cs="楷体"/>
                <w:color w:val="000000"/>
                <w:sz w:val="18"/>
              </w:rPr>
              <w:t>移除多尺度特征融合与残差重建</w:t>
            </w:r>
          </w:p>
        </w:tc>
        <w:tc>
          <w:tcPr>
            <w:tcMar>
              <w:top w:w="80" w:type="dxa"/>
              <w:left w:w="80" w:type="dxa"/>
              <w:bottom w:w="80" w:type="dxa"/>
              <w:right w:w="80" w:type="dxa"/>
            </w:tcMar>
            <w:vAlign w:val="center"/>
          </w:tcPr>
          <w:p w14:paraId="0F3152F6">
            <w:pPr>
              <w:pStyle w:val="25"/>
              <w:spacing w:before="0" w:after="0" w:line="240" w:lineRule="auto"/>
              <w:ind w:firstLine="0"/>
              <w:jc w:val="left"/>
            </w:pPr>
            <w:r>
              <w:rPr>
                <w:rFonts w:ascii="楷体" w:hAnsi="楷体" w:eastAsia="楷体" w:cs="楷体"/>
                <w:color w:val="000000"/>
                <w:sz w:val="18"/>
              </w:rPr>
              <w:t>验证多尺度特征融合对结构保持和空间重建的贡献</w:t>
            </w:r>
          </w:p>
        </w:tc>
      </w:tr>
      <w:tr w14:paraId="291BBA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559B95AD">
            <w:pPr>
              <w:pStyle w:val="25"/>
              <w:spacing w:before="0" w:after="0" w:line="240" w:lineRule="auto"/>
              <w:ind w:firstLine="0"/>
              <w:jc w:val="left"/>
            </w:pPr>
            <w:r>
              <w:rPr>
                <w:rFonts w:ascii="楷体" w:hAnsi="楷体" w:eastAsia="楷体" w:cs="楷体"/>
                <w:color w:val="000000"/>
                <w:sz w:val="18"/>
              </w:rPr>
              <w:t>w/o Freq</w:t>
            </w:r>
          </w:p>
        </w:tc>
        <w:tc>
          <w:tcPr>
            <w:tcMar>
              <w:top w:w="80" w:type="dxa"/>
              <w:left w:w="80" w:type="dxa"/>
              <w:bottom w:w="80" w:type="dxa"/>
              <w:right w:w="80" w:type="dxa"/>
            </w:tcMar>
            <w:vAlign w:val="center"/>
          </w:tcPr>
          <w:p w14:paraId="293CAFA0">
            <w:pPr>
              <w:pStyle w:val="25"/>
              <w:spacing w:before="0" w:after="0" w:line="240" w:lineRule="auto"/>
              <w:ind w:firstLine="0"/>
              <w:jc w:val="left"/>
            </w:pPr>
            <w:r>
              <w:rPr>
                <w:rFonts w:ascii="楷体" w:hAnsi="楷体" w:eastAsia="楷体" w:cs="楷体"/>
                <w:color w:val="000000"/>
                <w:sz w:val="18"/>
              </w:rPr>
              <w:t>移除频域增强模块</w:t>
            </w:r>
          </w:p>
        </w:tc>
        <w:tc>
          <w:tcPr>
            <w:tcMar>
              <w:top w:w="80" w:type="dxa"/>
              <w:left w:w="80" w:type="dxa"/>
              <w:bottom w:w="80" w:type="dxa"/>
              <w:right w:w="80" w:type="dxa"/>
            </w:tcMar>
            <w:vAlign w:val="center"/>
          </w:tcPr>
          <w:p w14:paraId="3E4EBD2A">
            <w:pPr>
              <w:pStyle w:val="25"/>
              <w:spacing w:before="0" w:after="0" w:line="240" w:lineRule="auto"/>
              <w:ind w:firstLine="0"/>
              <w:jc w:val="left"/>
            </w:pPr>
            <w:r>
              <w:rPr>
                <w:rFonts w:ascii="楷体" w:hAnsi="楷体" w:eastAsia="楷体" w:cs="楷体"/>
                <w:color w:val="000000"/>
                <w:sz w:val="18"/>
              </w:rPr>
              <w:t>验证频域建模对边缘、纹理和强散射结构恢复的贡献</w:t>
            </w:r>
          </w:p>
        </w:tc>
      </w:tr>
      <w:tr w14:paraId="4C0EA4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3CB05AF1">
            <w:pPr>
              <w:pStyle w:val="25"/>
              <w:spacing w:before="0" w:after="0" w:line="240" w:lineRule="auto"/>
              <w:ind w:firstLine="0"/>
              <w:jc w:val="left"/>
            </w:pPr>
            <w:r>
              <w:rPr>
                <w:rFonts w:ascii="楷体" w:hAnsi="楷体" w:eastAsia="楷体" w:cs="楷体"/>
                <w:color w:val="000000"/>
                <w:sz w:val="18"/>
              </w:rPr>
              <w:t>w/o NG</w:t>
            </w:r>
          </w:p>
        </w:tc>
        <w:tc>
          <w:tcPr>
            <w:tcMar>
              <w:top w:w="80" w:type="dxa"/>
              <w:left w:w="80" w:type="dxa"/>
              <w:bottom w:w="80" w:type="dxa"/>
              <w:right w:w="80" w:type="dxa"/>
            </w:tcMar>
            <w:vAlign w:val="center"/>
          </w:tcPr>
          <w:p w14:paraId="02A836F7">
            <w:pPr>
              <w:pStyle w:val="25"/>
              <w:spacing w:before="0" w:after="0" w:line="240" w:lineRule="auto"/>
              <w:ind w:firstLine="0"/>
              <w:jc w:val="left"/>
            </w:pPr>
            <w:r>
              <w:rPr>
                <w:rFonts w:ascii="楷体" w:hAnsi="楷体" w:eastAsia="楷体" w:cs="楷体"/>
                <w:color w:val="000000"/>
                <w:sz w:val="18"/>
              </w:rPr>
              <w:t>移除噪声估计与噪声门控</w:t>
            </w:r>
          </w:p>
        </w:tc>
        <w:tc>
          <w:tcPr>
            <w:tcMar>
              <w:top w:w="80" w:type="dxa"/>
              <w:left w:w="80" w:type="dxa"/>
              <w:bottom w:w="80" w:type="dxa"/>
              <w:right w:w="80" w:type="dxa"/>
            </w:tcMar>
            <w:vAlign w:val="center"/>
          </w:tcPr>
          <w:p w14:paraId="382D7625">
            <w:pPr>
              <w:pStyle w:val="25"/>
              <w:spacing w:before="0" w:after="0" w:line="240" w:lineRule="auto"/>
              <w:ind w:firstLine="0"/>
              <w:jc w:val="left"/>
            </w:pPr>
            <w:r>
              <w:rPr>
                <w:rFonts w:ascii="楷体" w:hAnsi="楷体" w:eastAsia="楷体" w:cs="楷体"/>
                <w:color w:val="000000"/>
                <w:sz w:val="18"/>
              </w:rPr>
              <w:t>验证噪声门控对非均匀 speckle 局部调制的贡献</w:t>
            </w:r>
          </w:p>
        </w:tc>
      </w:tr>
      <w:tr w14:paraId="4EA2F8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3F483F0F">
            <w:pPr>
              <w:pStyle w:val="25"/>
              <w:spacing w:before="0" w:after="0" w:line="240" w:lineRule="auto"/>
              <w:ind w:firstLine="0"/>
              <w:jc w:val="left"/>
            </w:pPr>
            <w:r>
              <w:rPr>
                <w:rFonts w:ascii="楷体" w:hAnsi="楷体" w:eastAsia="楷体" w:cs="楷体"/>
                <w:color w:val="000000"/>
                <w:sz w:val="18"/>
              </w:rPr>
              <w:t>w/o Bottle</w:t>
            </w:r>
          </w:p>
        </w:tc>
        <w:tc>
          <w:tcPr>
            <w:tcMar>
              <w:top w:w="80" w:type="dxa"/>
              <w:left w:w="80" w:type="dxa"/>
              <w:bottom w:w="80" w:type="dxa"/>
              <w:right w:w="80" w:type="dxa"/>
            </w:tcMar>
            <w:vAlign w:val="center"/>
          </w:tcPr>
          <w:p w14:paraId="16F995F6">
            <w:pPr>
              <w:pStyle w:val="25"/>
              <w:spacing w:before="0" w:after="0" w:line="240" w:lineRule="auto"/>
              <w:ind w:firstLine="0"/>
              <w:jc w:val="left"/>
            </w:pPr>
            <w:r>
              <w:rPr>
                <w:rFonts w:ascii="楷体" w:hAnsi="楷体" w:eastAsia="楷体" w:cs="楷体"/>
                <w:color w:val="000000"/>
                <w:sz w:val="18"/>
              </w:rPr>
              <w:t>移除瓶颈特征增强模块</w:t>
            </w:r>
          </w:p>
        </w:tc>
        <w:tc>
          <w:tcPr>
            <w:tcMar>
              <w:top w:w="80" w:type="dxa"/>
              <w:left w:w="80" w:type="dxa"/>
              <w:bottom w:w="80" w:type="dxa"/>
              <w:right w:w="80" w:type="dxa"/>
            </w:tcMar>
            <w:vAlign w:val="center"/>
          </w:tcPr>
          <w:p w14:paraId="5D6CD435">
            <w:pPr>
              <w:pStyle w:val="25"/>
              <w:spacing w:before="0" w:after="0" w:line="240" w:lineRule="auto"/>
              <w:ind w:firstLine="0"/>
              <w:jc w:val="left"/>
            </w:pPr>
            <w:r>
              <w:rPr>
                <w:rFonts w:ascii="楷体" w:hAnsi="楷体" w:eastAsia="楷体" w:cs="楷体"/>
                <w:color w:val="000000"/>
                <w:sz w:val="18"/>
              </w:rPr>
              <w:t>验证深层上下文校正对恢复稳定性的影响</w:t>
            </w:r>
          </w:p>
        </w:tc>
      </w:tr>
      <w:tr w14:paraId="72A950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599716FE">
            <w:pPr>
              <w:pStyle w:val="25"/>
              <w:spacing w:before="0" w:after="0" w:line="240" w:lineRule="auto"/>
              <w:ind w:firstLine="0"/>
              <w:jc w:val="left"/>
            </w:pPr>
            <w:r>
              <w:rPr>
                <w:rFonts w:ascii="楷体" w:hAnsi="楷体" w:eastAsia="楷体" w:cs="楷体"/>
                <w:color w:val="000000"/>
                <w:sz w:val="18"/>
              </w:rPr>
              <w:t>w/o Dual</w:t>
            </w:r>
          </w:p>
        </w:tc>
        <w:tc>
          <w:tcPr>
            <w:tcMar>
              <w:top w:w="80" w:type="dxa"/>
              <w:left w:w="80" w:type="dxa"/>
              <w:bottom w:w="80" w:type="dxa"/>
              <w:right w:w="80" w:type="dxa"/>
            </w:tcMar>
            <w:vAlign w:val="center"/>
          </w:tcPr>
          <w:p w14:paraId="5D4A4F75">
            <w:pPr>
              <w:pStyle w:val="25"/>
              <w:spacing w:before="0" w:after="0" w:line="240" w:lineRule="auto"/>
              <w:ind w:firstLine="0"/>
              <w:jc w:val="left"/>
            </w:pPr>
            <w:r>
              <w:rPr>
                <w:rFonts w:ascii="楷体" w:hAnsi="楷体" w:eastAsia="楷体" w:cs="楷体"/>
                <w:color w:val="000000"/>
                <w:sz w:val="18"/>
              </w:rPr>
              <w:t>移除双域恢复与原始强度域残差补偿</w:t>
            </w:r>
          </w:p>
        </w:tc>
        <w:tc>
          <w:tcPr>
            <w:tcMar>
              <w:top w:w="80" w:type="dxa"/>
              <w:left w:w="80" w:type="dxa"/>
              <w:bottom w:w="80" w:type="dxa"/>
              <w:right w:w="80" w:type="dxa"/>
            </w:tcMar>
            <w:vAlign w:val="center"/>
          </w:tcPr>
          <w:p w14:paraId="4C20B3A0">
            <w:pPr>
              <w:pStyle w:val="25"/>
              <w:spacing w:before="0" w:after="0" w:line="240" w:lineRule="auto"/>
              <w:ind w:firstLine="0"/>
              <w:jc w:val="left"/>
            </w:pPr>
            <w:r>
              <w:rPr>
                <w:rFonts w:ascii="楷体" w:hAnsi="楷体" w:eastAsia="楷体" w:cs="楷体"/>
                <w:color w:val="000000"/>
                <w:sz w:val="18"/>
              </w:rPr>
              <w:t>验证 log 域建模与原始强度域补偿的互补作用</w:t>
            </w:r>
          </w:p>
        </w:tc>
      </w:tr>
      <w:tr w14:paraId="24A1AC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6B55B3C5">
            <w:pPr>
              <w:pStyle w:val="25"/>
              <w:spacing w:before="0" w:after="0" w:line="240" w:lineRule="auto"/>
              <w:ind w:firstLine="0"/>
              <w:jc w:val="left"/>
            </w:pPr>
            <w:r>
              <w:rPr>
                <w:rFonts w:ascii="楷体" w:hAnsi="楷体" w:eastAsia="楷体" w:cs="楷体"/>
                <w:color w:val="000000"/>
                <w:sz w:val="18"/>
              </w:rPr>
              <w:t>DFNG-SARNet+AMS</w:t>
            </w:r>
          </w:p>
        </w:tc>
        <w:tc>
          <w:tcPr>
            <w:tcMar>
              <w:top w:w="80" w:type="dxa"/>
              <w:left w:w="80" w:type="dxa"/>
              <w:bottom w:w="80" w:type="dxa"/>
              <w:right w:w="80" w:type="dxa"/>
            </w:tcMar>
            <w:vAlign w:val="center"/>
          </w:tcPr>
          <w:p w14:paraId="4DAE2897">
            <w:pPr>
              <w:pStyle w:val="25"/>
              <w:spacing w:before="0" w:after="0" w:line="240" w:lineRule="auto"/>
              <w:ind w:firstLine="0"/>
              <w:jc w:val="left"/>
            </w:pPr>
            <w:r>
              <w:rPr>
                <w:rFonts w:ascii="楷体" w:hAnsi="楷体" w:eastAsia="楷体" w:cs="楷体"/>
                <w:color w:val="000000"/>
                <w:sz w:val="18"/>
              </w:rPr>
              <w:t>DFNG-SARNet + 真实 SAR 自监督适应</w:t>
            </w:r>
          </w:p>
        </w:tc>
        <w:tc>
          <w:tcPr>
            <w:tcMar>
              <w:top w:w="80" w:type="dxa"/>
              <w:left w:w="80" w:type="dxa"/>
              <w:bottom w:w="80" w:type="dxa"/>
              <w:right w:w="80" w:type="dxa"/>
            </w:tcMar>
            <w:vAlign w:val="center"/>
          </w:tcPr>
          <w:p w14:paraId="65F42921">
            <w:pPr>
              <w:pStyle w:val="25"/>
              <w:spacing w:before="0" w:after="0" w:line="240" w:lineRule="auto"/>
              <w:ind w:firstLine="0"/>
              <w:jc w:val="left"/>
            </w:pPr>
            <w:r>
              <w:rPr>
                <w:rFonts w:ascii="楷体" w:hAnsi="楷体" w:eastAsia="楷体" w:cs="楷体"/>
                <w:color w:val="000000"/>
                <w:sz w:val="18"/>
              </w:rPr>
              <w:t>验证真实 SAR 域适应能力</w:t>
            </w:r>
          </w:p>
        </w:tc>
      </w:tr>
    </w:tbl>
    <w:p w14:paraId="1AD9CD4D">
      <w:pPr>
        <w:spacing w:before="0" w:after="0" w:line="360" w:lineRule="auto"/>
        <w:ind w:firstLine="420"/>
        <w:jc w:val="both"/>
        <w:rPr>
          <w:rFonts w:ascii="Times New Roman" w:hAnsi="Times New Roman" w:eastAsia="楷体" w:cs="Times New Roman"/>
          <w:color w:val="000000"/>
          <w:sz w:val="21"/>
        </w:rPr>
      </w:pPr>
    </w:p>
    <w:p w14:paraId="46CF1D31">
      <w:pPr>
        <w:spacing w:before="0" w:after="0" w:line="360" w:lineRule="auto"/>
        <w:ind w:firstLine="420"/>
        <w:jc w:val="both"/>
      </w:pPr>
      <w:r>
        <w:rPr>
          <w:rFonts w:ascii="Times New Roman" w:hAnsi="Times New Roman" w:eastAsia="楷体" w:cs="Times New Roman"/>
          <w:color w:val="000000"/>
          <w:sz w:val="21"/>
        </w:rPr>
        <w:t xml:space="preserve">已完成基于乘性 Gamma 噪声的合成 SAR 数据生成流程。输入光学遥感图像首先转换为单通道灰度图，并归一化至 </w:t>
      </w:r>
      <w:r>
        <w:rPr>
          <w:rStyle w:val="38"/>
          <w:rFonts w:ascii="Times New Roman" w:hAnsi="Times New Roman" w:eastAsia="楷体" w:cs="Times New Roman"/>
          <w:color w:val="000000"/>
          <w:sz w:val="21"/>
        </w:rPr>
        <w:t>[0,1]</w:t>
      </w:r>
      <w:r>
        <w:rPr>
          <w:rFonts w:ascii="Times New Roman" w:hAnsi="Times New Roman" w:eastAsia="楷体" w:cs="Times New Roman"/>
          <w:color w:val="000000"/>
          <w:sz w:val="21"/>
        </w:rPr>
        <w:t xml:space="preserve">。随后将灰度图转换为强度域 clean 图像，并加入 speckle 噪声、非均匀噪声、结构扰动和系统扰动等模拟项，生成 </w:t>
      </w:r>
      <w:r>
        <w:rPr>
          <w:rStyle w:val="38"/>
          <w:rFonts w:ascii="Times New Roman" w:hAnsi="Times New Roman" w:eastAsia="楷体" w:cs="Times New Roman"/>
          <w:color w:val="000000"/>
          <w:sz w:val="21"/>
        </w:rPr>
        <w:t>.mat</w:t>
      </w:r>
      <w:r>
        <w:rPr>
          <w:rFonts w:ascii="Times New Roman" w:hAnsi="Times New Roman" w:eastAsia="楷体" w:cs="Times New Roman"/>
          <w:color w:val="000000"/>
          <w:sz w:val="21"/>
        </w:rPr>
        <w:t xml:space="preserve"> 格式的 </w:t>
      </w:r>
      <w:r>
        <w:rPr>
          <w:rStyle w:val="38"/>
          <w:rFonts w:ascii="Times New Roman" w:hAnsi="Times New Roman" w:eastAsia="楷体" w:cs="Times New Roman"/>
          <w:color w:val="000000"/>
          <w:sz w:val="21"/>
        </w:rPr>
        <w:t>clean/noisy</w:t>
      </w:r>
      <w:r>
        <w:rPr>
          <w:rFonts w:ascii="Times New Roman" w:hAnsi="Times New Roman" w:eastAsia="楷体" w:cs="Times New Roman"/>
          <w:color w:val="000000"/>
          <w:sz w:val="21"/>
        </w:rPr>
        <w:t xml:space="preserve"> 成对样本。该流程为监督训练和有参考评价提供了稳定数据基础。</w:t>
      </w:r>
    </w:p>
    <w:p w14:paraId="6CECD432">
      <w:pPr>
        <w:spacing w:before="0" w:after="0" w:line="360" w:lineRule="auto"/>
        <w:ind w:firstLine="420"/>
        <w:jc w:val="both"/>
      </w:pPr>
      <w:r>
        <w:rPr>
          <w:rFonts w:ascii="Times New Roman" w:hAnsi="Times New Roman" w:eastAsia="楷体" w:cs="Times New Roman"/>
          <w:color w:val="000000"/>
          <w:sz w:val="21"/>
        </w:rPr>
        <w:t xml:space="preserve">已完成三类数据的实验划分与测试。NWPU-RESISC45 用于主模型训练和验证，划分比例为 </w:t>
      </w:r>
      <w:r>
        <w:rPr>
          <w:rStyle w:val="38"/>
          <w:rFonts w:ascii="Times New Roman" w:hAnsi="Times New Roman" w:eastAsia="楷体" w:cs="Times New Roman"/>
          <w:color w:val="000000"/>
          <w:sz w:val="21"/>
        </w:rPr>
        <w:t>train:val=8:2</w:t>
      </w:r>
      <w:r>
        <w:rPr>
          <w:rFonts w:ascii="Times New Roman" w:hAnsi="Times New Roman" w:eastAsia="楷体" w:cs="Times New Roman"/>
          <w:color w:val="000000"/>
          <w:sz w:val="21"/>
        </w:rPr>
        <w:t xml:space="preserve">。UCMerced_LandUse 中选取 agricultural、buildings 和 residential 三类场景作为外部测试集，完整模型在三类场景中均取得最高平均 PSNR 和 SSIM。真实 SAR 数据集 </w:t>
      </w:r>
      <w:r>
        <w:rPr>
          <w:rStyle w:val="38"/>
          <w:rFonts w:ascii="Times New Roman" w:hAnsi="Times New Roman" w:eastAsia="楷体" w:cs="Times New Roman"/>
          <w:color w:val="000000"/>
          <w:sz w:val="21"/>
        </w:rPr>
        <w:t>Labeled dataset for despeckling SAR imagery</w:t>
      </w:r>
      <w:r>
        <w:rPr>
          <w:rFonts w:ascii="Times New Roman" w:hAnsi="Times New Roman" w:eastAsia="楷体" w:cs="Times New Roman"/>
          <w:color w:val="000000"/>
          <w:sz w:val="21"/>
        </w:rPr>
        <w:t xml:space="preserve"> 按照 </w:t>
      </w:r>
      <w:r>
        <w:rPr>
          <w:rStyle w:val="38"/>
          <w:rFonts w:ascii="Times New Roman" w:hAnsi="Times New Roman" w:eastAsia="楷体" w:cs="Times New Roman"/>
          <w:color w:val="000000"/>
          <w:sz w:val="21"/>
        </w:rPr>
        <w:t>train:val:test=8:1:1</w:t>
      </w:r>
      <w:r>
        <w:rPr>
          <w:rFonts w:ascii="Times New Roman" w:hAnsi="Times New Roman" w:eastAsia="楷体" w:cs="Times New Roman"/>
          <w:color w:val="000000"/>
          <w:sz w:val="21"/>
        </w:rPr>
        <w:t xml:space="preserve"> 划分，用于真实 SAR 自监督适应和无参考测试。</w:t>
      </w:r>
    </w:p>
    <w:p w14:paraId="2A768AA4">
      <w:pPr>
        <w:spacing w:before="0" w:after="0" w:line="360" w:lineRule="auto"/>
        <w:ind w:firstLine="420"/>
        <w:jc w:val="both"/>
      </w:pPr>
      <w:r>
        <w:rPr>
          <w:rFonts w:ascii="Times New Roman" w:hAnsi="Times New Roman" w:eastAsia="楷体" w:cs="Times New Roman"/>
          <w:color w:val="000000"/>
          <w:sz w:val="21"/>
        </w:rPr>
        <w:t xml:space="preserve">已完成基于遮挡重建的真实 SAR 自监督适应策略。给定真实 SAR 图像 </w:t>
      </w:r>
      <w:r>
        <w:rPr>
          <w:rStyle w:val="38"/>
          <w:rFonts w:ascii="Times New Roman" w:hAnsi="Times New Roman" w:eastAsia="楷体" w:cs="Times New Roman"/>
          <w:color w:val="000000"/>
          <w:sz w:val="21"/>
        </w:rPr>
        <w:t>Y</w:t>
      </w:r>
      <w:r>
        <w:rPr>
          <w:rFonts w:ascii="Times New Roman" w:hAnsi="Times New Roman" w:eastAsia="楷体" w:cs="Times New Roman"/>
          <w:color w:val="000000"/>
          <w:sz w:val="21"/>
        </w:rPr>
        <w:t xml:space="preserve">，随机生成 mask </w:t>
      </w:r>
      <w:r>
        <w:rPr>
          <w:rStyle w:val="38"/>
          <w:rFonts w:ascii="Times New Roman" w:hAnsi="Times New Roman" w:eastAsia="楷体" w:cs="Times New Roman"/>
          <w:color w:val="000000"/>
          <w:sz w:val="21"/>
        </w:rPr>
        <w:t>M</w:t>
      </w:r>
      <w:r>
        <w:rPr>
          <w:rFonts w:ascii="Times New Roman" w:hAnsi="Times New Roman" w:eastAsia="楷体" w:cs="Times New Roman"/>
          <w:color w:val="000000"/>
          <w:sz w:val="21"/>
        </w:rPr>
        <w:t>，构造遮挡输入：</w:t>
      </w:r>
    </w:p>
    <w:p w14:paraId="1A1AB9E9">
      <w:pPr>
        <w:tabs>
          <w:tab w:val="center" w:pos="4155"/>
          <w:tab w:val="right" w:pos="8310"/>
        </w:tabs>
        <w:spacing w:before="120" w:after="120" w:line="360" w:lineRule="auto"/>
        <w:jc w:val="left"/>
      </w:pPr>
      <w:r>
        <w:tab/>
      </w:r>
      <m:oMath>
        <m:sSub>
          <m:sSubPr/>
          <m:e>
            <m:r>
              <m:rPr/>
              <m:t>Y</m:t>
            </m:r>
          </m:e>
          <m:sub>
            <m:r>
              <m:rPr>
                <m:sty m:val="p"/>
              </m:rPr>
              <m:t>mask</m:t>
            </m:r>
          </m:sub>
        </m:sSub>
        <m:r>
          <m:rPr>
            <m:sty m:val="p"/>
          </m:rPr>
          <m:t>=</m:t>
        </m:r>
        <m:r>
          <m:rPr/>
          <m:t>Y</m:t>
        </m:r>
        <m:r>
          <m:rPr>
            <m:sty m:val="p"/>
          </m:rPr>
          <m:t>⋅</m:t>
        </m:r>
        <m:d>
          <m:dPr>
            <m:sepChr m:val=""/>
          </m:dPr>
          <m:e>
            <m:r>
              <m:rPr/>
              <m:t>1</m:t>
            </m:r>
            <m:r>
              <m:rPr>
                <m:sty m:val="p"/>
              </m:rPr>
              <m:t>−</m:t>
            </m:r>
            <m:r>
              <m:rPr/>
              <m:t>M</m:t>
            </m:r>
          </m:e>
        </m:d>
      </m:oMath>
      <w:r>
        <w:rPr>
          <w:rFonts w:ascii="Times New Roman" w:hAnsi="Times New Roman" w:eastAsia="宋体"/>
          <w:sz w:val="21"/>
          <w:szCs w:val="21"/>
        </w:rPr>
        <w:tab/>
      </w:r>
      <w:r>
        <w:rPr>
          <w:rFonts w:ascii="Times New Roman" w:hAnsi="Times New Roman" w:eastAsia="宋体"/>
          <w:sz w:val="21"/>
          <w:szCs w:val="21"/>
        </w:rPr>
        <w:t>（36）</w:t>
      </w:r>
    </w:p>
    <w:p w14:paraId="77C9B28A">
      <w:pPr>
        <w:spacing w:before="0" w:after="0" w:line="360" w:lineRule="auto"/>
        <w:ind w:firstLine="420"/>
        <w:jc w:val="both"/>
      </w:pPr>
      <w:r>
        <w:rPr>
          <w:rFonts w:ascii="Times New Roman" w:hAnsi="Times New Roman" w:eastAsia="楷体" w:cs="Times New Roman"/>
          <w:color w:val="000000"/>
          <w:sz w:val="21"/>
        </w:rPr>
        <w:t>模型输出预测图像：</w:t>
      </w:r>
    </w:p>
    <w:p w14:paraId="4B687C43">
      <w:pPr>
        <w:tabs>
          <w:tab w:val="center" w:pos="4155"/>
          <w:tab w:val="right" w:pos="8310"/>
        </w:tabs>
        <w:spacing w:before="120" w:after="120" w:line="360" w:lineRule="auto"/>
        <w:jc w:val="left"/>
      </w:pPr>
      <w:r>
        <w:tab/>
      </w:r>
      <m:oMath>
        <m:sSub>
          <m:sSubPr/>
          <m:e>
            <m:r>
              <m:rPr/>
              <m:t>X</m:t>
            </m:r>
          </m:e>
          <m:sub>
            <m:r>
              <m:rPr>
                <m:sty m:val="p"/>
              </m:rPr>
              <m:t>pred</m:t>
            </m:r>
          </m:sub>
        </m:sSub>
        <m:r>
          <m:rPr>
            <m:sty m:val="p"/>
          </m:rPr>
          <m:t>=</m:t>
        </m:r>
        <m:r>
          <m:rPr/>
          <m:t>F</m:t>
        </m:r>
        <m:d>
          <m:dPr>
            <m:sepChr m:val=""/>
          </m:dPr>
          <m:e>
            <m:sSub>
              <m:sSubPr/>
              <m:e>
                <m:r>
                  <m:rPr/>
                  <m:t>Y</m:t>
                </m:r>
              </m:e>
              <m:sub>
                <m:r>
                  <m:rPr>
                    <m:sty m:val="p"/>
                  </m:rPr>
                  <m:t>mask</m:t>
                </m:r>
              </m:sub>
            </m:sSub>
          </m:e>
        </m:d>
      </m:oMath>
      <w:r>
        <w:rPr>
          <w:rFonts w:ascii="Times New Roman" w:hAnsi="Times New Roman" w:eastAsia="宋体"/>
          <w:sz w:val="21"/>
          <w:szCs w:val="21"/>
        </w:rPr>
        <w:tab/>
      </w:r>
      <w:r>
        <w:rPr>
          <w:rFonts w:ascii="Times New Roman" w:hAnsi="Times New Roman" w:eastAsia="宋体"/>
          <w:sz w:val="21"/>
          <w:szCs w:val="21"/>
        </w:rPr>
        <w:t>（37）</w:t>
      </w:r>
    </w:p>
    <w:p w14:paraId="15B67CA1">
      <w:pPr>
        <w:spacing w:before="0" w:after="0" w:line="360" w:lineRule="auto"/>
        <w:ind w:firstLine="420"/>
        <w:jc w:val="both"/>
      </w:pPr>
      <w:r>
        <w:rPr>
          <w:rFonts w:ascii="Times New Roman" w:hAnsi="Times New Roman" w:eastAsia="楷体" w:cs="Times New Roman"/>
          <w:color w:val="000000"/>
          <w:sz w:val="21"/>
        </w:rPr>
        <w:t>训练损失仅在遮挡区域计算：</w:t>
      </w:r>
    </w:p>
    <w:p w14:paraId="7105CE0E">
      <w:pPr>
        <w:tabs>
          <w:tab w:val="center" w:pos="4155"/>
          <w:tab w:val="right" w:pos="8310"/>
        </w:tabs>
        <w:spacing w:before="120" w:after="120" w:line="360" w:lineRule="auto"/>
        <w:jc w:val="left"/>
      </w:pPr>
      <w:r>
        <w:tab/>
      </w:r>
      <m:oMath>
        <m:sSub>
          <m:sSubPr/>
          <m:e>
            <m:r>
              <m:rPr/>
              <m:t>L</m:t>
            </m:r>
          </m:e>
          <m:sub>
            <m:r>
              <m:rPr>
                <m:sty m:val="p"/>
              </m:rPr>
              <m:t>mask</m:t>
            </m:r>
          </m:sub>
        </m:sSub>
        <m:r>
          <m:rPr>
            <m:sty m:val="p"/>
          </m:rPr>
          <m:t>=</m:t>
        </m:r>
        <m:sSub>
          <m:sSubPr/>
          <m:e>
            <m:d>
              <m:dPr>
                <m:begChr m:val="∥"/>
                <m:sepChr m:val=""/>
                <m:endChr m:val="∥"/>
              </m:dPr>
              <m:e>
                <m:d>
                  <m:dPr>
                    <m:sepChr m:val=""/>
                  </m:dPr>
                  <m:e>
                    <m:sSub>
                      <m:sSubPr/>
                      <m:e>
                        <m:r>
                          <m:rPr/>
                          <m:t>X</m:t>
                        </m:r>
                      </m:e>
                      <m:sub>
                        <m:r>
                          <m:rPr>
                            <m:sty m:val="p"/>
                          </m:rPr>
                          <m:t>pred</m:t>
                        </m:r>
                      </m:sub>
                    </m:sSub>
                    <m:r>
                      <m:rPr>
                        <m:sty m:val="p"/>
                      </m:rPr>
                      <m:t>−</m:t>
                    </m:r>
                    <m:r>
                      <m:rPr/>
                      <m:t>Y</m:t>
                    </m:r>
                  </m:e>
                </m:d>
                <m:r>
                  <m:rPr>
                    <m:sty m:val="p"/>
                  </m:rPr>
                  <m:t>⋅</m:t>
                </m:r>
                <m:r>
                  <m:rPr/>
                  <m:t>M</m:t>
                </m:r>
              </m:e>
            </m:d>
          </m:e>
          <m:sub>
            <m:r>
              <m:rPr/>
              <m:t>1</m:t>
            </m:r>
          </m:sub>
        </m:sSub>
      </m:oMath>
      <w:r>
        <w:rPr>
          <w:rFonts w:ascii="Times New Roman" w:hAnsi="Times New Roman" w:eastAsia="宋体"/>
          <w:sz w:val="21"/>
          <w:szCs w:val="21"/>
        </w:rPr>
        <w:tab/>
      </w:r>
      <w:r>
        <w:rPr>
          <w:rFonts w:ascii="Times New Roman" w:hAnsi="Times New Roman" w:eastAsia="宋体"/>
          <w:sz w:val="21"/>
          <w:szCs w:val="21"/>
        </w:rPr>
        <w:t>（38）</w:t>
      </w:r>
    </w:p>
    <w:p w14:paraId="53524BBD">
      <w:pPr>
        <w:spacing w:before="0" w:after="0" w:line="360" w:lineRule="auto"/>
        <w:ind w:firstLine="420"/>
        <w:jc w:val="both"/>
      </w:pPr>
      <w:r>
        <w:rPr>
          <w:rFonts w:ascii="Times New Roman" w:hAnsi="Times New Roman" w:eastAsia="楷体" w:cs="Times New Roman"/>
          <w:color w:val="000000"/>
          <w:sz w:val="21"/>
        </w:rPr>
        <w:t>真实 SAR 测试结果显示，DFNG-SARNet+AMS 相较于未适应模型在 589 幅测试图像上将 ENL 提升 19.05%，将 M 指标降低 20.12%，并将 EPI 提升 6.28%，表明该自监督策略能够有效缓解合成数据与真实 SAR 数据之间的域偏移。</w:t>
      </w:r>
    </w:p>
    <w:p w14:paraId="0B9D3084">
      <w:pPr>
        <w:spacing w:before="0" w:after="0" w:line="360" w:lineRule="auto"/>
        <w:ind w:firstLine="420"/>
        <w:jc w:val="both"/>
      </w:pPr>
      <w:r>
        <w:rPr>
          <w:rFonts w:ascii="Times New Roman" w:hAnsi="Times New Roman" w:eastAsia="楷体" w:cs="Times New Roman"/>
          <w:color w:val="000000"/>
          <w:sz w:val="21"/>
        </w:rPr>
        <w:t>已建立合成数据和真实 SAR 数据的评价体系。合成数据采用 PSNR 和 SSIM 作为有参考指标，真实 SAR 数据采用 ENL、M 指标和 EPI 作为无参考指标。其中，ENL 用于评价均匀区域平滑程度，M 指标用于评价比值图结构残留，EPI 用于评价边缘保持能力。当前实验已经能够分别统计不同场景类别的平均指标和总体平均指标，并支撑模型有效性与模块贡献分析。</w:t>
      </w:r>
    </w:p>
    <w:p w14:paraId="43E053F6">
      <w:pPr>
        <w:spacing w:before="0" w:after="0" w:line="360" w:lineRule="auto"/>
        <w:ind w:firstLine="420"/>
        <w:jc w:val="both"/>
      </w:pPr>
      <w:r>
        <w:rPr>
          <w:rFonts w:ascii="Times New Roman" w:hAnsi="Times New Roman" w:eastAsia="楷体" w:cs="Times New Roman"/>
          <w:color w:val="000000"/>
          <w:sz w:val="21"/>
        </w:rPr>
        <w:t>综上，目前已完成论文方法部分和核心实验部分的主要工作。现阶段结果已经能够支撑 DFNG-SARNet 的结构有效性、场景泛化能力和真实 SAR 自监督适应能力；后续工作重点将转向高质量可视化整理、论文正文压缩润色和下游目标检测验证。</w:t>
      </w:r>
    </w:p>
    <w:bookmarkEnd w:id="61"/>
    <w:p w14:paraId="6B12E20F">
      <w:pPr>
        <w:pStyle w:val="4"/>
        <w:spacing w:before="120" w:after="60" w:line="360" w:lineRule="auto"/>
        <w:ind w:firstLine="0"/>
        <w:jc w:val="left"/>
      </w:pPr>
      <w:bookmarkStart w:id="62" w:name="存在问题"/>
      <w:r>
        <w:rPr>
          <w:rFonts w:ascii="Times New Roman" w:hAnsi="Times New Roman" w:eastAsia="黑体" w:cs="Times New Roman"/>
          <w:b/>
          <w:color w:val="000000"/>
          <w:sz w:val="24"/>
        </w:rPr>
        <w:t>5.2 存在问题</w:t>
      </w:r>
    </w:p>
    <w:p w14:paraId="2A0F25C5">
      <w:pPr>
        <w:spacing w:before="0" w:after="0" w:line="360" w:lineRule="auto"/>
        <w:ind w:firstLine="420"/>
        <w:jc w:val="both"/>
      </w:pPr>
      <w:r>
        <w:rPr>
          <w:rFonts w:ascii="Times New Roman" w:hAnsi="Times New Roman" w:eastAsia="楷体" w:cs="Times New Roman"/>
          <w:color w:val="000000"/>
          <w:sz w:val="21"/>
        </w:rPr>
        <w:t>当前工作已经完成主体模型设计、合成 SAR 有参考评价、UCMerced 外部场景泛化测试、真实 SAR 自监督适应以及无参考指标统计，但实验论证仍需进一步从内部消融验证扩展到外部方法比较。现有结果主要证明 DFNG-SARNet 相较于自身去模块版本具有稳定增益，能够支撑频域增强、双域恢复、多尺度解码和真实域自监督适应的结构有效性。然而，尚未充分回答所提方法相较传统统计滤波、有监督深度去噪模型以及自监督/无监督 SAR 去噪模型的相对优势。因此，后续需要在统一数据集、统一输入尺寸、统一评价指标和统一复现条件下补充代表性方法横向对比实验。</w:t>
      </w:r>
    </w:p>
    <w:p w14:paraId="38ED4B64">
      <w:pPr>
        <w:spacing w:before="0" w:after="0" w:line="360" w:lineRule="auto"/>
        <w:ind w:firstLine="420"/>
        <w:jc w:val="both"/>
      </w:pPr>
      <w:r>
        <w:rPr>
          <w:rFonts w:ascii="Times New Roman" w:hAnsi="Times New Roman" w:eastAsia="楷体" w:cs="Times New Roman"/>
          <w:color w:val="000000"/>
          <w:sz w:val="21"/>
        </w:rPr>
        <w:t>局部结构细节可视化对比尚未形成完整实验结果。现有 PSNR、SSIM、ENL、M 指标和 EPI 能够分别反映有参考重建误差、结构相似性、均匀区域平滑程度、比值图结构残留和边缘保持趋势，但这些指标仍不足以完全揭示局部边缘扩散、细纹理过平滑、强散射点削弱以及局部伪影增强等现象。为避免将尚未完成的可视化结果写入实验结论，本文将原“可视化结果与综合分析”从第 4 章实验结果部分移出，并将其重新定位为后续研究计划中的评价体系补充内容。该调整能够保证第 4 章仅呈现已完成的定量实验与复杂度分析，而将尚待补充的红框局部放大图、残差图、比值图和边缘图纳入下一阶段工作。</w:t>
      </w:r>
    </w:p>
    <w:p w14:paraId="70152DE5">
      <w:pPr>
        <w:spacing w:before="0" w:after="0" w:line="360" w:lineRule="auto"/>
        <w:ind w:firstLine="420"/>
        <w:jc w:val="both"/>
      </w:pPr>
      <w:r>
        <w:rPr>
          <w:rFonts w:ascii="Times New Roman" w:hAnsi="Times New Roman" w:eastAsia="楷体" w:cs="Times New Roman"/>
          <w:color w:val="000000"/>
          <w:sz w:val="21"/>
        </w:rPr>
        <w:t>真实 SAR 无参考评价仍需结合逐图分析进一步验证。虽然 DFNG-SARNet+AMS 在 homogeneous、structural 和 texture 三类场景中均表现为 ENL 提升、M 指标下降和 EPI 提升，但真实 SAR 图像缺少 clean reference，单纯依赖无参考指标仍难以完全排除弱散射目标损失、纹理断裂或局部过平滑风险。因此，后续需要将三类真实 SAR 样本的数值指标与局部结构可视化结果对应起来，进一步验证自监督适应是否真正改善了 speckle 抑制与结构保持之间的平衡。</w:t>
      </w:r>
    </w:p>
    <w:p w14:paraId="0FE3D126">
      <w:pPr>
        <w:spacing w:before="0" w:after="0" w:line="360" w:lineRule="auto"/>
        <w:ind w:firstLine="420"/>
        <w:jc w:val="both"/>
      </w:pPr>
      <w:r>
        <w:rPr>
          <w:rFonts w:ascii="Times New Roman" w:hAnsi="Times New Roman" w:eastAsia="楷体" w:cs="Times New Roman"/>
          <w:color w:val="000000"/>
          <w:sz w:val="21"/>
        </w:rPr>
        <w:t>论文写作中仍需进一步凝练研究主线。后续正文应将频域增强、log-intensity/original intensity 双域恢复和真实 SAR 自监督适应作为主要技术贡献进行展开，将噪声门控定位为解码阶段的辅助调制机制，避免研究表述与已有 noise-guided SAR despeckling 方法产生不必要的重叠。同时，当前工作仍集中于图像复原指标，尚未完成 SAR 舰船目标检测下游验证，需进一步评估去噪结果对 mAP、Precision、Recall、F1-score、漏检率和误检率等解译指标的实际影响。</w:t>
      </w:r>
    </w:p>
    <w:bookmarkEnd w:id="62"/>
    <w:p w14:paraId="548E334B">
      <w:pPr>
        <w:pStyle w:val="4"/>
        <w:spacing w:before="120" w:after="60" w:line="360" w:lineRule="auto"/>
        <w:ind w:firstLine="0"/>
        <w:jc w:val="left"/>
      </w:pPr>
      <w:bookmarkStart w:id="63" w:name="后续研究计划"/>
      <w:r>
        <w:rPr>
          <w:rFonts w:ascii="Times New Roman" w:hAnsi="Times New Roman" w:eastAsia="黑体" w:cs="Times New Roman"/>
          <w:b/>
          <w:color w:val="000000"/>
          <w:sz w:val="24"/>
        </w:rPr>
        <w:t>5.3 后续研究计划</w:t>
      </w:r>
    </w:p>
    <w:p w14:paraId="3187FCA0">
      <w:pPr>
        <w:spacing w:before="0" w:after="0" w:line="360" w:lineRule="auto"/>
        <w:ind w:firstLine="420"/>
        <w:jc w:val="both"/>
      </w:pPr>
      <w:r>
        <w:rPr>
          <w:rFonts w:ascii="Times New Roman" w:hAnsi="Times New Roman" w:eastAsia="楷体" w:cs="Times New Roman"/>
          <w:color w:val="000000"/>
          <w:sz w:val="21"/>
        </w:rPr>
        <w:t>后续研究将按照“代表性方法横向对比—局部结构细节可视化评价—真实 SAR 分层验证—论文结构凝练—下游目标检测应用”的技术链条推进。该安排的核心目标不是继续增加内部消融版本，而是将已完成的模型结果放入更完整的 SAR 去噪方法谱系中进行外部比较，并通过统一的局部放大和红框标注协议验证不同方法在关键结构区域的恢复差异，从而增强实验结论的可验证性、可解释性和方法定位的清晰度。</w:t>
      </w:r>
    </w:p>
    <w:p w14:paraId="5D55119C">
      <w:pPr>
        <w:pStyle w:val="5"/>
        <w:spacing w:before="120" w:after="60" w:line="360" w:lineRule="auto"/>
        <w:ind w:firstLine="0"/>
        <w:jc w:val="left"/>
      </w:pPr>
      <w:bookmarkStart w:id="64" w:name="代表性-sar-去噪方法横向对比"/>
      <w:r>
        <w:rPr>
          <w:rFonts w:ascii="Times New Roman" w:hAnsi="Times New Roman" w:eastAsia="黑体" w:cs="Times New Roman"/>
          <w:b/>
          <w:color w:val="000000"/>
          <w:sz w:val="21"/>
        </w:rPr>
        <w:t>5.3.1 代表性 SAR 去噪方法横向对比</w:t>
      </w:r>
    </w:p>
    <w:p w14:paraId="75816A72">
      <w:pPr>
        <w:spacing w:before="0" w:after="0" w:line="360" w:lineRule="auto"/>
        <w:ind w:firstLine="420"/>
        <w:jc w:val="both"/>
      </w:pPr>
      <w:r>
        <w:rPr>
          <w:rFonts w:ascii="Times New Roman" w:hAnsi="Times New Roman" w:eastAsia="楷体" w:cs="Times New Roman"/>
          <w:color w:val="000000"/>
          <w:sz w:val="21"/>
        </w:rPr>
        <w:t>代表性 SAR 去噪方法横向对比将作为下一阶段实验补充的核心内容。对比方法覆盖传统方法、有监督深度方法和自监督/无监督方法三类技术路线。传统方法拟选取 Lee、Kuan、Frost 和 SAR-BM3D，用于分析局部统计滤波、模型驱动滤波和非局部相似性方法在复杂结构区域中的噪声残留、边缘模糊和纹理损失问题。有监督深度方法拟选取 ID-CNN、SAR-DRN、PDSNet、HTNet 或近年可复现的 CNN/Transformer 混合模型，用于比较端到端监督学习框架在合成 SAR 有参考条件下的像素级重建精度和结构保持能力。自监督或无监督方法拟选取 SAR2SAR、Speckle2Void、MERLIN、SDUDNet、Speckle2Self、扩散式 SAR 去斑方法和对比学习式真实 SAR 去斑方法，用于评价无 clean reference 条件下真实 SAR 图像去噪的域适应能力、训练稳定性和比值图结构泄漏情况。本文方法将同时报告 DFNG-SARNet 和 DFNG-SARNet+AMS，以区分监督预训练模型与真实 SAR 自监督适应模型的性能差异。</w:t>
      </w:r>
    </w:p>
    <w:p w14:paraId="0D209E47">
      <w:pPr>
        <w:pStyle w:val="12"/>
        <w:spacing w:before="60" w:after="60" w:line="240" w:lineRule="auto"/>
        <w:jc w:val="center"/>
      </w:pPr>
      <w:r>
        <w:rPr>
          <w:rFonts w:ascii="楷体" w:hAnsi="楷体" w:eastAsia="楷体" w:cs="楷体"/>
          <w:b w:val="0"/>
          <w:i w:val="0"/>
          <w:color w:val="000000"/>
          <w:sz w:val="18"/>
        </w:rPr>
        <w:t>表 13 后续代表性 SAR 去噪方法横向对比方案</w:t>
      </w:r>
    </w:p>
    <w:tbl>
      <w:tblPr>
        <w:tblStyle w:val="31"/>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60" w:type="dxa"/>
          <w:left w:w="80" w:type="dxa"/>
          <w:bottom w:w="60" w:type="dxa"/>
          <w:right w:w="80" w:type="dxa"/>
        </w:tblCellMar>
      </w:tblPr>
      <w:tblGrid>
        <w:gridCol w:w="1343"/>
        <w:gridCol w:w="2789"/>
        <w:gridCol w:w="4340"/>
      </w:tblGrid>
      <w:tr w14:paraId="4934E3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tblHeader/>
          <w:jc w:val="center"/>
        </w:trPr>
        <w:tc>
          <w:tcPr>
            <w:tcMar>
              <w:top w:w="80" w:type="dxa"/>
              <w:left w:w="80" w:type="dxa"/>
              <w:bottom w:w="80" w:type="dxa"/>
              <w:right w:w="80" w:type="dxa"/>
            </w:tcMar>
            <w:vAlign w:val="center"/>
          </w:tcPr>
          <w:p w14:paraId="3441B6D2">
            <w:pPr>
              <w:pStyle w:val="25"/>
              <w:spacing w:before="0" w:after="0" w:line="240" w:lineRule="auto"/>
              <w:ind w:firstLine="0"/>
              <w:jc w:val="left"/>
            </w:pPr>
            <w:r>
              <w:rPr>
                <w:rFonts w:ascii="楷体" w:hAnsi="楷体" w:eastAsia="楷体" w:cs="楷体"/>
                <w:b/>
                <w:color w:val="000000"/>
                <w:sz w:val="18"/>
              </w:rPr>
              <w:t>方法类别</w:t>
            </w:r>
          </w:p>
        </w:tc>
        <w:tc>
          <w:tcPr>
            <w:tcMar>
              <w:top w:w="80" w:type="dxa"/>
              <w:left w:w="80" w:type="dxa"/>
              <w:bottom w:w="80" w:type="dxa"/>
              <w:right w:w="80" w:type="dxa"/>
            </w:tcMar>
            <w:vAlign w:val="center"/>
          </w:tcPr>
          <w:p w14:paraId="47A5A758">
            <w:pPr>
              <w:pStyle w:val="25"/>
              <w:spacing w:before="0" w:after="0" w:line="240" w:lineRule="auto"/>
              <w:ind w:firstLine="0"/>
              <w:jc w:val="left"/>
            </w:pPr>
            <w:r>
              <w:rPr>
                <w:rFonts w:ascii="楷体" w:hAnsi="楷体" w:eastAsia="楷体" w:cs="楷体"/>
                <w:b/>
                <w:color w:val="000000"/>
                <w:sz w:val="18"/>
              </w:rPr>
              <w:t>代表性方法</w:t>
            </w:r>
          </w:p>
        </w:tc>
        <w:tc>
          <w:tcPr>
            <w:tcMar>
              <w:top w:w="80" w:type="dxa"/>
              <w:left w:w="80" w:type="dxa"/>
              <w:bottom w:w="80" w:type="dxa"/>
              <w:right w:w="80" w:type="dxa"/>
            </w:tcMar>
            <w:vAlign w:val="center"/>
          </w:tcPr>
          <w:p w14:paraId="19AA91D6">
            <w:pPr>
              <w:pStyle w:val="25"/>
              <w:spacing w:before="0" w:after="0" w:line="240" w:lineRule="auto"/>
              <w:ind w:firstLine="0"/>
              <w:jc w:val="left"/>
            </w:pPr>
            <w:r>
              <w:rPr>
                <w:rFonts w:ascii="楷体" w:hAnsi="楷体" w:eastAsia="楷体" w:cs="楷体"/>
                <w:b/>
                <w:color w:val="000000"/>
                <w:sz w:val="18"/>
              </w:rPr>
              <w:t>主要评价目的</w:t>
            </w:r>
          </w:p>
        </w:tc>
      </w:tr>
      <w:tr w14:paraId="355C97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39BBD9FB">
            <w:pPr>
              <w:pStyle w:val="25"/>
              <w:spacing w:before="0" w:after="0" w:line="240" w:lineRule="auto"/>
              <w:ind w:firstLine="0"/>
              <w:jc w:val="left"/>
            </w:pPr>
            <w:r>
              <w:rPr>
                <w:rFonts w:ascii="楷体" w:hAnsi="楷体" w:eastAsia="楷体" w:cs="楷体"/>
                <w:color w:val="000000"/>
                <w:sz w:val="18"/>
              </w:rPr>
              <w:t>传统 SAR 去斑方法</w:t>
            </w:r>
          </w:p>
        </w:tc>
        <w:tc>
          <w:tcPr>
            <w:tcMar>
              <w:top w:w="80" w:type="dxa"/>
              <w:left w:w="80" w:type="dxa"/>
              <w:bottom w:w="80" w:type="dxa"/>
              <w:right w:w="80" w:type="dxa"/>
            </w:tcMar>
            <w:vAlign w:val="center"/>
          </w:tcPr>
          <w:p w14:paraId="170EE03F">
            <w:pPr>
              <w:pStyle w:val="25"/>
              <w:spacing w:before="0" w:after="0" w:line="240" w:lineRule="auto"/>
              <w:ind w:firstLine="0"/>
              <w:jc w:val="left"/>
            </w:pPr>
            <w:r>
              <w:rPr>
                <w:rFonts w:ascii="楷体" w:hAnsi="楷体" w:eastAsia="楷体" w:cs="楷体"/>
                <w:color w:val="000000"/>
                <w:sz w:val="18"/>
              </w:rPr>
              <w:t>Lee、Kuan、Frost、SAR-BM3D</w:t>
            </w:r>
          </w:p>
        </w:tc>
        <w:tc>
          <w:tcPr>
            <w:tcMar>
              <w:top w:w="80" w:type="dxa"/>
              <w:left w:w="80" w:type="dxa"/>
              <w:bottom w:w="80" w:type="dxa"/>
              <w:right w:w="80" w:type="dxa"/>
            </w:tcMar>
            <w:vAlign w:val="center"/>
          </w:tcPr>
          <w:p w14:paraId="1977CF06">
            <w:pPr>
              <w:pStyle w:val="25"/>
              <w:spacing w:before="0" w:after="0" w:line="240" w:lineRule="auto"/>
              <w:ind w:firstLine="0"/>
              <w:jc w:val="left"/>
            </w:pPr>
            <w:r>
              <w:rPr>
                <w:rFonts w:ascii="楷体" w:hAnsi="楷体" w:eastAsia="楷体" w:cs="楷体"/>
                <w:color w:val="000000"/>
                <w:sz w:val="18"/>
              </w:rPr>
              <w:t>评价局部统计滤波、模型驱动滤波和非局部滤波在 speckle 抑制与结构保持之间的局限</w:t>
            </w:r>
          </w:p>
        </w:tc>
      </w:tr>
      <w:tr w14:paraId="6C6878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12824FB8">
            <w:pPr>
              <w:pStyle w:val="25"/>
              <w:spacing w:before="0" w:after="0" w:line="240" w:lineRule="auto"/>
              <w:ind w:firstLine="0"/>
              <w:jc w:val="left"/>
            </w:pPr>
            <w:r>
              <w:rPr>
                <w:rFonts w:ascii="楷体" w:hAnsi="楷体" w:eastAsia="楷体" w:cs="楷体"/>
                <w:color w:val="000000"/>
                <w:sz w:val="18"/>
              </w:rPr>
              <w:t>有监督深度去噪方法</w:t>
            </w:r>
          </w:p>
        </w:tc>
        <w:tc>
          <w:tcPr>
            <w:tcMar>
              <w:top w:w="80" w:type="dxa"/>
              <w:left w:w="80" w:type="dxa"/>
              <w:bottom w:w="80" w:type="dxa"/>
              <w:right w:w="80" w:type="dxa"/>
            </w:tcMar>
            <w:vAlign w:val="center"/>
          </w:tcPr>
          <w:p w14:paraId="7C5AE034">
            <w:pPr>
              <w:pStyle w:val="25"/>
              <w:spacing w:before="0" w:after="0" w:line="240" w:lineRule="auto"/>
              <w:ind w:firstLine="0"/>
              <w:jc w:val="left"/>
            </w:pPr>
            <w:r>
              <w:rPr>
                <w:rFonts w:ascii="楷体" w:hAnsi="楷体" w:eastAsia="楷体" w:cs="楷体"/>
                <w:color w:val="000000"/>
                <w:sz w:val="18"/>
              </w:rPr>
              <w:t>ID-CNN、SAR-DRN、PDSNet、HTNet、Trans-SAR</w:t>
            </w:r>
          </w:p>
        </w:tc>
        <w:tc>
          <w:tcPr>
            <w:tcMar>
              <w:top w:w="80" w:type="dxa"/>
              <w:left w:w="80" w:type="dxa"/>
              <w:bottom w:w="80" w:type="dxa"/>
              <w:right w:w="80" w:type="dxa"/>
            </w:tcMar>
            <w:vAlign w:val="center"/>
          </w:tcPr>
          <w:p w14:paraId="1FAF345E">
            <w:pPr>
              <w:pStyle w:val="25"/>
              <w:spacing w:before="0" w:after="0" w:line="240" w:lineRule="auto"/>
              <w:ind w:firstLine="0"/>
              <w:jc w:val="left"/>
            </w:pPr>
            <w:r>
              <w:rPr>
                <w:rFonts w:ascii="楷体" w:hAnsi="楷体" w:eastAsia="楷体" w:cs="楷体"/>
                <w:color w:val="000000"/>
                <w:sz w:val="18"/>
              </w:rPr>
              <w:t>比较成对合成训练条件下的 PSNR、SSIM、边缘保持和纹理恢复能力</w:t>
            </w:r>
          </w:p>
        </w:tc>
      </w:tr>
      <w:tr w14:paraId="4409FD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64215405">
            <w:pPr>
              <w:pStyle w:val="25"/>
              <w:spacing w:before="0" w:after="0" w:line="240" w:lineRule="auto"/>
              <w:ind w:firstLine="0"/>
              <w:jc w:val="left"/>
            </w:pPr>
            <w:r>
              <w:rPr>
                <w:rFonts w:ascii="楷体" w:hAnsi="楷体" w:eastAsia="楷体" w:cs="楷体"/>
                <w:color w:val="000000"/>
                <w:sz w:val="18"/>
              </w:rPr>
              <w:t>自监督/无监督去噪方法</w:t>
            </w:r>
          </w:p>
        </w:tc>
        <w:tc>
          <w:tcPr>
            <w:tcMar>
              <w:top w:w="80" w:type="dxa"/>
              <w:left w:w="80" w:type="dxa"/>
              <w:bottom w:w="80" w:type="dxa"/>
              <w:right w:w="80" w:type="dxa"/>
            </w:tcMar>
            <w:vAlign w:val="center"/>
          </w:tcPr>
          <w:p w14:paraId="0350E865">
            <w:pPr>
              <w:pStyle w:val="25"/>
              <w:spacing w:before="0" w:after="0" w:line="240" w:lineRule="auto"/>
              <w:ind w:firstLine="0"/>
              <w:jc w:val="left"/>
            </w:pPr>
            <w:r>
              <w:rPr>
                <w:rFonts w:ascii="楷体" w:hAnsi="楷体" w:eastAsia="楷体" w:cs="楷体"/>
                <w:color w:val="000000"/>
                <w:sz w:val="18"/>
              </w:rPr>
              <w:t>SAR2SAR、Speckle2Void、MERLIN、SDUDNet</w:t>
            </w:r>
          </w:p>
        </w:tc>
        <w:tc>
          <w:tcPr>
            <w:tcMar>
              <w:top w:w="80" w:type="dxa"/>
              <w:left w:w="80" w:type="dxa"/>
              <w:bottom w:w="80" w:type="dxa"/>
              <w:right w:w="80" w:type="dxa"/>
            </w:tcMar>
            <w:vAlign w:val="center"/>
          </w:tcPr>
          <w:p w14:paraId="5099BBCF">
            <w:pPr>
              <w:pStyle w:val="25"/>
              <w:spacing w:before="0" w:after="0" w:line="240" w:lineRule="auto"/>
              <w:ind w:firstLine="0"/>
              <w:jc w:val="left"/>
            </w:pPr>
            <w:r>
              <w:rPr>
                <w:rFonts w:ascii="楷体" w:hAnsi="楷体" w:eastAsia="楷体" w:cs="楷体"/>
                <w:color w:val="000000"/>
                <w:sz w:val="18"/>
              </w:rPr>
              <w:t>比较无 clean label 条件下真实 SAR 去噪、比值图结构残留和域适应能力</w:t>
            </w:r>
          </w:p>
        </w:tc>
      </w:tr>
      <w:tr w14:paraId="73F258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60" w:type="dxa"/>
            <w:left w:w="80" w:type="dxa"/>
            <w:bottom w:w="60" w:type="dxa"/>
            <w:right w:w="80" w:type="dxa"/>
          </w:tblCellMar>
        </w:tblPrEx>
        <w:trPr>
          <w:jc w:val="center"/>
        </w:trPr>
        <w:tc>
          <w:tcPr>
            <w:tcMar>
              <w:top w:w="80" w:type="dxa"/>
              <w:left w:w="80" w:type="dxa"/>
              <w:bottom w:w="80" w:type="dxa"/>
              <w:right w:w="80" w:type="dxa"/>
            </w:tcMar>
            <w:vAlign w:val="center"/>
          </w:tcPr>
          <w:p w14:paraId="3525FFC6">
            <w:pPr>
              <w:pStyle w:val="25"/>
              <w:spacing w:before="0" w:after="0" w:line="240" w:lineRule="auto"/>
              <w:ind w:firstLine="0"/>
              <w:jc w:val="left"/>
            </w:pPr>
            <w:r>
              <w:rPr>
                <w:rFonts w:ascii="楷体" w:hAnsi="楷体" w:eastAsia="楷体" w:cs="楷体"/>
                <w:color w:val="000000"/>
                <w:sz w:val="18"/>
              </w:rPr>
              <w:t>本文方法</w:t>
            </w:r>
          </w:p>
        </w:tc>
        <w:tc>
          <w:tcPr>
            <w:tcMar>
              <w:top w:w="80" w:type="dxa"/>
              <w:left w:w="80" w:type="dxa"/>
              <w:bottom w:w="80" w:type="dxa"/>
              <w:right w:w="80" w:type="dxa"/>
            </w:tcMar>
            <w:vAlign w:val="center"/>
          </w:tcPr>
          <w:p w14:paraId="31881A0C">
            <w:pPr>
              <w:pStyle w:val="25"/>
              <w:spacing w:before="0" w:after="0" w:line="240" w:lineRule="auto"/>
              <w:ind w:firstLine="0"/>
              <w:jc w:val="left"/>
            </w:pPr>
            <w:r>
              <w:rPr>
                <w:rFonts w:ascii="楷体" w:hAnsi="楷体" w:eastAsia="楷体" w:cs="楷体"/>
                <w:color w:val="000000"/>
                <w:sz w:val="18"/>
              </w:rPr>
              <w:t>DFNG-SARNet、DFNG-SARNet+AMS</w:t>
            </w:r>
          </w:p>
        </w:tc>
        <w:tc>
          <w:tcPr>
            <w:tcMar>
              <w:top w:w="80" w:type="dxa"/>
              <w:left w:w="80" w:type="dxa"/>
              <w:bottom w:w="80" w:type="dxa"/>
              <w:right w:w="80" w:type="dxa"/>
            </w:tcMar>
            <w:vAlign w:val="center"/>
          </w:tcPr>
          <w:p w14:paraId="7F23F336">
            <w:pPr>
              <w:pStyle w:val="25"/>
              <w:spacing w:before="0" w:after="0" w:line="240" w:lineRule="auto"/>
              <w:ind w:firstLine="0"/>
              <w:jc w:val="left"/>
            </w:pPr>
            <w:r>
              <w:rPr>
                <w:rFonts w:ascii="楷体" w:hAnsi="楷体" w:eastAsia="楷体" w:cs="楷体"/>
                <w:color w:val="000000"/>
                <w:sz w:val="18"/>
              </w:rPr>
              <w:t>验证频域增强、双域恢复和真实 SAR 自监督适应在合成与真实场景中的综合优势</w:t>
            </w:r>
          </w:p>
        </w:tc>
      </w:tr>
    </w:tbl>
    <w:p w14:paraId="1FD4616E">
      <w:pPr>
        <w:spacing w:before="0" w:after="0" w:line="360" w:lineRule="auto"/>
        <w:ind w:firstLine="420"/>
        <w:jc w:val="both"/>
      </w:pPr>
      <w:r>
        <w:rPr>
          <w:rFonts w:ascii="Times New Roman" w:hAnsi="Times New Roman" w:eastAsia="楷体" w:cs="Times New Roman"/>
          <w:color w:val="000000"/>
          <w:sz w:val="21"/>
        </w:rPr>
        <w:t xml:space="preserve">对比实验将采用统一的数据预处理、输入尺寸、评价指标和可视化协议。合成 SAR 部分将在 NWPU-RESISC45 验证集和 UCMerced_LandUse 的 agricultural、buildings、residential 三类外部测试场景上执行，以 PSNR 和 SSIM 作为主要有参考指标。真实 SAR 部分将在 </w:t>
      </w:r>
      <w:r>
        <w:rPr>
          <w:rStyle w:val="38"/>
          <w:rFonts w:ascii="Times New Roman" w:hAnsi="Times New Roman" w:eastAsia="楷体" w:cs="Times New Roman"/>
          <w:color w:val="000000"/>
          <w:sz w:val="21"/>
        </w:rPr>
        <w:t>Labeled dataset for despeckling SAR imagery</w:t>
      </w:r>
      <w:r>
        <w:rPr>
          <w:rFonts w:ascii="Times New Roman" w:hAnsi="Times New Roman" w:eastAsia="楷体" w:cs="Times New Roman"/>
          <w:color w:val="000000"/>
          <w:sz w:val="21"/>
        </w:rPr>
        <w:t xml:space="preserve"> 的整体测试集和 homogeneous、structural、texture 三类代表性样本上执行，以 ENL、M 指标和 EPI 作为主要无参考指标。对于传统方法，将直接在相同测试图像上运行；对于深度学习方法，将优先采用官方实现和公开权重。若公开权重不可用，则在相同合成训练集上重新训练，并在实验表格中明确训练数据、参数设置、输入尺寸和复现条件。</w:t>
      </w:r>
    </w:p>
    <w:p w14:paraId="5AC42939">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现有实验结果将作为横向对比研究的基准锚点。当前 DFNG-SARNet 已在内部消融实验中取得最高 PSNR 和 SSIM，说明频域增强、双域恢复和多尺度解码能够提高合成有参考重建精度；DFNG-SARNet+AMS 已在真实 SAR 测试中表现出 ENL 提升、M 指标下降和 EPI 提升，说明遮挡重建式自监督适应能够改善真实域 speckle 抑制与结构保持之间的平衡。后续横向对比将进一步验证该性能是否优于传统滤波、有监督深度模型和自监督/无监督模型，使实验结论从内部结构验证扩展为外部方法验证。</w:t>
      </w:r>
    </w:p>
    <w:p w14:paraId="5237EE6E">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548630" cy="2774315"/>
            <wp:effectExtent l="0" t="0" r="13970" b="14605"/>
            <wp:docPr id="15" name="图片 15" descr="图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19"/>
                    <pic:cNvPicPr>
                      <a:picLocks noChangeAspect="1"/>
                    </pic:cNvPicPr>
                  </pic:nvPicPr>
                  <pic:blipFill>
                    <a:blip r:embed="rId25"/>
                    <a:stretch>
                      <a:fillRect/>
                    </a:stretch>
                  </pic:blipFill>
                  <pic:spPr>
                    <a:xfrm>
                      <a:off x="0" y="0"/>
                      <a:ext cx="5548630" cy="2774315"/>
                    </a:xfrm>
                    <a:prstGeom prst="rect">
                      <a:avLst/>
                    </a:prstGeom>
                  </pic:spPr>
                </pic:pic>
              </a:graphicData>
            </a:graphic>
          </wp:inline>
        </w:drawing>
      </w:r>
    </w:p>
    <w:p w14:paraId="621F9F5B">
      <w:pPr>
        <w:pStyle w:val="12"/>
        <w:spacing w:before="60" w:after="60" w:line="240" w:lineRule="auto"/>
        <w:jc w:val="center"/>
      </w:pPr>
      <w:r>
        <w:rPr>
          <w:rFonts w:ascii="楷体" w:hAnsi="楷体" w:eastAsia="楷体" w:cs="楷体"/>
          <w:b w:val="0"/>
          <w:i w:val="0"/>
          <w:color w:val="000000"/>
          <w:sz w:val="18"/>
        </w:rPr>
        <w:t>图1</w:t>
      </w:r>
      <w:r>
        <w:rPr>
          <w:rFonts w:hint="eastAsia" w:ascii="楷体" w:hAnsi="楷体" w:cs="楷体"/>
          <w:b w:val="0"/>
          <w:i w:val="0"/>
          <w:color w:val="000000"/>
          <w:sz w:val="18"/>
          <w:lang w:val="en-US" w:eastAsia="zh-CN"/>
        </w:rPr>
        <w:t>9</w:t>
      </w:r>
      <w:r>
        <w:rPr>
          <w:rFonts w:ascii="楷体" w:hAnsi="楷体" w:eastAsia="楷体" w:cs="楷体"/>
          <w:b w:val="0"/>
          <w:i w:val="0"/>
          <w:color w:val="000000"/>
          <w:sz w:val="18"/>
        </w:rPr>
        <w:t xml:space="preserve"> 代表性 SAR 去噪方法横向对比实验框架图</w:t>
      </w:r>
    </w:p>
    <w:bookmarkEnd w:id="64"/>
    <w:p w14:paraId="67B1A026">
      <w:pPr>
        <w:pStyle w:val="5"/>
        <w:spacing w:before="120" w:after="60" w:line="360" w:lineRule="auto"/>
        <w:ind w:firstLine="0"/>
        <w:jc w:val="left"/>
      </w:pPr>
      <w:bookmarkStart w:id="65" w:name="局部结构细节可视化评价协议"/>
      <w:r>
        <w:rPr>
          <w:rFonts w:ascii="Times New Roman" w:hAnsi="Times New Roman" w:eastAsia="黑体" w:cs="Times New Roman"/>
          <w:b/>
          <w:color w:val="000000"/>
          <w:sz w:val="21"/>
        </w:rPr>
        <w:t>5.3.2 局部结构细节可视化评价协议</w:t>
      </w:r>
    </w:p>
    <w:p w14:paraId="1BC694A6">
      <w:pPr>
        <w:spacing w:before="0" w:after="0" w:line="360" w:lineRule="auto"/>
        <w:ind w:firstLine="420"/>
        <w:jc w:val="both"/>
      </w:pPr>
      <w:r>
        <w:rPr>
          <w:rFonts w:ascii="Times New Roman" w:hAnsi="Times New Roman" w:eastAsia="楷体" w:cs="Times New Roman"/>
          <w:color w:val="000000"/>
          <w:sz w:val="21"/>
        </w:rPr>
        <w:t>局部结构细节可视化评价将作为横向对比实验的同步补充，而不作为当前已完成实验结果呈现。该部分的目标是检验定量指标提升是否真正对应结构恢复质量改善。SAR 图像中的建筑边界、道路纹理、岸线轮廓、农田周期结构、强散射点和弱对比度目标通常与 speckle 噪声共同分布于高频成分中，整幅图像的视觉观感容易掩盖局部过平滑、结构泄漏或伪影增强。因此，后续可视化实验将采用局部红框标注与局部放大对比相结合的方式，对不同方法在关键结构区域的恢复行为进行统一评价。</w:t>
      </w:r>
    </w:p>
    <w:p w14:paraId="7AB95FD3">
      <w:pPr>
        <w:spacing w:before="0" w:after="0" w:line="360" w:lineRule="auto"/>
        <w:ind w:firstLine="420"/>
        <w:jc w:val="both"/>
      </w:pPr>
      <w:r>
        <w:rPr>
          <w:rFonts w:ascii="Times New Roman" w:hAnsi="Times New Roman" w:eastAsia="楷体" w:cs="Times New Roman"/>
          <w:color w:val="000000"/>
          <w:sz w:val="21"/>
        </w:rPr>
        <w:t>每组可视化样例将在同一幅测试图像中选取 1–2 个具有判别意义的局部区域。红框位置应由 noisy image 或 clean reference 中的真实结构区域确定，并在所有方法输出中保持完全一致的裁剪坐标、红框尺寸、局部放大倍率和灰度显示动态范围。红框区域优先覆盖三类结构：建筑边缘、道路边界和岸线轮廓等强边缘区域，用于观察模型是否造成边缘扩散或梯度响应衰减；农田纹理、山地纹理和居民区密集纹理等细节区域，用于判断模型是否将真实纹理误判为噪声并产生过平滑；强散射点、亮斑目标和低对比度弱结构区域，用于分析模型是否削弱目标响应或引入局部伪影。该协议能够将红框标注从图像装饰转化为结构保持能力的定性评价工具。</w:t>
      </w:r>
    </w:p>
    <w:p w14:paraId="730848A2">
      <w:pPr>
        <w:spacing w:before="0" w:after="0" w:line="360" w:lineRule="auto"/>
        <w:ind w:firstLine="420"/>
        <w:jc w:val="both"/>
      </w:pPr>
      <w:r>
        <w:rPr>
          <w:rFonts w:ascii="Times New Roman" w:hAnsi="Times New Roman" w:eastAsia="楷体" w:cs="Times New Roman"/>
          <w:color w:val="000000"/>
          <w:sz w:val="21"/>
        </w:rPr>
        <w:t>合成 SAR 图像将系统展示 clean reference、noisy image、完整 DFNG-SARNet 输出、代表性基线方法输出、去模块消融版本输出、残差图和局部放大区域。若某一方法获得较高 PSNR 或 SSIM，但红框区域出现边缘变宽、纹理断裂或强散射点减弱，则说明全局重建误差下降并不完全等价于局部结构恢复质量提升。UCMerced 场景泛化结果将分别选择 agricultural、buildings 和 residential 样例，其中 agricultural 样例重点观察大面积平滑区域内的残留颗粒和农田周期纹理，buildings 样例重点观察规则边缘、角点和线状结构，residential 样例重点观察密集纹理与局部强散射响应。</w:t>
      </w:r>
    </w:p>
    <w:p w14:paraId="48D5BF40">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真实 SAR 图像将进一步展示 noisy image、DFNG-SARNet 输出、DFNG-SARNet+AMS 输出、代表性基线方法输出、ratio map 和 edge map。Ratio map 用于判断被去除成分中是否残留地物结构；若比值图中出现道路、建筑边界或纹理轮廓，说明模型可能将真实结构误判为噪声。Edge map 用于验证 EPI 提升是否对应真实边缘连续性增强；若边缘图中出现明显断裂或梯度弱化，即使 ENL 提升，也需要警惕过平滑风险。通过将局部放大图、残差图、比值图、边缘图与 PSNR、SSIM、ENL、M 和 EPI 联合分析，后续实验能够形成更完整的结构细节评价闭环。</w:t>
      </w:r>
    </w:p>
    <w:p w14:paraId="4DC4873A">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638800" cy="2819400"/>
            <wp:effectExtent l="0" t="0" r="0" b="0"/>
            <wp:docPr id="16" name="图片 16" descr="图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20"/>
                    <pic:cNvPicPr>
                      <a:picLocks noChangeAspect="1"/>
                    </pic:cNvPicPr>
                  </pic:nvPicPr>
                  <pic:blipFill>
                    <a:blip r:embed="rId26"/>
                    <a:stretch>
                      <a:fillRect/>
                    </a:stretch>
                  </pic:blipFill>
                  <pic:spPr>
                    <a:xfrm>
                      <a:off x="0" y="0"/>
                      <a:ext cx="5638800" cy="2819400"/>
                    </a:xfrm>
                    <a:prstGeom prst="rect">
                      <a:avLst/>
                    </a:prstGeom>
                  </pic:spPr>
                </pic:pic>
              </a:graphicData>
            </a:graphic>
          </wp:inline>
        </w:drawing>
      </w:r>
    </w:p>
    <w:p w14:paraId="75F54E53">
      <w:pPr>
        <w:pStyle w:val="12"/>
        <w:spacing w:before="60" w:after="60" w:line="240" w:lineRule="auto"/>
        <w:jc w:val="center"/>
      </w:pPr>
      <w:r>
        <w:rPr>
          <w:rFonts w:ascii="楷体" w:hAnsi="楷体" w:eastAsia="楷体" w:cs="楷体"/>
          <w:b w:val="0"/>
          <w:i w:val="0"/>
          <w:color w:val="000000"/>
          <w:sz w:val="18"/>
        </w:rPr>
        <w:t>图</w:t>
      </w:r>
      <w:r>
        <w:rPr>
          <w:rFonts w:hint="eastAsia" w:ascii="楷体" w:hAnsi="楷体" w:cs="楷体"/>
          <w:b w:val="0"/>
          <w:i w:val="0"/>
          <w:color w:val="000000"/>
          <w:sz w:val="18"/>
          <w:lang w:val="en-US" w:eastAsia="zh-CN"/>
        </w:rPr>
        <w:t>20</w:t>
      </w:r>
      <w:r>
        <w:rPr>
          <w:rFonts w:ascii="楷体" w:hAnsi="楷体" w:eastAsia="楷体" w:cs="楷体"/>
          <w:b w:val="0"/>
          <w:i w:val="0"/>
          <w:color w:val="000000"/>
          <w:sz w:val="18"/>
        </w:rPr>
        <w:t xml:space="preserve"> 局部结构细节可视化对比模板图</w:t>
      </w:r>
    </w:p>
    <w:bookmarkEnd w:id="65"/>
    <w:p w14:paraId="1CD069C0">
      <w:pPr>
        <w:pStyle w:val="5"/>
        <w:spacing w:before="120" w:after="60" w:line="360" w:lineRule="auto"/>
        <w:ind w:firstLine="0"/>
        <w:jc w:val="left"/>
      </w:pPr>
      <w:bookmarkStart w:id="66" w:name="真实-sar-分层结果细化分析"/>
      <w:r>
        <w:rPr>
          <w:rFonts w:ascii="Times New Roman" w:hAnsi="Times New Roman" w:eastAsia="黑体" w:cs="Times New Roman"/>
          <w:b/>
          <w:color w:val="000000"/>
          <w:sz w:val="21"/>
        </w:rPr>
        <w:t>5.3.3 真实 SAR 分层结果细化分析</w:t>
      </w:r>
    </w:p>
    <w:p w14:paraId="0B02F270">
      <w:pPr>
        <w:spacing w:before="0" w:after="0" w:line="360" w:lineRule="auto"/>
        <w:ind w:firstLine="420"/>
        <w:jc w:val="both"/>
      </w:pPr>
      <w:r>
        <w:rPr>
          <w:rFonts w:ascii="Times New Roman" w:hAnsi="Times New Roman" w:eastAsia="楷体" w:cs="Times New Roman"/>
          <w:color w:val="000000"/>
          <w:sz w:val="21"/>
        </w:rPr>
        <w:t>真实 SAR 结果分析将进一步围绕 homogeneous、structural 和 texture 三类样本展开。Homogeneous 样本侧重验证 ENL 提升是否对应真实 speckle 抑制；structural 样本侧重验证 EPI 提升是否对应边缘连续性增强；texture 样本侧重分析复杂纹理区域中 speckle 抑制与细节保留之间的平衡。该分层分析应与局部红框可视化保持一致，即每类场景均选择具有代表性的局部区域，并将无参考指标变化与视觉现象逐图对应。</w:t>
      </w:r>
    </w:p>
    <w:p w14:paraId="042F4F84">
      <w:pPr>
        <w:spacing w:before="0" w:after="0" w:line="360" w:lineRule="auto"/>
        <w:ind w:firstLine="420"/>
        <w:jc w:val="both"/>
      </w:pPr>
      <w:r>
        <w:rPr>
          <w:rFonts w:ascii="Times New Roman" w:hAnsi="Times New Roman" w:eastAsia="楷体" w:cs="Times New Roman"/>
          <w:color w:val="000000"/>
          <w:sz w:val="21"/>
        </w:rPr>
        <w:t xml:space="preserve">若后续局部样例中出现过平滑、纹理断裂或弱散射目标削弱现象，将进一步从微调学习率、mask ratio、微调 epoch 和 TV 正则项权重等角度优化 </w:t>
      </w:r>
      <w:r>
        <w:rPr>
          <w:rStyle w:val="38"/>
          <w:rFonts w:ascii="Times New Roman" w:hAnsi="Times New Roman" w:eastAsia="楷体" w:cs="Times New Roman"/>
          <w:color w:val="000000"/>
          <w:sz w:val="21"/>
        </w:rPr>
        <w:t>AMS</w:t>
      </w:r>
      <w:r>
        <w:rPr>
          <w:rFonts w:ascii="Times New Roman" w:hAnsi="Times New Roman" w:eastAsia="楷体" w:cs="Times New Roman"/>
          <w:color w:val="000000"/>
          <w:sz w:val="21"/>
        </w:rPr>
        <w:t xml:space="preserve"> 训练策略。若 homogeneous 样本 ENL 提升但 ratio map 中残留明显几何结构，则说明模型仍存在结构泄漏；若 structural 样本 EPI 提升但局部边缘出现扩散，则需要重新检查边缘指标与局部视觉现象的一致性；若 texture 样本 M 指标下降但纹理对比度同步降低，则需评估自监督适应是否引入纹理抑制。该分析将与自监督/无监督方法的真实 SAR 结果相互参照，以明确 DFNG-SARNet+AMS 的适用边界。</w:t>
      </w:r>
    </w:p>
    <w:bookmarkEnd w:id="66"/>
    <w:p w14:paraId="2BD19A84">
      <w:pPr>
        <w:pStyle w:val="5"/>
        <w:spacing w:before="120" w:after="60" w:line="360" w:lineRule="auto"/>
        <w:ind w:firstLine="0"/>
        <w:jc w:val="left"/>
      </w:pPr>
      <w:bookmarkStart w:id="67" w:name="论文结构凝练与下游应用验证"/>
      <w:r>
        <w:rPr>
          <w:rFonts w:ascii="Times New Roman" w:hAnsi="Times New Roman" w:eastAsia="黑体" w:cs="Times New Roman"/>
          <w:b/>
          <w:color w:val="000000"/>
          <w:sz w:val="21"/>
        </w:rPr>
        <w:t>5.3.4 论文结构凝练与下游应用验证</w:t>
      </w:r>
    </w:p>
    <w:p w14:paraId="6DC9C044">
      <w:pPr>
        <w:spacing w:before="0" w:after="0" w:line="360" w:lineRule="auto"/>
        <w:ind w:firstLine="420"/>
        <w:jc w:val="both"/>
      </w:pPr>
      <w:r>
        <w:rPr>
          <w:rFonts w:ascii="Times New Roman" w:hAnsi="Times New Roman" w:eastAsia="楷体" w:cs="Times New Roman"/>
          <w:color w:val="000000"/>
          <w:sz w:val="21"/>
        </w:rPr>
        <w:t>论文正文将进一步强化频域增强与双域恢复两条主线。方法部分将按照“Transformer-CNN 基础主干 → 多尺度解码 → FFT 频域增强 → 轻量噪声门控 → log/original 双域融合 → 真实 SAR 自监督适应”的顺序组织，使模型贡献由结构基础逐步过渡到 SAR speckle 特性适配。实验部分将按照“内部消融验证 → 代表性方法横向对比 → 合成场景泛化 → 真实 SAR 无参考评价 → 局部结构细节可视化 → 下游目标检测验证”的顺序组织，从而同时体现模块贡献、方法优势、真实域泛化和应用价值。</w:t>
      </w:r>
    </w:p>
    <w:p w14:paraId="1165E384">
      <w:pPr>
        <w:spacing w:before="0" w:after="0" w:line="360" w:lineRule="auto"/>
        <w:ind w:firstLine="420"/>
        <w:jc w:val="both"/>
        <w:rPr>
          <w:rFonts w:ascii="Times New Roman" w:hAnsi="Times New Roman" w:eastAsia="楷体" w:cs="Times New Roman"/>
          <w:color w:val="000000"/>
          <w:sz w:val="21"/>
        </w:rPr>
      </w:pPr>
      <w:r>
        <w:rPr>
          <w:rFonts w:ascii="Times New Roman" w:hAnsi="Times New Roman" w:eastAsia="楷体" w:cs="Times New Roman"/>
          <w:color w:val="000000"/>
          <w:sz w:val="21"/>
        </w:rPr>
        <w:t>下游应用验证将补充 SAR 舰船目标检测任务。该任务不重新设计检测模型，而是将 DFNG-SARNet 作为检测前处理模块，验证去噪结果是否能够改善检测特征质量。实验流程为：选取公开 SAR 舰船检测数据集，构建原始 SAR 图像输入组和去噪 SAR 图像输入组；两组数据采用相同检测网络、相同训练参数、相同测试集和相同评价标准；检测模型可选用 YOLO 系列轻量化检测器，并以 Faster R-CNN、RetinaNet/Focal Loss、COCO mAP 评价协议及 IoU/GIoU 边界框度量作为检测结果解释参照。评价指标包括 mAP、Precision、Recall、F1-score、漏检率、误检率和推理时间。若去噪后 mAP、Recall 或 F1-score 提升，说明 speckle 抑制有助于增强目标区域的判别特征；若 Recall 下降，则需要分析去噪过程是否削弱了弱散射小目标或低对比度目标；若检测性能无明显变化，则说明模型主要改善图像复原指标，而对检测特征增益有限。</w:t>
      </w:r>
    </w:p>
    <w:p w14:paraId="0CF17256">
      <w:pPr>
        <w:spacing w:before="0" w:after="0" w:line="360" w:lineRule="auto"/>
        <w:ind w:left="0" w:leftChars="0" w:firstLine="0" w:firstLineChars="0"/>
        <w:jc w:val="both"/>
        <w:rPr>
          <w:rFonts w:hint="eastAsia" w:ascii="Times New Roman" w:hAnsi="Times New Roman" w:eastAsia="楷体" w:cs="Times New Roman"/>
          <w:color w:val="000000"/>
          <w:sz w:val="21"/>
          <w:lang w:eastAsia="zh-CN"/>
        </w:rPr>
      </w:pPr>
      <w:r>
        <w:rPr>
          <w:rFonts w:hint="eastAsia" w:ascii="Times New Roman" w:hAnsi="Times New Roman" w:eastAsia="楷体" w:cs="Times New Roman"/>
          <w:color w:val="000000"/>
          <w:sz w:val="21"/>
          <w:lang w:eastAsia="zh-CN"/>
        </w:rPr>
        <w:drawing>
          <wp:inline distT="0" distB="0" distL="114300" distR="114300">
            <wp:extent cx="5379720" cy="2411730"/>
            <wp:effectExtent l="0" t="0" r="0" b="11430"/>
            <wp:docPr id="17" name="图片 17" descr="图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21"/>
                    <pic:cNvPicPr>
                      <a:picLocks noChangeAspect="1"/>
                    </pic:cNvPicPr>
                  </pic:nvPicPr>
                  <pic:blipFill>
                    <a:blip r:embed="rId27"/>
                    <a:srcRect t="8292" r="-458" b="11613"/>
                    <a:stretch>
                      <a:fillRect/>
                    </a:stretch>
                  </pic:blipFill>
                  <pic:spPr>
                    <a:xfrm>
                      <a:off x="0" y="0"/>
                      <a:ext cx="5379720" cy="2411730"/>
                    </a:xfrm>
                    <a:prstGeom prst="rect">
                      <a:avLst/>
                    </a:prstGeom>
                  </pic:spPr>
                </pic:pic>
              </a:graphicData>
            </a:graphic>
          </wp:inline>
        </w:drawing>
      </w:r>
    </w:p>
    <w:p w14:paraId="5615B956">
      <w:pPr>
        <w:pStyle w:val="12"/>
        <w:spacing w:before="60" w:after="60" w:line="240" w:lineRule="auto"/>
        <w:jc w:val="center"/>
      </w:pPr>
      <w:r>
        <w:rPr>
          <w:rFonts w:ascii="楷体" w:hAnsi="楷体" w:eastAsia="楷体" w:cs="楷体"/>
          <w:b w:val="0"/>
          <w:i w:val="0"/>
          <w:color w:val="000000"/>
          <w:sz w:val="18"/>
        </w:rPr>
        <w:t>图</w:t>
      </w:r>
      <w:r>
        <w:rPr>
          <w:rFonts w:hint="eastAsia" w:ascii="楷体" w:hAnsi="楷体" w:cs="楷体"/>
          <w:b w:val="0"/>
          <w:i w:val="0"/>
          <w:color w:val="000000"/>
          <w:sz w:val="18"/>
          <w:lang w:val="en-US" w:eastAsia="zh-CN"/>
        </w:rPr>
        <w:t>21</w:t>
      </w:r>
      <w:r>
        <w:rPr>
          <w:rFonts w:ascii="楷体" w:hAnsi="楷体" w:eastAsia="楷体" w:cs="楷体"/>
          <w:b w:val="0"/>
          <w:i w:val="0"/>
          <w:color w:val="000000"/>
          <w:sz w:val="18"/>
        </w:rPr>
        <w:t xml:space="preserve"> </w:t>
      </w:r>
      <w:r>
        <w:rPr>
          <w:rFonts w:hint="eastAsia" w:ascii="楷体" w:hAnsi="楷体" w:cs="楷体"/>
          <w:b w:val="0"/>
          <w:i w:val="0"/>
          <w:color w:val="000000"/>
          <w:sz w:val="18"/>
          <w:lang w:val="en-US" w:eastAsia="zh-CN"/>
        </w:rPr>
        <w:t xml:space="preserve"> </w:t>
      </w:r>
      <w:r>
        <w:rPr>
          <w:rFonts w:ascii="楷体" w:hAnsi="楷体" w:eastAsia="楷体" w:cs="楷体"/>
          <w:b w:val="0"/>
          <w:i w:val="0"/>
          <w:color w:val="000000"/>
          <w:sz w:val="18"/>
        </w:rPr>
        <w:t>SAR舰船目标检测下游验证示意图</w:t>
      </w:r>
    </w:p>
    <w:p w14:paraId="4F83A831">
      <w:pPr>
        <w:spacing w:before="0" w:after="0" w:line="360" w:lineRule="auto"/>
        <w:ind w:firstLine="420"/>
        <w:jc w:val="both"/>
      </w:pPr>
      <w:r>
        <w:rPr>
          <w:rFonts w:ascii="Times New Roman" w:hAnsi="Times New Roman" w:eastAsia="楷体" w:cs="Times New Roman"/>
          <w:color w:val="000000"/>
          <w:sz w:val="21"/>
        </w:rPr>
        <w:t>论文后续章节将按照“噪声模型与数据构建—频域增强双域网络—真实 SAR 自监督适应—合成与真实 SAR 去噪实验—去模块消融与代表性方法横向对比—局部结构细节可视化与真实 SAR 场景分层评价—SAR 舰船目标检测下游验证”的技术链条组织。该组织方式能够与开题报告中“基于深度学习的 SAR 去噪算法研究及其应用”的整体方向保持一致，同时突出中期阶段已经完成的模型设计、数据构建、消融验证和真实 SAR 域适应实验，并进一步补强与既有 SAR 去噪方法之间的外部比较证据。</w:t>
      </w:r>
    </w:p>
    <w:bookmarkEnd w:id="60"/>
    <w:bookmarkEnd w:id="63"/>
    <w:bookmarkEnd w:id="67"/>
    <w:p w14:paraId="090D9089">
      <w:pPr>
        <w:pStyle w:val="2"/>
        <w:spacing w:before="120" w:after="60" w:line="360" w:lineRule="auto"/>
        <w:ind w:firstLine="0"/>
        <w:jc w:val="left"/>
      </w:pPr>
      <w:bookmarkStart w:id="68" w:name="参考文献"/>
      <w:r>
        <w:rPr>
          <w:rFonts w:ascii="Times New Roman" w:hAnsi="Times New Roman" w:eastAsia="黑体" w:cs="Times New Roman"/>
          <w:b/>
          <w:color w:val="000000"/>
          <w:sz w:val="28"/>
        </w:rPr>
        <w:t>参考文献</w:t>
      </w:r>
    </w:p>
    <w:p w14:paraId="73CB18A1">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 J. W. Goodman, “Some fundamental properties of speckle,” </w:t>
      </w:r>
      <w:r>
        <w:rPr>
          <w:rFonts w:ascii="Times New Roman" w:hAnsi="Times New Roman" w:eastAsia="宋体" w:cs="Times New Roman"/>
          <w:i/>
          <w:iCs/>
          <w:color w:val="000000"/>
          <w:sz w:val="18"/>
        </w:rPr>
        <w:t>Journal of the Optical Society of America</w:t>
      </w:r>
      <w:r>
        <w:rPr>
          <w:rFonts w:ascii="Times New Roman" w:hAnsi="Times New Roman" w:eastAsia="宋体" w:cs="Times New Roman"/>
          <w:color w:val="000000"/>
          <w:sz w:val="18"/>
        </w:rPr>
        <w:t>, vol. 66, no. 11, pp. 1145–1150, 1976, doi: 10.1364/JOSA.66.001145.</w:t>
      </w:r>
    </w:p>
    <w:p w14:paraId="10881B4D">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 R. Touzi, “A review of speckle filtering in the context of estimation theory,” </w:t>
      </w:r>
      <w:r>
        <w:rPr>
          <w:rFonts w:ascii="Times New Roman" w:hAnsi="Times New Roman" w:eastAsia="宋体" w:cs="Times New Roman"/>
          <w:i/>
          <w:iCs/>
          <w:color w:val="000000"/>
          <w:sz w:val="18"/>
        </w:rPr>
        <w:t>IEEE Transactions on Geoscience and Remote Sensing</w:t>
      </w:r>
      <w:r>
        <w:rPr>
          <w:rFonts w:ascii="Times New Roman" w:hAnsi="Times New Roman" w:eastAsia="宋体" w:cs="Times New Roman"/>
          <w:color w:val="000000"/>
          <w:sz w:val="18"/>
        </w:rPr>
        <w:t>, vol. 40, no. 11, pp. 2392–2404, 2002, doi: 10.1109/TGRS.2002.803727.</w:t>
      </w:r>
    </w:p>
    <w:p w14:paraId="0D54912D">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 J.-S. Lee, “Digital image enhancement and noise filtering by use of local statistics,” </w:t>
      </w:r>
      <w:r>
        <w:rPr>
          <w:rFonts w:ascii="Times New Roman" w:hAnsi="Times New Roman" w:eastAsia="宋体" w:cs="Times New Roman"/>
          <w:i/>
          <w:iCs/>
          <w:color w:val="000000"/>
          <w:sz w:val="18"/>
        </w:rPr>
        <w:t>IEEE Transactions on Pattern Analysis and Machine Intelligence</w:t>
      </w:r>
      <w:r>
        <w:rPr>
          <w:rFonts w:ascii="Times New Roman" w:hAnsi="Times New Roman" w:eastAsia="宋体" w:cs="Times New Roman"/>
          <w:color w:val="000000"/>
          <w:sz w:val="18"/>
        </w:rPr>
        <w:t>, vol. PAMI-2, no. 2, pp. 165–168, 1980, doi: 10.1109/TPAMI.1980.4766994.</w:t>
      </w:r>
    </w:p>
    <w:p w14:paraId="46828126">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 D. T. Kuan, A. A. Sawchuk, T. C. Strand, and P. Chavel, “Adaptive noise smoothing filter for images with signal-dependent noise,” </w:t>
      </w:r>
      <w:r>
        <w:rPr>
          <w:rFonts w:ascii="Times New Roman" w:hAnsi="Times New Roman" w:eastAsia="宋体" w:cs="Times New Roman"/>
          <w:i/>
          <w:iCs/>
          <w:color w:val="000000"/>
          <w:sz w:val="18"/>
        </w:rPr>
        <w:t>IEEE Transactions on Pattern Analysis and Machine Intelligence</w:t>
      </w:r>
      <w:r>
        <w:rPr>
          <w:rFonts w:ascii="Times New Roman" w:hAnsi="Times New Roman" w:eastAsia="宋体" w:cs="Times New Roman"/>
          <w:color w:val="000000"/>
          <w:sz w:val="18"/>
        </w:rPr>
        <w:t>, vol. PAMI-7, no. 2, pp. 165–177, 1985, doi: 10.1109/TPAMI.1985.4767641.</w:t>
      </w:r>
    </w:p>
    <w:p w14:paraId="11B3AB7D">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 V. S. Frost, J. A. Stiles, K. S. Shanmugan, and J. C. Holtzman, “A model for radar images and its application to adaptive digital filtering of multiplicative noise,” </w:t>
      </w:r>
      <w:r>
        <w:rPr>
          <w:rFonts w:ascii="Times New Roman" w:hAnsi="Times New Roman" w:eastAsia="宋体" w:cs="Times New Roman"/>
          <w:i/>
          <w:iCs/>
          <w:color w:val="000000"/>
          <w:sz w:val="18"/>
        </w:rPr>
        <w:t>IEEE Transactions on Pattern Analysis and Machine Intelligence</w:t>
      </w:r>
      <w:r>
        <w:rPr>
          <w:rFonts w:ascii="Times New Roman" w:hAnsi="Times New Roman" w:eastAsia="宋体" w:cs="Times New Roman"/>
          <w:color w:val="000000"/>
          <w:sz w:val="18"/>
        </w:rPr>
        <w:t>, vol. PAMI-4, no. 2, pp. 157–166, 1982, doi: 10.1109/TPAMI.1982.4767223.</w:t>
      </w:r>
    </w:p>
    <w:p w14:paraId="425366DD">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[6] S. Parrilli, M. Poderico, C. V. Angelino, and L. Verdoliva, “A nonlocal SAR image denoising algorithm based on LLMMSE wavelet shrinkage,” </w:t>
      </w:r>
      <w:r>
        <w:rPr>
          <w:rFonts w:ascii="Times New Roman" w:hAnsi="Times New Roman" w:eastAsia="宋体" w:cs="Times New Roman"/>
          <w:i/>
          <w:iCs/>
          <w:color w:val="000000"/>
          <w:sz w:val="18"/>
        </w:rPr>
        <w:t>IEEE Transactions on Geoscience and Remote Sensing</w:t>
      </w:r>
      <w:r>
        <w:rPr>
          <w:rFonts w:ascii="Times New Roman" w:hAnsi="Times New Roman" w:eastAsia="宋体" w:cs="Times New Roman"/>
          <w:color w:val="000000"/>
          <w:sz w:val="18"/>
        </w:rPr>
        <w:t>, vol. 50, no. 2, pp. 606–616, 2012, doi: 10.1109/TGRS.2011.2161586.</w:t>
      </w:r>
    </w:p>
    <w:p w14:paraId="0BAA2B40">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[7] G. Chierchia, D. Cozzolino, G. Poggi, and L. Verdoliva, “SAR image despeckling through convolutional neural networks,” in </w:t>
      </w:r>
      <w:r>
        <w:rPr>
          <w:rFonts w:ascii="Times New Roman" w:hAnsi="Times New Roman" w:eastAsia="宋体" w:cs="Times New Roman"/>
          <w:i/>
          <w:iCs/>
          <w:color w:val="000000"/>
          <w:sz w:val="18"/>
        </w:rPr>
        <w:t>Proceedings of the IEEE International Geoscience and Remote Sensing Symposium (IGARSS)</w:t>
      </w:r>
      <w:r>
        <w:rPr>
          <w:rFonts w:ascii="Times New Roman" w:hAnsi="Times New Roman" w:eastAsia="宋体" w:cs="Times New Roman"/>
          <w:color w:val="000000"/>
          <w:sz w:val="18"/>
        </w:rPr>
        <w:t>, Fort Worth, TX, USA, 2017, pp. 5438–5441, doi: 10.1109/IGARSS.2017.8128234.</w:t>
      </w:r>
    </w:p>
    <w:p w14:paraId="180B3426">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[8] P. Wang, H. Zhang, and V. M. Patel, “SAR image despeckling using a convolutional neural network,” </w:t>
      </w:r>
      <w:r>
        <w:rPr>
          <w:rFonts w:ascii="Times New Roman" w:hAnsi="Times New Roman" w:eastAsia="宋体" w:cs="Times New Roman"/>
          <w:i/>
          <w:iCs/>
          <w:color w:val="000000"/>
          <w:sz w:val="18"/>
        </w:rPr>
        <w:t>IEEE Signal Processing Letters</w:t>
      </w:r>
      <w:r>
        <w:rPr>
          <w:rFonts w:ascii="Times New Roman" w:hAnsi="Times New Roman" w:eastAsia="宋体" w:cs="Times New Roman"/>
          <w:color w:val="000000"/>
          <w:sz w:val="18"/>
        </w:rPr>
        <w:t>, vol. 24, no. 12, pp. 1763–1767, 2017, doi: 10.1109/LSP.2017.2758203.</w:t>
      </w:r>
    </w:p>
    <w:p w14:paraId="006EE5C0">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[9] Q. Zhang, Q. Yuan, J. Li, Z. Yang, and X. Ma, “Learning a dilated residual network for SAR image despeckling,” </w:t>
      </w:r>
      <w:r>
        <w:rPr>
          <w:rFonts w:ascii="Times New Roman" w:hAnsi="Times New Roman" w:eastAsia="宋体" w:cs="Times New Roman"/>
          <w:i/>
          <w:iCs/>
          <w:color w:val="000000"/>
          <w:sz w:val="18"/>
        </w:rPr>
        <w:t>Remote Sensing</w:t>
      </w:r>
      <w:r>
        <w:rPr>
          <w:rFonts w:ascii="Times New Roman" w:hAnsi="Times New Roman" w:eastAsia="宋体" w:cs="Times New Roman"/>
          <w:color w:val="000000"/>
          <w:sz w:val="18"/>
        </w:rPr>
        <w:t>, vol. 10, no. 1, Art. no. 18, 2018, doi: 10.3390/rs10010018.</w:t>
      </w:r>
    </w:p>
    <w:p w14:paraId="203DA8D3">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[10] M. V. Perera, W. G. C. Bandara, J. M. J. Valanarasu, and V. M. Patel, “Transformer-based SAR image despeckling,” in </w:t>
      </w:r>
      <w:r>
        <w:rPr>
          <w:rFonts w:ascii="Times New Roman" w:hAnsi="Times New Roman" w:eastAsia="宋体" w:cs="Times New Roman"/>
          <w:i/>
          <w:iCs/>
          <w:color w:val="000000"/>
          <w:sz w:val="18"/>
        </w:rPr>
        <w:t>Proceedings of the IEEE International Geoscience and Remote Sensing Symposium (IGARSS)</w:t>
      </w:r>
      <w:r>
        <w:rPr>
          <w:rFonts w:ascii="Times New Roman" w:hAnsi="Times New Roman" w:eastAsia="宋体" w:cs="Times New Roman"/>
          <w:color w:val="000000"/>
          <w:sz w:val="18"/>
        </w:rPr>
        <w:t>, Kuala Lumpur, Malaysia, 2022, pp. 751–754, doi: 10.1109/IGARSS46834.2022.9884596.</w:t>
      </w:r>
    </w:p>
    <w:p w14:paraId="4557CA5A">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[11] A. Vaswani, N. Shazeer, N. Parmar, J. Uszkoreit, L. Jones, A. N. Gomez, Ł. Kaiser, and I. Polosukhin, “Attention is all you need,” in </w:t>
      </w:r>
      <w:r>
        <w:rPr>
          <w:rFonts w:ascii="Times New Roman" w:hAnsi="Times New Roman" w:eastAsia="宋体" w:cs="Times New Roman"/>
          <w:i/>
          <w:iCs/>
          <w:color w:val="000000"/>
          <w:sz w:val="18"/>
        </w:rPr>
        <w:t>Advances in Neural Information Processing Systems</w:t>
      </w:r>
      <w:r>
        <w:rPr>
          <w:rFonts w:ascii="Times New Roman" w:hAnsi="Times New Roman" w:eastAsia="宋体" w:cs="Times New Roman"/>
          <w:color w:val="000000"/>
          <w:sz w:val="18"/>
        </w:rPr>
        <w:t>, vol. 30, pp. 5998–6008, 2017.</w:t>
      </w:r>
    </w:p>
    <w:p w14:paraId="6C7A485C">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[12] Z. Wang, X. Cun, J. Bao, W. Zhou, J. Liu, and H. Li, “Uformer: A general U-shaped transformer for image restoration,” in </w:t>
      </w:r>
      <w:r>
        <w:rPr>
          <w:rFonts w:ascii="Times New Roman" w:hAnsi="Times New Roman" w:eastAsia="宋体" w:cs="Times New Roman"/>
          <w:i/>
          <w:iCs/>
          <w:color w:val="000000"/>
          <w:sz w:val="18"/>
        </w:rPr>
        <w:t>Proceedings of the IEEE/CVF Conference on Computer Vision and Pattern Recognition (CVPR)</w:t>
      </w:r>
      <w:r>
        <w:rPr>
          <w:rFonts w:ascii="Times New Roman" w:hAnsi="Times New Roman" w:eastAsia="宋体" w:cs="Times New Roman"/>
          <w:color w:val="000000"/>
          <w:sz w:val="18"/>
        </w:rPr>
        <w:t>, New Orleans, LA, USA, 2022, pp. 17662–17672, doi: 10.1109/CVPR52688.2022.01716.</w:t>
      </w:r>
    </w:p>
    <w:p w14:paraId="3FFA6AEF">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[13] S. W. Zamir, A. Arora, S. Khan, M. Hayat, F. S. Khan, M.-H. Yang, and L. Shao, “Restormer: Efficient transformer for high-resolution image restoration,” in </w:t>
      </w:r>
      <w:r>
        <w:rPr>
          <w:rFonts w:ascii="Times New Roman" w:hAnsi="Times New Roman" w:eastAsia="宋体" w:cs="Times New Roman"/>
          <w:i/>
          <w:iCs/>
          <w:color w:val="000000"/>
          <w:sz w:val="18"/>
        </w:rPr>
        <w:t>Proceedings of the IEEE/CVF Conference on Computer Vision and Pattern Recognition (CVPR)</w:t>
      </w:r>
      <w:r>
        <w:rPr>
          <w:rFonts w:ascii="Times New Roman" w:hAnsi="Times New Roman" w:eastAsia="宋体" w:cs="Times New Roman"/>
          <w:color w:val="000000"/>
          <w:sz w:val="18"/>
        </w:rPr>
        <w:t>, New Orleans, LA, USA, 2022, pp. 5728–5739, doi: 10.1109/CVPR52688.2022.00564.</w:t>
      </w:r>
    </w:p>
    <w:p w14:paraId="5128CF41">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[14] L. Zhang, Y. Zhang, and H. Zhang, “Effective SAR image despeckling using noise-guided transformer and multi-scale feature fusion,” </w:t>
      </w:r>
      <w:r>
        <w:rPr>
          <w:rFonts w:ascii="Times New Roman" w:hAnsi="Times New Roman" w:eastAsia="宋体" w:cs="Times New Roman"/>
          <w:i/>
          <w:iCs/>
          <w:color w:val="000000"/>
          <w:sz w:val="18"/>
        </w:rPr>
        <w:t>Remote Sensing</w:t>
      </w:r>
      <w:r>
        <w:rPr>
          <w:rFonts w:ascii="Times New Roman" w:hAnsi="Times New Roman" w:eastAsia="宋体" w:cs="Times New Roman"/>
          <w:color w:val="000000"/>
          <w:sz w:val="18"/>
        </w:rPr>
        <w:t>, vol. 17, no. 23, Art. no. 3863, 2025, doi: 10.3390/rs17233863.</w:t>
      </w:r>
    </w:p>
    <w:p w14:paraId="05916C8F">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[15] E. Dalsasso, L. Denis, and F. Tupin, “SAR2SAR: A semi-supervised despeckling algorithm for SAR images,” </w:t>
      </w:r>
      <w:r>
        <w:rPr>
          <w:rFonts w:ascii="Times New Roman" w:hAnsi="Times New Roman" w:eastAsia="宋体" w:cs="Times New Roman"/>
          <w:i/>
          <w:iCs/>
          <w:color w:val="000000"/>
          <w:sz w:val="18"/>
        </w:rPr>
        <w:t>IEEE Journal of Selected Topics in Applied Earth Observations and Remote Sensing</w:t>
      </w:r>
      <w:r>
        <w:rPr>
          <w:rFonts w:ascii="Times New Roman" w:hAnsi="Times New Roman" w:eastAsia="宋体" w:cs="Times New Roman"/>
          <w:color w:val="000000"/>
          <w:sz w:val="18"/>
        </w:rPr>
        <w:t>, vol. 14, pp. 4321–4329, 2021, doi: 10.1109/JSTARS.2021.3071864.</w:t>
      </w:r>
    </w:p>
    <w:p w14:paraId="35393209">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[16] A. B. Molini, D. Valsesia, G. Fracastoro, and E. Magli, “Speckle2Void: Deep self-supervised SAR despeckling with blind-spot convolutional neural networks,” </w:t>
      </w:r>
      <w:r>
        <w:rPr>
          <w:rFonts w:ascii="Times New Roman" w:hAnsi="Times New Roman" w:eastAsia="宋体" w:cs="Times New Roman"/>
          <w:i/>
          <w:iCs/>
          <w:color w:val="000000"/>
          <w:sz w:val="18"/>
        </w:rPr>
        <w:t>IEEE Transactions on Geoscience and Remote Sensing</w:t>
      </w:r>
      <w:r>
        <w:rPr>
          <w:rFonts w:ascii="Times New Roman" w:hAnsi="Times New Roman" w:eastAsia="宋体" w:cs="Times New Roman"/>
          <w:color w:val="000000"/>
          <w:sz w:val="18"/>
        </w:rPr>
        <w:t>, vol. 60, pp. 1–17, 2022, doi: 10.1109/TGRS.2021.3065461.</w:t>
      </w:r>
    </w:p>
    <w:p w14:paraId="4FDA6E82">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[17] E. Dalsasso, L. Denis, and F. Tupin, “As if by magic: Self-supervised training of deep despeckling networks with MERLIN,” </w:t>
      </w:r>
      <w:r>
        <w:rPr>
          <w:rFonts w:ascii="Times New Roman" w:hAnsi="Times New Roman" w:eastAsia="宋体" w:cs="Times New Roman"/>
          <w:i/>
          <w:iCs/>
          <w:color w:val="000000"/>
          <w:sz w:val="18"/>
        </w:rPr>
        <w:t>IEEE Transactions on Geoscience and Remote Sensing</w:t>
      </w:r>
      <w:r>
        <w:rPr>
          <w:rFonts w:ascii="Times New Roman" w:hAnsi="Times New Roman" w:eastAsia="宋体" w:cs="Times New Roman"/>
          <w:color w:val="000000"/>
          <w:sz w:val="18"/>
        </w:rPr>
        <w:t>, vol. 60, pp. 1–13, 2022, doi: 10.1109/TGRS.2021.3128621.</w:t>
      </w:r>
    </w:p>
    <w:p w14:paraId="28BE2514">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[18] J.-W. Deng, M.-D. Li, and S.-W. Chen, “Sublook2Sublook: A self-supervised speckle filtering framework for single SAR images,” </w:t>
      </w:r>
      <w:r>
        <w:rPr>
          <w:rFonts w:ascii="Times New Roman" w:hAnsi="Times New Roman" w:eastAsia="宋体" w:cs="Times New Roman"/>
          <w:i/>
          <w:iCs/>
          <w:color w:val="000000"/>
          <w:sz w:val="18"/>
        </w:rPr>
        <w:t>IEEE Transactions on Geoscience and Remote Sensing</w:t>
      </w:r>
      <w:r>
        <w:rPr>
          <w:rFonts w:ascii="Times New Roman" w:hAnsi="Times New Roman" w:eastAsia="宋体" w:cs="Times New Roman"/>
          <w:color w:val="000000"/>
          <w:sz w:val="18"/>
        </w:rPr>
        <w:t>, vol. 62, pp. 1–13, 2024, doi: 10.1109/TGRS.2024.3397815.</w:t>
      </w:r>
    </w:p>
    <w:p w14:paraId="585D8912">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[19] L. Kong, J. Dong, J. Ge, M. Li, and J. Pan, “Efficient frequency domain-based transformers for high-quality image deblurring,” in </w:t>
      </w:r>
      <w:r>
        <w:rPr>
          <w:rFonts w:ascii="Times New Roman" w:hAnsi="Times New Roman" w:eastAsia="宋体" w:cs="Times New Roman"/>
          <w:i/>
          <w:iCs/>
          <w:color w:val="000000"/>
          <w:sz w:val="18"/>
        </w:rPr>
        <w:t>Proceedings of the IEEE/CVF Conference on Computer Vision and Pattern Recognition (CVPR)</w:t>
      </w:r>
      <w:r>
        <w:rPr>
          <w:rFonts w:ascii="Times New Roman" w:hAnsi="Times New Roman" w:eastAsia="宋体" w:cs="Times New Roman"/>
          <w:color w:val="000000"/>
          <w:sz w:val="18"/>
        </w:rPr>
        <w:t>, Vancouver, BC, Canada, 2023, pp. 5886–5895.</w:t>
      </w:r>
    </w:p>
    <w:p w14:paraId="11BD81D0">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[20] X. Zhao, L. Zhao, and G. Kuang, “Synthetic aperture radar image despeckling based on a frequency domain decomposition network,” </w:t>
      </w:r>
      <w:r>
        <w:rPr>
          <w:rFonts w:ascii="Times New Roman" w:hAnsi="Times New Roman" w:eastAsia="宋体" w:cs="Times New Roman"/>
          <w:i/>
          <w:iCs/>
          <w:color w:val="000000"/>
          <w:sz w:val="18"/>
        </w:rPr>
        <w:t>Electronics</w:t>
      </w:r>
      <w:r>
        <w:rPr>
          <w:rFonts w:ascii="Times New Roman" w:hAnsi="Times New Roman" w:eastAsia="宋体" w:cs="Times New Roman"/>
          <w:color w:val="000000"/>
          <w:sz w:val="18"/>
        </w:rPr>
        <w:t>, vol. 13, no. 3, Art. no. 490, 2024, doi: 10.3390/electronics13030490.</w:t>
      </w:r>
    </w:p>
    <w:p w14:paraId="378C4887">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[21] J. Lehtinen, J. Munkberg, J. Hasselgren, S. Laine, T. Karras, M. Aittala, and T. Aila, “Noise2Noise: Learning image restoration without clean data,” in </w:t>
      </w:r>
      <w:r>
        <w:rPr>
          <w:rFonts w:ascii="Times New Roman" w:hAnsi="Times New Roman" w:eastAsia="宋体" w:cs="Times New Roman"/>
          <w:i/>
          <w:iCs/>
          <w:color w:val="000000"/>
          <w:sz w:val="18"/>
        </w:rPr>
        <w:t>Proceedings of the 35th International Conference on Machine Learning (ICML)</w:t>
      </w:r>
      <w:r>
        <w:rPr>
          <w:rFonts w:ascii="Times New Roman" w:hAnsi="Times New Roman" w:eastAsia="宋体" w:cs="Times New Roman"/>
          <w:color w:val="000000"/>
          <w:sz w:val="18"/>
        </w:rPr>
        <w:t>, Stockholm, Sweden, 2018, pp. 2965–2974.</w:t>
      </w:r>
    </w:p>
    <w:p w14:paraId="128E618C">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[22] A. Krull, T.-O. Buchholz, and F. Jug, “Noise2Void: Learning denoising from single noisy images,” in </w:t>
      </w:r>
      <w:r>
        <w:rPr>
          <w:rFonts w:ascii="Times New Roman" w:hAnsi="Times New Roman" w:eastAsia="宋体" w:cs="Times New Roman"/>
          <w:i/>
          <w:iCs/>
          <w:color w:val="000000"/>
          <w:sz w:val="18"/>
        </w:rPr>
        <w:t>Proceedings of the IEEE/CVF Conference on Computer Vision and Pattern Recognition (CVPR)</w:t>
      </w:r>
      <w:r>
        <w:rPr>
          <w:rFonts w:ascii="Times New Roman" w:hAnsi="Times New Roman" w:eastAsia="宋体" w:cs="Times New Roman"/>
          <w:color w:val="000000"/>
          <w:sz w:val="18"/>
        </w:rPr>
        <w:t>, Long Beach, CA, USA, 2019, pp. 2129–2137, doi: 10.1109/CVPR.2019.00223.</w:t>
      </w:r>
    </w:p>
    <w:p w14:paraId="6321DAB2">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[23] G. Cheng, J. Han, and X. Lu, “Remote sensing image scene classification: Benchmark and state of the art,” </w:t>
      </w:r>
      <w:r>
        <w:rPr>
          <w:rFonts w:ascii="Times New Roman" w:hAnsi="Times New Roman" w:eastAsia="宋体" w:cs="Times New Roman"/>
          <w:i/>
          <w:iCs/>
          <w:color w:val="000000"/>
          <w:sz w:val="18"/>
        </w:rPr>
        <w:t>Proceedings of the IEEE</w:t>
      </w:r>
      <w:r>
        <w:rPr>
          <w:rFonts w:ascii="Times New Roman" w:hAnsi="Times New Roman" w:eastAsia="宋体" w:cs="Times New Roman"/>
          <w:color w:val="000000"/>
          <w:sz w:val="18"/>
        </w:rPr>
        <w:t>, vol. 105, no. 10, pp. 1865–1883, 2017, doi: 10.1109/JPROC.2017.2675998.</w:t>
      </w:r>
    </w:p>
    <w:p w14:paraId="71892321">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[24] Y. Yang and S. Newsam, “Bag-of-visual-words and spatial extensions for land-use classification,” in </w:t>
      </w:r>
      <w:r>
        <w:rPr>
          <w:rFonts w:ascii="Times New Roman" w:hAnsi="Times New Roman" w:eastAsia="宋体" w:cs="Times New Roman"/>
          <w:i/>
          <w:iCs/>
          <w:color w:val="000000"/>
          <w:sz w:val="18"/>
        </w:rPr>
        <w:t>Proceedings of the 18th ACM SIGSPATIAL International Conference on Advances in Geographic Information Systems</w:t>
      </w:r>
      <w:r>
        <w:rPr>
          <w:rFonts w:ascii="Times New Roman" w:hAnsi="Times New Roman" w:eastAsia="宋体" w:cs="Times New Roman"/>
          <w:color w:val="000000"/>
          <w:sz w:val="18"/>
        </w:rPr>
        <w:t>, San Jose, CA, USA, 2010, pp. 270–279, doi: 10.1145/1869790.1869829.</w:t>
      </w:r>
    </w:p>
    <w:p w14:paraId="18B79D1F">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[25] R. Vasquez, A. A. Cardona-Mesa, L. Gómez, C. M. Travieso-González, A. Garavito Gonzalez, and E. Vásquez-Cano, “Labeled dataset for despeckling SAR imagery,” </w:t>
      </w:r>
      <w:r>
        <w:rPr>
          <w:rFonts w:ascii="Times New Roman" w:hAnsi="Times New Roman" w:eastAsia="宋体" w:cs="Times New Roman"/>
          <w:i/>
          <w:iCs/>
          <w:color w:val="000000"/>
          <w:sz w:val="18"/>
        </w:rPr>
        <w:t>Mendeley Data</w:t>
      </w:r>
      <w:r>
        <w:rPr>
          <w:rFonts w:ascii="Times New Roman" w:hAnsi="Times New Roman" w:eastAsia="宋体" w:cs="Times New Roman"/>
          <w:color w:val="000000"/>
          <w:sz w:val="18"/>
        </w:rPr>
        <w:t>, Version 1, 2024, doi: 10.17632/fs455tz88y.1.</w:t>
      </w:r>
    </w:p>
    <w:p w14:paraId="72484CB6">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[26] R. D. Vásquez-Salazar, A. A. Cardona-Mesa, L. Gómez, C. M. Travieso-González, A. F. Garavito-González, and E. Vásquez-Cano, “Labeled dataset for training despeckling filters for SAR imagery,” </w:t>
      </w:r>
      <w:r>
        <w:rPr>
          <w:rFonts w:ascii="Times New Roman" w:hAnsi="Times New Roman" w:eastAsia="宋体" w:cs="Times New Roman"/>
          <w:i/>
          <w:iCs/>
          <w:color w:val="000000"/>
          <w:sz w:val="18"/>
        </w:rPr>
        <w:t>Data in Brief</w:t>
      </w:r>
      <w:r>
        <w:rPr>
          <w:rFonts w:ascii="Times New Roman" w:hAnsi="Times New Roman" w:eastAsia="宋体" w:cs="Times New Roman"/>
          <w:color w:val="000000"/>
          <w:sz w:val="18"/>
        </w:rPr>
        <w:t>, vol. 53, Art. no. 110065, 2024, doi: 10.1016/j.dib.2024.110065.</w:t>
      </w:r>
    </w:p>
    <w:p w14:paraId="1A6693C8">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[27] Z. Wang, A. C. Bovik, H. R. Sheikh, and E. P. Simoncelli, “Image quality assessment: From error visibility to structural similarity,” </w:t>
      </w:r>
      <w:r>
        <w:rPr>
          <w:rFonts w:ascii="Times New Roman" w:hAnsi="Times New Roman" w:eastAsia="宋体" w:cs="Times New Roman"/>
          <w:i/>
          <w:iCs/>
          <w:color w:val="000000"/>
          <w:sz w:val="18"/>
        </w:rPr>
        <w:t>IEEE Transactions on Image Processing</w:t>
      </w:r>
      <w:r>
        <w:rPr>
          <w:rFonts w:ascii="Times New Roman" w:hAnsi="Times New Roman" w:eastAsia="宋体" w:cs="Times New Roman"/>
          <w:color w:val="000000"/>
          <w:sz w:val="18"/>
        </w:rPr>
        <w:t>, vol. 13, no. 4, pp. 600–612, 2004, doi: 10.1109/TIP.2003.819861.</w:t>
      </w:r>
    </w:p>
    <w:p w14:paraId="11FED8F7">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[28] P. Shen, H. Chen, H. Li, J. Yang, and L. Jiao, “Estimation of equivalent number of looks in time-series polarimetric SAR data,” </w:t>
      </w:r>
      <w:r>
        <w:rPr>
          <w:rFonts w:ascii="Times New Roman" w:hAnsi="Times New Roman" w:eastAsia="宋体" w:cs="Times New Roman"/>
          <w:i/>
          <w:iCs/>
          <w:color w:val="000000"/>
          <w:sz w:val="18"/>
        </w:rPr>
        <w:t>Remote Sensing</w:t>
      </w:r>
      <w:r>
        <w:rPr>
          <w:rFonts w:ascii="Times New Roman" w:hAnsi="Times New Roman" w:eastAsia="宋体" w:cs="Times New Roman"/>
          <w:color w:val="000000"/>
          <w:sz w:val="18"/>
        </w:rPr>
        <w:t>, vol. 12, no. 17, Art. no. 2715, 2020, doi: 10.3390/rs12172715.</w:t>
      </w:r>
    </w:p>
    <w:p w14:paraId="59019C03">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[29] L. Gómez, M. E. Buemi, J. C. Jacobo-Berlles, and M. Mejail, “A new image quality index for objectively evaluating despeckling filtering in SAR images,” </w:t>
      </w:r>
      <w:r>
        <w:rPr>
          <w:rFonts w:ascii="Times New Roman" w:hAnsi="Times New Roman" w:eastAsia="宋体" w:cs="Times New Roman"/>
          <w:i/>
          <w:iCs/>
          <w:color w:val="000000"/>
          <w:sz w:val="18"/>
        </w:rPr>
        <w:t>IEEE Journal of Selected Topics in Applied Earth Observations and Remote Sensing</w:t>
      </w:r>
      <w:r>
        <w:rPr>
          <w:rFonts w:ascii="Times New Roman" w:hAnsi="Times New Roman" w:eastAsia="宋体" w:cs="Times New Roman"/>
          <w:color w:val="000000"/>
          <w:sz w:val="18"/>
        </w:rPr>
        <w:t>, vol. 9, no. 3, pp. 1297–1307, 2016.</w:t>
      </w:r>
    </w:p>
    <w:p w14:paraId="1B222827">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[30] X. Ma, C. Wang, Z. Yin, and P. Wu, “A no-reference edge-preservation assessment index for SAR image despeckling,” </w:t>
      </w:r>
      <w:r>
        <w:rPr>
          <w:rFonts w:ascii="Times New Roman" w:hAnsi="Times New Roman" w:eastAsia="宋体" w:cs="Times New Roman"/>
          <w:i/>
          <w:iCs/>
          <w:color w:val="000000"/>
          <w:sz w:val="18"/>
        </w:rPr>
        <w:t>Remote Sensing</w:t>
      </w:r>
      <w:r>
        <w:rPr>
          <w:rFonts w:ascii="Times New Roman" w:hAnsi="Times New Roman" w:eastAsia="宋体" w:cs="Times New Roman"/>
          <w:color w:val="000000"/>
          <w:sz w:val="18"/>
        </w:rPr>
        <w:t>, vol. 14, no. 4, Art. no. 856, 2022, doi: 10.3390/rs14040856.</w:t>
      </w:r>
    </w:p>
    <w:p w14:paraId="77163628">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[31] H. Chen, L. Wang, G. Liu, L. Wang, C. Ge, and M. Chen, “Research progress on denoising algorithms for synthetic aperture radar images,” </w:t>
      </w:r>
      <w:r>
        <w:rPr>
          <w:rFonts w:ascii="Times New Roman" w:hAnsi="Times New Roman" w:eastAsia="宋体" w:cs="Times New Roman"/>
          <w:i/>
          <w:iCs/>
          <w:color w:val="000000"/>
          <w:sz w:val="18"/>
        </w:rPr>
        <w:t>Systems Engineering and Electronics</w:t>
      </w:r>
      <w:r>
        <w:rPr>
          <w:rFonts w:ascii="Times New Roman" w:hAnsi="Times New Roman" w:eastAsia="宋体" w:cs="Times New Roman"/>
          <w:color w:val="000000"/>
          <w:sz w:val="18"/>
        </w:rPr>
        <w:t>, vol. 48, no. 1, pp. 94–105, 2026, doi: 10.12305/j.issn.1001-506X.2026.01.10.</w:t>
      </w:r>
    </w:p>
    <w:p w14:paraId="5463C4A2">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[32] S. Wei, X. Zeng, Q. Qu, M. Wang, H. Su, and J. Shi, “HRSID: A high-resolution SAR images dataset for ship detection and instance segmentation,” </w:t>
      </w:r>
      <w:r>
        <w:rPr>
          <w:rFonts w:ascii="Times New Roman" w:hAnsi="Times New Roman" w:eastAsia="宋体" w:cs="Times New Roman"/>
          <w:i/>
          <w:iCs/>
          <w:color w:val="000000"/>
          <w:sz w:val="18"/>
        </w:rPr>
        <w:t>IEEE Access</w:t>
      </w:r>
      <w:r>
        <w:rPr>
          <w:rFonts w:ascii="Times New Roman" w:hAnsi="Times New Roman" w:eastAsia="宋体" w:cs="Times New Roman"/>
          <w:color w:val="000000"/>
          <w:sz w:val="18"/>
        </w:rPr>
        <w:t>, vol. 8, pp. 120234–120254, 2020, doi: 10.1109/ACCESS.2020.3005861.</w:t>
      </w:r>
    </w:p>
    <w:p w14:paraId="57183EDD">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[33] T. Zhang, X. Zhang, J. Shi, and S. Wei, “SAR ship detection dataset (SSDD): Official release and comprehensive data analysis,” </w:t>
      </w:r>
      <w:r>
        <w:rPr>
          <w:rFonts w:ascii="Times New Roman" w:hAnsi="Times New Roman" w:eastAsia="宋体" w:cs="Times New Roman"/>
          <w:i/>
          <w:iCs/>
          <w:color w:val="000000"/>
          <w:sz w:val="18"/>
        </w:rPr>
        <w:t>Remote Sensing</w:t>
      </w:r>
      <w:r>
        <w:rPr>
          <w:rFonts w:ascii="Times New Roman" w:hAnsi="Times New Roman" w:eastAsia="宋体" w:cs="Times New Roman"/>
          <w:color w:val="000000"/>
          <w:sz w:val="18"/>
        </w:rPr>
        <w:t>, vol. 13, no. 18, Art. no. 3690, 2021, doi: 10.3390/rs13183690.</w:t>
      </w:r>
    </w:p>
    <w:p w14:paraId="4319F229">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[34] C.-A. Deledalle, L. Denis, and F. Tupin, “NL-SAR: A unified nonlocal framework for resolution-preserving (Pol)(In)SAR denoising,” </w:t>
      </w:r>
      <w:r>
        <w:rPr>
          <w:rFonts w:ascii="Times New Roman" w:hAnsi="Times New Roman" w:eastAsia="宋体" w:cs="Times New Roman"/>
          <w:i/>
          <w:iCs/>
          <w:color w:val="000000"/>
          <w:sz w:val="18"/>
        </w:rPr>
        <w:t>IEEE Transactions on Geoscience and Remote Sensing</w:t>
      </w:r>
      <w:r>
        <w:rPr>
          <w:rFonts w:ascii="Times New Roman" w:hAnsi="Times New Roman" w:eastAsia="宋体" w:cs="Times New Roman"/>
          <w:color w:val="000000"/>
          <w:sz w:val="18"/>
        </w:rPr>
        <w:t>, vol. 53, no. 4, pp. 2021–2038, 2015, doi: 10.1109/TGRS.2014.2352555.</w:t>
      </w:r>
    </w:p>
    <w:p w14:paraId="2E556B5E">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[35] G. Fracastoro, D. Valsesia, and E. Magli, “Deep learning for synthetic aperture radar image despeckling,” </w:t>
      </w:r>
      <w:r>
        <w:rPr>
          <w:rFonts w:ascii="Times New Roman" w:hAnsi="Times New Roman" w:eastAsia="宋体" w:cs="Times New Roman"/>
          <w:i/>
          <w:iCs/>
          <w:color w:val="000000"/>
          <w:sz w:val="18"/>
        </w:rPr>
        <w:t>IEEE Geoscience and Remote Sensing Magazine</w:t>
      </w:r>
      <w:r>
        <w:rPr>
          <w:rFonts w:ascii="Times New Roman" w:hAnsi="Times New Roman" w:eastAsia="宋体" w:cs="Times New Roman"/>
          <w:color w:val="000000"/>
          <w:sz w:val="18"/>
        </w:rPr>
        <w:t>, vol. 9, no. 2, pp. 29–51, 2021, doi: 10.1109/MGRS.2021.3070956.</w:t>
      </w:r>
    </w:p>
    <w:p w14:paraId="50E6E28C">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[36] D. Lattari, B. Gonzalez Leon, F. Asaro, A. Rucci, C. Prati, and M. Matteucci, “Deep learning for SAR image despeckling,” </w:t>
      </w:r>
      <w:r>
        <w:rPr>
          <w:rFonts w:ascii="Times New Roman" w:hAnsi="Times New Roman" w:eastAsia="宋体" w:cs="Times New Roman"/>
          <w:i/>
          <w:iCs/>
          <w:color w:val="000000"/>
          <w:sz w:val="18"/>
        </w:rPr>
        <w:t>Remote Sensing</w:t>
      </w:r>
      <w:r>
        <w:rPr>
          <w:rFonts w:ascii="Times New Roman" w:hAnsi="Times New Roman" w:eastAsia="宋体" w:cs="Times New Roman"/>
          <w:color w:val="000000"/>
          <w:sz w:val="18"/>
        </w:rPr>
        <w:t>, vol. 11, no. 13, Art. no. 1532, 2019, doi: 10.3390/rs11131532.</w:t>
      </w:r>
    </w:p>
    <w:p w14:paraId="14670137">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[37] J. Ko and S. Lee, “SAR image despeckling using continuous attention module,” </w:t>
      </w:r>
      <w:r>
        <w:rPr>
          <w:rFonts w:ascii="Times New Roman" w:hAnsi="Times New Roman" w:eastAsia="宋体" w:cs="Times New Roman"/>
          <w:i/>
          <w:iCs/>
          <w:color w:val="000000"/>
          <w:sz w:val="18"/>
        </w:rPr>
        <w:t>IEEE Journal of Selected Topics in Applied Earth Observations and Remote Sensing</w:t>
      </w:r>
      <w:r>
        <w:rPr>
          <w:rFonts w:ascii="Times New Roman" w:hAnsi="Times New Roman" w:eastAsia="宋体" w:cs="Times New Roman"/>
          <w:color w:val="000000"/>
          <w:sz w:val="18"/>
        </w:rPr>
        <w:t>, vol. 15, pp. 3–19, 2022, doi: 10.1109/JSTARS.2021.3132027.</w:t>
      </w:r>
    </w:p>
    <w:p w14:paraId="675656B4">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[38] G. Zhang, Z. Li, B. Xiong, and C. Zhang, “Learning SAR image despeckling without clean data,” </w:t>
      </w:r>
      <w:r>
        <w:rPr>
          <w:rFonts w:ascii="Times New Roman" w:hAnsi="Times New Roman" w:eastAsia="宋体" w:cs="Times New Roman"/>
          <w:i/>
          <w:iCs/>
          <w:color w:val="000000"/>
          <w:sz w:val="18"/>
        </w:rPr>
        <w:t>Journal of Applied Remote Sensing</w:t>
      </w:r>
      <w:r>
        <w:rPr>
          <w:rFonts w:ascii="Times New Roman" w:hAnsi="Times New Roman" w:eastAsia="宋体" w:cs="Times New Roman"/>
          <w:color w:val="000000"/>
          <w:sz w:val="18"/>
        </w:rPr>
        <w:t>, vol. 14, no. 2, Art. no. 026518, 2020, doi: 10.1117/1.JRS.14.026518.</w:t>
      </w:r>
    </w:p>
    <w:p w14:paraId="361A3214">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[39] Y. Fang, R. Liu, Y. Peng, J. Guan, D. Li, and X. Tian, “Contrastive learning based SAR image despeckling using real-world data,” </w:t>
      </w:r>
      <w:r>
        <w:rPr>
          <w:rFonts w:ascii="Times New Roman" w:hAnsi="Times New Roman" w:eastAsia="宋体" w:cs="Times New Roman"/>
          <w:i/>
          <w:iCs/>
          <w:color w:val="000000"/>
          <w:sz w:val="18"/>
        </w:rPr>
        <w:t>ISPRS Journal of Photogrammetry and Remote Sensing</w:t>
      </w:r>
      <w:r>
        <w:rPr>
          <w:rFonts w:ascii="Times New Roman" w:hAnsi="Times New Roman" w:eastAsia="宋体" w:cs="Times New Roman"/>
          <w:color w:val="000000"/>
          <w:sz w:val="18"/>
        </w:rPr>
        <w:t>, vol. 218, pp. 376–391, 2024, doi: 10.1016/j.isprsjprs.2024.11.003.</w:t>
      </w:r>
    </w:p>
    <w:p w14:paraId="5CD0E467">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[40] Y. Ma, P. Ke, H. Aghababaei, L. Chang, and J. Wei, “DiffusionSAR: Speckle filtering of synthetic aperture radar images using denoising diffusion probabilistic models,” </w:t>
      </w:r>
      <w:r>
        <w:rPr>
          <w:rFonts w:ascii="Times New Roman" w:hAnsi="Times New Roman" w:eastAsia="宋体" w:cs="Times New Roman"/>
          <w:i/>
          <w:iCs/>
          <w:color w:val="000000"/>
          <w:sz w:val="18"/>
        </w:rPr>
        <w:t>IEEE Transactions on Geoscience and Remote Sensing</w:t>
      </w:r>
      <w:r>
        <w:rPr>
          <w:rFonts w:ascii="Times New Roman" w:hAnsi="Times New Roman" w:eastAsia="宋体" w:cs="Times New Roman"/>
          <w:color w:val="000000"/>
          <w:sz w:val="18"/>
        </w:rPr>
        <w:t>, vol. 62, Art. no. 5215417, pp. 1–17, 2024, doi: 10.1109/TGRS.2024.3419083.</w:t>
      </w:r>
    </w:p>
    <w:p w14:paraId="3CB51DCB">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[41] J. Pan, C. Zhong, Y. Chen, C. Li, Y. Zhang, and J. Pan, “SAR image despeckling based on denoising diffusion probabilistic model and Swin Transformer,” </w:t>
      </w:r>
      <w:r>
        <w:rPr>
          <w:rFonts w:ascii="Times New Roman" w:hAnsi="Times New Roman" w:eastAsia="宋体" w:cs="Times New Roman"/>
          <w:i/>
          <w:iCs/>
          <w:color w:val="000000"/>
          <w:sz w:val="18"/>
        </w:rPr>
        <w:t>Remote Sensing</w:t>
      </w:r>
      <w:r>
        <w:rPr>
          <w:rFonts w:ascii="Times New Roman" w:hAnsi="Times New Roman" w:eastAsia="宋体" w:cs="Times New Roman"/>
          <w:color w:val="000000"/>
          <w:sz w:val="18"/>
        </w:rPr>
        <w:t>, vol. 16, no. 17, Art. no. 3222, 2024, doi: 10.3390/rs16173222.</w:t>
      </w:r>
    </w:p>
    <w:p w14:paraId="754480BB">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[42] D. Pongrac and D. Gleich, “Speckle noise removal for SAR images using residual twin convolutional neural network,” </w:t>
      </w:r>
      <w:r>
        <w:rPr>
          <w:rFonts w:ascii="Times New Roman" w:hAnsi="Times New Roman" w:eastAsia="宋体" w:cs="Times New Roman"/>
          <w:i/>
          <w:iCs/>
          <w:color w:val="000000"/>
          <w:sz w:val="18"/>
        </w:rPr>
        <w:t>Remote Sensing</w:t>
      </w:r>
      <w:r>
        <w:rPr>
          <w:rFonts w:ascii="Times New Roman" w:hAnsi="Times New Roman" w:eastAsia="宋体" w:cs="Times New Roman"/>
          <w:color w:val="000000"/>
          <w:sz w:val="18"/>
        </w:rPr>
        <w:t>, vol. 15, no. 14, Art. no. 3698, 2023, doi: 10.3390/rs15143698.</w:t>
      </w:r>
    </w:p>
    <w:p w14:paraId="5B1A87F1">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[43] H. Lin, X. Su, Z. Zeng, C. Xing, and J. Yin, “Speckle2Self: SAR image despeckling with self-supervised denoising,” </w:t>
      </w:r>
      <w:r>
        <w:rPr>
          <w:rFonts w:ascii="Times New Roman" w:hAnsi="Times New Roman" w:eastAsia="宋体" w:cs="Times New Roman"/>
          <w:i/>
          <w:iCs/>
          <w:color w:val="000000"/>
          <w:sz w:val="18"/>
        </w:rPr>
        <w:t>Remote Sensing</w:t>
      </w:r>
      <w:r>
        <w:rPr>
          <w:rFonts w:ascii="Times New Roman" w:hAnsi="Times New Roman" w:eastAsia="宋体" w:cs="Times New Roman"/>
          <w:color w:val="000000"/>
          <w:sz w:val="18"/>
        </w:rPr>
        <w:t>, vol. 17, no. 23, Art. no. 3840, 2025, doi: 10.3390/rs17233840.</w:t>
      </w:r>
    </w:p>
    <w:p w14:paraId="3B96A9BE">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[44] K. Kim and J. C. Ye, “Noise2Score: Tweedie’s approach to self-supervised image denoising without clean images,” in </w:t>
      </w:r>
      <w:r>
        <w:rPr>
          <w:rFonts w:ascii="Times New Roman" w:hAnsi="Times New Roman" w:eastAsia="宋体" w:cs="Times New Roman"/>
          <w:i/>
          <w:iCs/>
          <w:color w:val="000000"/>
          <w:sz w:val="18"/>
        </w:rPr>
        <w:t>Advances in Neural Information Processing Systems</w:t>
      </w:r>
      <w:r>
        <w:rPr>
          <w:rFonts w:ascii="Times New Roman" w:hAnsi="Times New Roman" w:eastAsia="宋体" w:cs="Times New Roman"/>
          <w:color w:val="000000"/>
          <w:sz w:val="18"/>
        </w:rPr>
        <w:t>, vol. 34, pp. 864–874, 2021.</w:t>
      </w:r>
    </w:p>
    <w:p w14:paraId="0C76073D">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[45] K. Kim, T. Kwon, and J. C. Ye, “Noise distribution adaptive self-supervised image denoising using Tweedie distribution and score matching,” in </w:t>
      </w:r>
      <w:r>
        <w:rPr>
          <w:rFonts w:ascii="Times New Roman" w:hAnsi="Times New Roman" w:eastAsia="宋体" w:cs="Times New Roman"/>
          <w:i/>
          <w:iCs/>
          <w:color w:val="000000"/>
          <w:sz w:val="18"/>
        </w:rPr>
        <w:t>Proceedings of the IEEE/CVF Conference on Computer Vision and Pattern Recognition (CVPR)</w:t>
      </w:r>
      <w:r>
        <w:rPr>
          <w:rFonts w:ascii="Times New Roman" w:hAnsi="Times New Roman" w:eastAsia="宋体" w:cs="Times New Roman"/>
          <w:color w:val="000000"/>
          <w:sz w:val="18"/>
        </w:rPr>
        <w:t>, New Orleans, LA, USA, 2022, pp. 1998–2006, doi: 10.1109/CVPR52688.2022.00205.</w:t>
      </w:r>
    </w:p>
    <w:p w14:paraId="464B7910">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[46] J. Liang, J. Cao, G. Sun, K. Zhang, L. Van Gool, and R. Timofte, “SwinIR: Image restoration using Swin Transformer,” in </w:t>
      </w:r>
      <w:r>
        <w:rPr>
          <w:rFonts w:ascii="Times New Roman" w:hAnsi="Times New Roman" w:eastAsia="宋体" w:cs="Times New Roman"/>
          <w:i/>
          <w:iCs/>
          <w:color w:val="000000"/>
          <w:sz w:val="18"/>
        </w:rPr>
        <w:t>Proceedings of the IEEE/CVF International Conference on Computer Vision Workshops (ICCVW)</w:t>
      </w:r>
      <w:r>
        <w:rPr>
          <w:rFonts w:ascii="Times New Roman" w:hAnsi="Times New Roman" w:eastAsia="宋体" w:cs="Times New Roman"/>
          <w:color w:val="000000"/>
          <w:sz w:val="18"/>
        </w:rPr>
        <w:t>, Montreal, BC, Canada, 2021, pp. 1833–1844, doi: 10.1109/ICCVW54120.2021.00210.</w:t>
      </w:r>
    </w:p>
    <w:p w14:paraId="7EF08A1D">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[47] H. Guo, J. Li, T. Dai, Z. Ouyang, X. Ren, and S.-T. Xia, “MambaIR: A simple baseline for image restoration with state-space model,” in </w:t>
      </w:r>
      <w:r>
        <w:rPr>
          <w:rFonts w:ascii="Times New Roman" w:hAnsi="Times New Roman" w:eastAsia="宋体" w:cs="Times New Roman"/>
          <w:i/>
          <w:iCs/>
          <w:color w:val="000000"/>
          <w:sz w:val="18"/>
        </w:rPr>
        <w:t>Computer Vision – ECCV 2024</w:t>
      </w:r>
      <w:r>
        <w:rPr>
          <w:rFonts w:ascii="Times New Roman" w:hAnsi="Times New Roman" w:eastAsia="宋体" w:cs="Times New Roman"/>
          <w:color w:val="000000"/>
          <w:sz w:val="18"/>
        </w:rPr>
        <w:t>, Cham, Switzerland: Springer, 2024, pp. 222–241, doi: 10.1007/978-3-031-72649-1_13.</w:t>
      </w:r>
    </w:p>
    <w:p w14:paraId="6916A957">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[48] V. Potlapalli, S. W. Zamir, S. Khan, and F. S. Khan, “PromptIR: Prompting for all-in-one blind image restoration,” in </w:t>
      </w:r>
      <w:r>
        <w:rPr>
          <w:rFonts w:ascii="Times New Roman" w:hAnsi="Times New Roman" w:eastAsia="宋体" w:cs="Times New Roman"/>
          <w:i/>
          <w:iCs/>
          <w:color w:val="000000"/>
          <w:sz w:val="18"/>
        </w:rPr>
        <w:t>Advances in Neural Information Processing Systems</w:t>
      </w:r>
      <w:r>
        <w:rPr>
          <w:rFonts w:ascii="Times New Roman" w:hAnsi="Times New Roman" w:eastAsia="宋体" w:cs="Times New Roman"/>
          <w:color w:val="000000"/>
          <w:sz w:val="18"/>
        </w:rPr>
        <w:t>, vol. 36, pp. 71275–71293, 2023, doi: 10.52202/075280-3121.</w:t>
      </w:r>
    </w:p>
    <w:p w14:paraId="7E5A5F25">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[49] L. Jiang, B. Dai, W. Wu, and C. C. Loy, “Focal frequency loss for image reconstruction and synthesis,” in </w:t>
      </w:r>
      <w:r>
        <w:rPr>
          <w:rFonts w:ascii="Times New Roman" w:hAnsi="Times New Roman" w:eastAsia="宋体" w:cs="Times New Roman"/>
          <w:i/>
          <w:iCs/>
          <w:color w:val="000000"/>
          <w:sz w:val="18"/>
        </w:rPr>
        <w:t>Proceedings of the IEEE/CVF International Conference on Computer Vision (ICCV)</w:t>
      </w:r>
      <w:r>
        <w:rPr>
          <w:rFonts w:ascii="Times New Roman" w:hAnsi="Times New Roman" w:eastAsia="宋体" w:cs="Times New Roman"/>
          <w:color w:val="000000"/>
          <w:sz w:val="18"/>
        </w:rPr>
        <w:t>, Montreal, BC, Canada, 2021, pp. 13919–13929, doi: 10.1109/ICCV48922.2021.01366.</w:t>
      </w:r>
    </w:p>
    <w:p w14:paraId="5EBC7EAD">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[50] D. Fuoli, L. Van Gool, and R. Timofte, “Fourier space losses for efficient perceptual image super-resolution,” in </w:t>
      </w:r>
      <w:r>
        <w:rPr>
          <w:rFonts w:ascii="Times New Roman" w:hAnsi="Times New Roman" w:eastAsia="宋体" w:cs="Times New Roman"/>
          <w:i/>
          <w:iCs/>
          <w:color w:val="000000"/>
          <w:sz w:val="18"/>
        </w:rPr>
        <w:t>Proceedings of the IEEE/CVF International Conference on Computer Vision (ICCV)</w:t>
      </w:r>
      <w:r>
        <w:rPr>
          <w:rFonts w:ascii="Times New Roman" w:hAnsi="Times New Roman" w:eastAsia="宋体" w:cs="Times New Roman"/>
          <w:color w:val="000000"/>
          <w:sz w:val="18"/>
        </w:rPr>
        <w:t>, Montreal, BC, Canada, 2021, pp. 2360–2369.</w:t>
      </w:r>
    </w:p>
    <w:p w14:paraId="2F155156">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[51] L. Chi, B. Jiang, and Y. Mu, “Fast Fourier convolution,” in </w:t>
      </w:r>
      <w:r>
        <w:rPr>
          <w:rFonts w:ascii="Times New Roman" w:hAnsi="Times New Roman" w:eastAsia="宋体" w:cs="Times New Roman"/>
          <w:i/>
          <w:iCs/>
          <w:color w:val="000000"/>
          <w:sz w:val="18"/>
        </w:rPr>
        <w:t>Advances in Neural Information Processing Systems</w:t>
      </w:r>
      <w:r>
        <w:rPr>
          <w:rFonts w:ascii="Times New Roman" w:hAnsi="Times New Roman" w:eastAsia="宋体" w:cs="Times New Roman"/>
          <w:color w:val="000000"/>
          <w:sz w:val="18"/>
        </w:rPr>
        <w:t>, vol. 33, pp. 4479–4488, 2020.</w:t>
      </w:r>
    </w:p>
    <w:p w14:paraId="69B26306">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[52] Y. Rao, W. Zhao, Z. Zhu, J. Lu, and J. Zhou, “Global filter networks for image classification,” in </w:t>
      </w:r>
      <w:r>
        <w:rPr>
          <w:rFonts w:ascii="Times New Roman" w:hAnsi="Times New Roman" w:eastAsia="宋体" w:cs="Times New Roman"/>
          <w:i/>
          <w:iCs/>
          <w:color w:val="000000"/>
          <w:sz w:val="18"/>
        </w:rPr>
        <w:t>Advances in Neural Information Processing Systems</w:t>
      </w:r>
      <w:r>
        <w:rPr>
          <w:rFonts w:ascii="Times New Roman" w:hAnsi="Times New Roman" w:eastAsia="宋体" w:cs="Times New Roman"/>
          <w:color w:val="000000"/>
          <w:sz w:val="18"/>
        </w:rPr>
        <w:t>, vol. 34, pp. 980–993, 2021.</w:t>
      </w:r>
    </w:p>
    <w:p w14:paraId="2656211D">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[53] X. Jiang, X. Zhang, N. Gao, and Y. Deng, “When Fast Fourier Transform meets Transformer for image restoration,” in </w:t>
      </w:r>
      <w:r>
        <w:rPr>
          <w:rFonts w:ascii="Times New Roman" w:hAnsi="Times New Roman" w:eastAsia="宋体" w:cs="Times New Roman"/>
          <w:i/>
          <w:iCs/>
          <w:color w:val="000000"/>
          <w:sz w:val="18"/>
        </w:rPr>
        <w:t>Computer Vision – ECCV 2024</w:t>
      </w:r>
      <w:r>
        <w:rPr>
          <w:rFonts w:ascii="Times New Roman" w:hAnsi="Times New Roman" w:eastAsia="宋体" w:cs="Times New Roman"/>
          <w:color w:val="000000"/>
          <w:sz w:val="18"/>
        </w:rPr>
        <w:t>, Cham, Switzerland: Springer, 2024, pp. 381–402, doi: 10.1007/978-3-031-72995-9_22.</w:t>
      </w:r>
    </w:p>
    <w:p w14:paraId="1B0E07CB">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[54] K. Zhang, W. Zuo, Y. Chen, D. Meng, and L. Zhang, “Beyond a Gaussian denoiser: Residual learning of deep CNN for image denoising,” </w:t>
      </w:r>
      <w:r>
        <w:rPr>
          <w:rFonts w:ascii="Times New Roman" w:hAnsi="Times New Roman" w:eastAsia="宋体" w:cs="Times New Roman"/>
          <w:i/>
          <w:iCs/>
          <w:color w:val="000000"/>
          <w:sz w:val="18"/>
        </w:rPr>
        <w:t>IEEE Transactions on Image Processing</w:t>
      </w:r>
      <w:r>
        <w:rPr>
          <w:rFonts w:ascii="Times New Roman" w:hAnsi="Times New Roman" w:eastAsia="宋体" w:cs="Times New Roman"/>
          <w:color w:val="000000"/>
          <w:sz w:val="18"/>
        </w:rPr>
        <w:t>, vol. 26, no. 7, pp. 3142–3155, 2017, doi: 10.1109/TIP.2017.2662206.</w:t>
      </w:r>
    </w:p>
    <w:p w14:paraId="560EA3D7">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[55] O. Ronneberger, P. Fischer, and T. Brox, “U-Net: Convolutional networks for biomedical image segmentation,” in </w:t>
      </w:r>
      <w:r>
        <w:rPr>
          <w:rFonts w:ascii="Times New Roman" w:hAnsi="Times New Roman" w:eastAsia="宋体" w:cs="Times New Roman"/>
          <w:i/>
          <w:iCs/>
          <w:color w:val="000000"/>
          <w:sz w:val="18"/>
        </w:rPr>
        <w:t>Medical Image Computing and Computer-Assisted Intervention – MICCAI 2015</w:t>
      </w:r>
      <w:r>
        <w:rPr>
          <w:rFonts w:ascii="Times New Roman" w:hAnsi="Times New Roman" w:eastAsia="宋体" w:cs="Times New Roman"/>
          <w:color w:val="000000"/>
          <w:sz w:val="18"/>
        </w:rPr>
        <w:t>, Cham, Switzerland: Springer, 2015, pp. 234–241, doi: 10.1007/978-3-319-24574-4_28.</w:t>
      </w:r>
    </w:p>
    <w:p w14:paraId="00723C08">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[56] K. He, X. Zhang, S. Ren, and J. Sun, “Deep residual learning for image recognition,” in </w:t>
      </w:r>
      <w:r>
        <w:rPr>
          <w:rFonts w:ascii="Times New Roman" w:hAnsi="Times New Roman" w:eastAsia="宋体" w:cs="Times New Roman"/>
          <w:i/>
          <w:iCs/>
          <w:color w:val="000000"/>
          <w:sz w:val="18"/>
        </w:rPr>
        <w:t>Proceedings of the IEEE Conference on Computer Vision and Pattern Recognition (CVPR)</w:t>
      </w:r>
      <w:r>
        <w:rPr>
          <w:rFonts w:ascii="Times New Roman" w:hAnsi="Times New Roman" w:eastAsia="宋体" w:cs="Times New Roman"/>
          <w:color w:val="000000"/>
          <w:sz w:val="18"/>
        </w:rPr>
        <w:t>, Las Vegas, NV, USA, 2016, pp. 770–778, doi: 10.1109/CVPR.2016.90.</w:t>
      </w:r>
    </w:p>
    <w:p w14:paraId="2148D675">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[57] J. Hu, L. Shen, and G. Sun, “Squeeze-and-excitation networks,” in </w:t>
      </w:r>
      <w:r>
        <w:rPr>
          <w:rFonts w:ascii="Times New Roman" w:hAnsi="Times New Roman" w:eastAsia="宋体" w:cs="Times New Roman"/>
          <w:i/>
          <w:iCs/>
          <w:color w:val="000000"/>
          <w:sz w:val="18"/>
        </w:rPr>
        <w:t>Proceedings of the IEEE Conference on Computer Vision and Pattern Recognition (CVPR)</w:t>
      </w:r>
      <w:r>
        <w:rPr>
          <w:rFonts w:ascii="Times New Roman" w:hAnsi="Times New Roman" w:eastAsia="宋体" w:cs="Times New Roman"/>
          <w:color w:val="000000"/>
          <w:sz w:val="18"/>
        </w:rPr>
        <w:t>, Salt Lake City, UT, USA, 2018, pp. 7132–7141, doi: 10.1109/CVPR.2018.00745.</w:t>
      </w:r>
    </w:p>
    <w:p w14:paraId="26C49C16">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[58] S. Woo, J. Park, J.-Y. Lee, and I. S. Kweon, “CBAM: Convolutional block attention module,” in </w:t>
      </w:r>
      <w:r>
        <w:rPr>
          <w:rFonts w:ascii="Times New Roman" w:hAnsi="Times New Roman" w:eastAsia="宋体" w:cs="Times New Roman"/>
          <w:i/>
          <w:iCs/>
          <w:color w:val="000000"/>
          <w:sz w:val="18"/>
        </w:rPr>
        <w:t>Computer Vision – ECCV 2018</w:t>
      </w:r>
      <w:r>
        <w:rPr>
          <w:rFonts w:ascii="Times New Roman" w:hAnsi="Times New Roman" w:eastAsia="宋体" w:cs="Times New Roman"/>
          <w:color w:val="000000"/>
          <w:sz w:val="18"/>
        </w:rPr>
        <w:t>, Cham, Switzerland: Springer, 2018, pp. 3–19, doi: 10.1007/978-3-030-01234-2_1.</w:t>
      </w:r>
    </w:p>
    <w:p w14:paraId="18D2F799">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[59] L. Huang, B. Liu, B. Li, W. Guo, W. Yu, Z. Zhang, and W. Yu, “OpenSARShip: A dataset dedicated to Sentinel-1 ship interpretation,” </w:t>
      </w:r>
      <w:r>
        <w:rPr>
          <w:rFonts w:ascii="Times New Roman" w:hAnsi="Times New Roman" w:eastAsia="宋体" w:cs="Times New Roman"/>
          <w:i/>
          <w:iCs/>
          <w:color w:val="000000"/>
          <w:sz w:val="18"/>
        </w:rPr>
        <w:t>IEEE Journal of Selected Topics in Applied Earth Observations and Remote Sensing</w:t>
      </w:r>
      <w:r>
        <w:rPr>
          <w:rFonts w:ascii="Times New Roman" w:hAnsi="Times New Roman" w:eastAsia="宋体" w:cs="Times New Roman"/>
          <w:color w:val="000000"/>
          <w:sz w:val="18"/>
        </w:rPr>
        <w:t>, vol. 11, no. 1, pp. 195–208, 2018, doi: 10.1109/JSTARS.2017.2755672.</w:t>
      </w:r>
    </w:p>
    <w:p w14:paraId="796FE862">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[60] S. Ren, K. He, R. Girshick, and J. Sun, “Faster R-CNN: Towards real-time object detection with region proposal networks,” in </w:t>
      </w:r>
      <w:r>
        <w:rPr>
          <w:rFonts w:ascii="Times New Roman" w:hAnsi="Times New Roman" w:eastAsia="宋体" w:cs="Times New Roman"/>
          <w:i/>
          <w:iCs/>
          <w:color w:val="000000"/>
          <w:sz w:val="18"/>
        </w:rPr>
        <w:t>Advances in Neural Information Processing Systems</w:t>
      </w:r>
      <w:r>
        <w:rPr>
          <w:rFonts w:ascii="Times New Roman" w:hAnsi="Times New Roman" w:eastAsia="宋体" w:cs="Times New Roman"/>
          <w:color w:val="000000"/>
          <w:sz w:val="18"/>
        </w:rPr>
        <w:t>, vol. 28, pp. 91–99, 2015.</w:t>
      </w:r>
    </w:p>
    <w:p w14:paraId="0B7C9224">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[61] J. Redmon, S. Divvala, R. Girshick, and A. Farhadi, “You only look once: Unified, real-time object detection,” in </w:t>
      </w:r>
      <w:r>
        <w:rPr>
          <w:rFonts w:ascii="Times New Roman" w:hAnsi="Times New Roman" w:eastAsia="宋体" w:cs="Times New Roman"/>
          <w:i/>
          <w:iCs/>
          <w:color w:val="000000"/>
          <w:sz w:val="18"/>
        </w:rPr>
        <w:t>Proceedings of the IEEE Conference on Computer Vision and Pattern Recognition (CVPR)</w:t>
      </w:r>
      <w:r>
        <w:rPr>
          <w:rFonts w:ascii="Times New Roman" w:hAnsi="Times New Roman" w:eastAsia="宋体" w:cs="Times New Roman"/>
          <w:color w:val="000000"/>
          <w:sz w:val="18"/>
        </w:rPr>
        <w:t>, Las Vegas, NV, USA, 2016, pp. 779–788, doi: 10.1109/CVPR.2016.91.</w:t>
      </w:r>
    </w:p>
    <w:p w14:paraId="184933D2">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[62] T.-Y. Lin, P. Goyal, R. Girshick, K. He, and P. Dollár, “Focal loss for dense object detection,” in </w:t>
      </w:r>
      <w:r>
        <w:rPr>
          <w:rFonts w:ascii="Times New Roman" w:hAnsi="Times New Roman" w:eastAsia="宋体" w:cs="Times New Roman"/>
          <w:i/>
          <w:iCs/>
          <w:color w:val="000000"/>
          <w:sz w:val="18"/>
        </w:rPr>
        <w:t>Proceedings of the IEEE International Conference on Computer Vision (ICCV)</w:t>
      </w:r>
      <w:r>
        <w:rPr>
          <w:rFonts w:ascii="Times New Roman" w:hAnsi="Times New Roman" w:eastAsia="宋体" w:cs="Times New Roman"/>
          <w:color w:val="000000"/>
          <w:sz w:val="18"/>
        </w:rPr>
        <w:t>, Venice, Italy, 2017, pp. 2999–3007, doi: 10.1109/ICCV.2017.324.</w:t>
      </w:r>
    </w:p>
    <w:p w14:paraId="1B45AEEF">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[63] T.-Y. Lin, M. Maire, S. Belongie, J. Hays, P. Perona, D. Ramanan, P. Dollár, and C. L. Zitnick, “Microsoft COCO: Common objects in context,” in </w:t>
      </w:r>
      <w:r>
        <w:rPr>
          <w:rFonts w:ascii="Times New Roman" w:hAnsi="Times New Roman" w:eastAsia="宋体" w:cs="Times New Roman"/>
          <w:i/>
          <w:iCs/>
          <w:color w:val="000000"/>
          <w:sz w:val="18"/>
        </w:rPr>
        <w:t>Computer Vision – ECCV 2014</w:t>
      </w:r>
      <w:r>
        <w:rPr>
          <w:rFonts w:ascii="Times New Roman" w:hAnsi="Times New Roman" w:eastAsia="宋体" w:cs="Times New Roman"/>
          <w:color w:val="000000"/>
          <w:sz w:val="18"/>
        </w:rPr>
        <w:t>, Cham, Switzerland: Springer, 2014, pp. 740–755, doi: 10.1007/978-3-319-10602-1_48.</w:t>
      </w:r>
    </w:p>
    <w:p w14:paraId="74DE7447">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[64] J. Redmon and A. Farhadi, “YOLOv3: An incremental improvement,” </w:t>
      </w:r>
      <w:r>
        <w:rPr>
          <w:rFonts w:ascii="Times New Roman" w:hAnsi="Times New Roman" w:eastAsia="宋体" w:cs="Times New Roman"/>
          <w:i/>
          <w:iCs/>
          <w:color w:val="000000"/>
          <w:sz w:val="18"/>
        </w:rPr>
        <w:t>arXiv preprint arXiv:1804.02767</w:t>
      </w:r>
      <w:r>
        <w:rPr>
          <w:rFonts w:ascii="Times New Roman" w:hAnsi="Times New Roman" w:eastAsia="宋体" w:cs="Times New Roman"/>
          <w:color w:val="000000"/>
          <w:sz w:val="18"/>
        </w:rPr>
        <w:t>, 2018.</w:t>
      </w:r>
    </w:p>
    <w:p w14:paraId="59BFFF63">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[65] A. Bochkovskiy, C.-Y. Wang, and H.-Y. M. Liao, “YOLOv4: Optimal speed and accuracy of object detection,” </w:t>
      </w:r>
      <w:r>
        <w:rPr>
          <w:rFonts w:ascii="Times New Roman" w:hAnsi="Times New Roman" w:eastAsia="宋体" w:cs="Times New Roman"/>
          <w:i/>
          <w:iCs/>
          <w:color w:val="000000"/>
          <w:sz w:val="18"/>
        </w:rPr>
        <w:t>arXiv preprint arXiv:2004.10934</w:t>
      </w:r>
      <w:r>
        <w:rPr>
          <w:rFonts w:ascii="Times New Roman" w:hAnsi="Times New Roman" w:eastAsia="宋体" w:cs="Times New Roman"/>
          <w:color w:val="000000"/>
          <w:sz w:val="18"/>
        </w:rPr>
        <w:t>, 2020.</w:t>
      </w:r>
    </w:p>
    <w:p w14:paraId="348AB0DC">
      <w:pPr>
        <w:keepNext w:val="0"/>
        <w:keepLines w:val="0"/>
        <w:pageBreakBefore w:val="0"/>
        <w:widowControl/>
        <w:kinsoku/>
        <w:wordWrap/>
        <w:overflowPunct/>
        <w:topLinePunct w:val="0"/>
        <w:autoSpaceDE/>
        <w:autoSpaceDN/>
        <w:bidi w:val="0"/>
        <w:adjustRightInd/>
        <w:snapToGrid/>
        <w:spacing w:before="0" w:after="0" w:line="360" w:lineRule="auto"/>
        <w:ind w:left="0" w:firstLine="0"/>
        <w:jc w:val="left"/>
        <w:textAlignment w:val="auto"/>
      </w:pPr>
      <w:r>
        <w:rPr>
          <w:rFonts w:ascii="Times New Roman" w:hAnsi="Times New Roman" w:eastAsia="宋体" w:cs="Times New Roman"/>
          <w:color w:val="000000"/>
          <w:sz w:val="18"/>
        </w:rPr>
        <w:t xml:space="preserve">[66] H. Rezatofighi, N. Tsoi, J. Gwak, A. Sadeghian, I. Reid, and S. Savarese, “Generalized intersection over union: A metric and a loss for bounding box regression,” in </w:t>
      </w:r>
      <w:r>
        <w:rPr>
          <w:rFonts w:ascii="Times New Roman" w:hAnsi="Times New Roman" w:eastAsia="宋体" w:cs="Times New Roman"/>
          <w:i/>
          <w:iCs/>
          <w:color w:val="000000"/>
          <w:sz w:val="18"/>
        </w:rPr>
        <w:t>Proceedings of the IEEE/CVF Conference on Computer Vision and Pattern Recognition (CVPR)</w:t>
      </w:r>
      <w:r>
        <w:rPr>
          <w:rFonts w:ascii="Times New Roman" w:hAnsi="Times New Roman" w:eastAsia="宋体" w:cs="Times New Roman"/>
          <w:color w:val="000000"/>
          <w:sz w:val="18"/>
        </w:rPr>
        <w:t>, Long Beach, CA, USA, 2019, pp. 658–666, doi: 10.1109/CVPR.2019.00075.</w:t>
      </w:r>
    </w:p>
    <w:bookmarkEnd w:id="0"/>
    <w:bookmarkEnd w:id="68"/>
    <w:sectPr>
      <w:pgSz w:w="11906" w:h="16838"/>
      <w:pgMar w:top="1440" w:right="1797" w:bottom="1440" w:left="1797" w:header="850"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B4F71"/>
    <w:rsid w:val="03D16FFC"/>
    <w:rsid w:val="0A741F9F"/>
    <w:rsid w:val="0B380146"/>
    <w:rsid w:val="0FD146C5"/>
    <w:rsid w:val="102962AF"/>
    <w:rsid w:val="12235B83"/>
    <w:rsid w:val="13B80076"/>
    <w:rsid w:val="14C2320D"/>
    <w:rsid w:val="17F83137"/>
    <w:rsid w:val="1927152E"/>
    <w:rsid w:val="1996103A"/>
    <w:rsid w:val="1AFC5A84"/>
    <w:rsid w:val="1C0C0D0D"/>
    <w:rsid w:val="1C915908"/>
    <w:rsid w:val="1DA8115B"/>
    <w:rsid w:val="1EA80C5E"/>
    <w:rsid w:val="225E452B"/>
    <w:rsid w:val="22CA597A"/>
    <w:rsid w:val="26234FC9"/>
    <w:rsid w:val="28BC4ECC"/>
    <w:rsid w:val="2AC86999"/>
    <w:rsid w:val="2E5548D1"/>
    <w:rsid w:val="2FDB1687"/>
    <w:rsid w:val="31901DBB"/>
    <w:rsid w:val="31F6028F"/>
    <w:rsid w:val="327411B4"/>
    <w:rsid w:val="329E67A3"/>
    <w:rsid w:val="32C13443"/>
    <w:rsid w:val="3793032E"/>
    <w:rsid w:val="3AC151B3"/>
    <w:rsid w:val="3CF1446D"/>
    <w:rsid w:val="3DA768E2"/>
    <w:rsid w:val="3E846C23"/>
    <w:rsid w:val="3F055FB6"/>
    <w:rsid w:val="3F4C624D"/>
    <w:rsid w:val="43106CD7"/>
    <w:rsid w:val="462A4554"/>
    <w:rsid w:val="465920FC"/>
    <w:rsid w:val="48E72288"/>
    <w:rsid w:val="4C20442F"/>
    <w:rsid w:val="5325057D"/>
    <w:rsid w:val="5D704AEA"/>
    <w:rsid w:val="5FA647F3"/>
    <w:rsid w:val="5FF0515C"/>
    <w:rsid w:val="61734BA9"/>
    <w:rsid w:val="61B50D1E"/>
    <w:rsid w:val="634E25BE"/>
    <w:rsid w:val="67071247"/>
    <w:rsid w:val="68222D7D"/>
    <w:rsid w:val="6AA4392F"/>
    <w:rsid w:val="6AAE1E0C"/>
    <w:rsid w:val="6AC94213"/>
    <w:rsid w:val="6D071194"/>
    <w:rsid w:val="6FA04DBB"/>
    <w:rsid w:val="708727AC"/>
    <w:rsid w:val="730A7442"/>
    <w:rsid w:val="763F7643"/>
    <w:rsid w:val="76D8023A"/>
    <w:rsid w:val="76E22EB1"/>
    <w:rsid w:val="7BC03722"/>
    <w:rsid w:val="7BDF050C"/>
    <w:rsid w:val="7C4D101A"/>
    <w:rsid w:val="7D9121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Times New Roman" w:hAnsi="Times New Roman" w:eastAsia="楷体" w:cs="Times New Roman"/>
      <w:color w:val="000000"/>
      <w:sz w:val="21"/>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0" w:after="0" w:line="360" w:lineRule="auto"/>
      <w:ind w:firstLine="420"/>
    </w:pPr>
    <w:rPr>
      <w:rFonts w:ascii="Times New Roman" w:hAnsi="Times New Roman" w:eastAsia="楷体" w:cs="Times New Roman"/>
      <w:color w:val="000000"/>
      <w:sz w:val="21"/>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120"/>
      <w:jc w:val="center"/>
    </w:pPr>
    <w:rPr>
      <w:rFonts w:asciiTheme="majorHAnsi" w:hAnsiTheme="majorHAnsi" w:eastAsiaTheme="majorEastAsia" w:cstheme="majorBidi"/>
      <w:b/>
      <w:bCs/>
      <w:color w:val="000000"/>
      <w:sz w:val="32"/>
      <w:szCs w:val="36"/>
    </w:rPr>
  </w:style>
  <w:style w:type="paragraph" w:styleId="17">
    <w:name w:val="footnote text"/>
    <w:basedOn w:val="1"/>
    <w:unhideWhenUsed/>
    <w:qFormat/>
    <w:uiPriority w:val="9"/>
    <w:pPr>
      <w:spacing w:line="240" w:lineRule="auto"/>
      <w:ind w:firstLine="0"/>
    </w:pPr>
    <w:rPr>
      <w:rFonts w:ascii="Times New Roman" w:hAnsi="Times New Roman" w:eastAsia="宋体" w:cs="Times New Roman"/>
      <w:color w:val="000000"/>
      <w:sz w:val="18"/>
    </w:rPr>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Hyperlink"/>
    <w:basedOn w:val="22"/>
    <w:qFormat/>
    <w:uiPriority w:val="0"/>
    <w:rPr>
      <w:color w:val="4F81BD" w:themeColor="accent1"/>
      <w14:textFill>
        <w14:solidFill>
          <w14:schemeClr w14:val="accent1"/>
        </w14:solidFill>
      </w14:textFill>
    </w:rPr>
  </w:style>
  <w:style w:type="character" w:customStyle="1" w:styleId="22">
    <w:name w:val="Body Text Char"/>
    <w:basedOn w:val="20"/>
    <w:link w:val="3"/>
    <w:qFormat/>
    <w:uiPriority w:val="0"/>
  </w:style>
  <w:style w:type="character" w:styleId="23">
    <w:name w:val="footnote reference"/>
    <w:basedOn w:val="22"/>
    <w:qFormat/>
    <w:uiPriority w:val="0"/>
    <w:rPr>
      <w:rFonts w:ascii="Times New Roman" w:hAnsi="Times New Roman" w:eastAsia="宋体" w:cs="Times New Roman"/>
      <w:color w:val="000000"/>
      <w:sz w:val="18"/>
      <w:vertAlign w:val="superscript"/>
    </w:rPr>
  </w:style>
  <w:style w:type="paragraph" w:customStyle="1" w:styleId="24">
    <w:name w:val="First Paragraph"/>
    <w:basedOn w:val="3"/>
    <w:next w:val="3"/>
    <w:qFormat/>
    <w:uiPriority w:val="0"/>
    <w:pPr>
      <w:spacing w:before="0" w:after="0" w:line="360" w:lineRule="auto"/>
      <w:ind w:firstLine="420"/>
    </w:pPr>
    <w:rPr>
      <w:rFonts w:ascii="Times New Roman" w:hAnsi="Times New Roman" w:eastAsia="楷体" w:cs="Times New Roman"/>
      <w:color w:val="000000"/>
      <w:sz w:val="21"/>
    </w:rPr>
  </w:style>
  <w:style w:type="paragraph" w:customStyle="1" w:styleId="25">
    <w:name w:val="Compact"/>
    <w:basedOn w:val="3"/>
    <w:qFormat/>
    <w:uiPriority w:val="0"/>
    <w:pPr>
      <w:spacing w:before="0" w:after="0" w:line="360" w:lineRule="auto"/>
      <w:ind w:firstLine="420"/>
    </w:pPr>
    <w:rPr>
      <w:rFonts w:ascii="Times New Roman" w:hAnsi="Times New Roman" w:eastAsia="楷体" w:cs="Times New Roman"/>
      <w:color w:val="000000"/>
      <w:sz w:val="21"/>
    </w:r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sz w:val="20"/>
      <w:szCs w:val="20"/>
    </w:rPr>
  </w:style>
  <w:style w:type="paragraph" w:customStyle="1" w:styleId="29">
    <w:name w:val="Bibliography"/>
    <w:basedOn w:val="1"/>
    <w:qFormat/>
    <w:uiPriority w:val="0"/>
  </w:style>
  <w:style w:type="paragraph" w:customStyle="1" w:styleId="30">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2">
    <w:name w:val="Definition Term"/>
    <w:basedOn w:val="1"/>
    <w:next w:val="33"/>
    <w:qFormat/>
    <w:uiPriority w:val="0"/>
    <w:pPr>
      <w:keepNext/>
      <w:keepLines/>
      <w:spacing w:after="0"/>
    </w:pPr>
    <w:rPr>
      <w:b/>
    </w:rPr>
  </w:style>
  <w:style w:type="paragraph" w:customStyle="1" w:styleId="33">
    <w:name w:val="Definition"/>
    <w:basedOn w:val="1"/>
    <w:qFormat/>
    <w:uiPriority w:val="0"/>
  </w:style>
  <w:style w:type="paragraph" w:customStyle="1" w:styleId="34">
    <w:name w:val="Table Caption"/>
    <w:basedOn w:val="12"/>
    <w:qFormat/>
    <w:uiPriority w:val="0"/>
    <w:pPr>
      <w:keepNext/>
    </w:pPr>
  </w:style>
  <w:style w:type="paragraph" w:customStyle="1" w:styleId="35">
    <w:name w:val="Image Caption"/>
    <w:basedOn w:val="12"/>
    <w:qFormat/>
    <w:uiPriority w:val="0"/>
  </w:style>
  <w:style w:type="paragraph" w:customStyle="1" w:styleId="36">
    <w:name w:val="Figure"/>
    <w:basedOn w:val="1"/>
    <w:qFormat/>
    <w:uiPriority w:val="0"/>
  </w:style>
  <w:style w:type="paragraph" w:customStyle="1" w:styleId="37">
    <w:name w:val="Captioned Figure"/>
    <w:basedOn w:val="36"/>
    <w:qFormat/>
    <w:uiPriority w:val="0"/>
    <w:pPr>
      <w:keepNext/>
    </w:pPr>
  </w:style>
  <w:style w:type="character" w:customStyle="1" w:styleId="38">
    <w:name w:val="Verbatim Char"/>
    <w:basedOn w:val="22"/>
    <w:link w:val="39"/>
    <w:qFormat/>
    <w:uiPriority w:val="0"/>
    <w:rPr>
      <w:rFonts w:ascii="Consolas" w:hAnsi="Consolas"/>
      <w:sz w:val="22"/>
    </w:rPr>
  </w:style>
  <w:style w:type="paragraph" w:customStyle="1" w:styleId="39">
    <w:name w:val="Source Code"/>
    <w:basedOn w:val="1"/>
    <w:link w:val="38"/>
    <w:qFormat/>
    <w:uiPriority w:val="0"/>
    <w:pPr>
      <w:wordWrap w:val="0"/>
    </w:pPr>
  </w:style>
  <w:style w:type="character" w:customStyle="1" w:styleId="40">
    <w:name w:val="Section Number"/>
    <w:basedOn w:val="22"/>
    <w:qFormat/>
    <w:uiPriority w:val="0"/>
  </w:style>
  <w:style w:type="paragraph" w:customStyle="1" w:styleId="41">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2">
    <w:name w:val="KeywordTok"/>
    <w:basedOn w:val="38"/>
    <w:qFormat/>
    <w:uiPriority w:val="0"/>
    <w:rPr>
      <w:b/>
      <w:color w:val="007020"/>
    </w:rPr>
  </w:style>
  <w:style w:type="character" w:customStyle="1" w:styleId="43">
    <w:name w:val="DataTypeTok"/>
    <w:basedOn w:val="38"/>
    <w:qFormat/>
    <w:uiPriority w:val="0"/>
    <w:rPr>
      <w:color w:val="902000"/>
    </w:rPr>
  </w:style>
  <w:style w:type="character" w:customStyle="1" w:styleId="44">
    <w:name w:val="DecValTok"/>
    <w:basedOn w:val="38"/>
    <w:qFormat/>
    <w:uiPriority w:val="0"/>
    <w:rPr>
      <w:color w:val="40A070"/>
    </w:rPr>
  </w:style>
  <w:style w:type="character" w:customStyle="1" w:styleId="45">
    <w:name w:val="BaseNTok"/>
    <w:basedOn w:val="38"/>
    <w:qFormat/>
    <w:uiPriority w:val="0"/>
    <w:rPr>
      <w:color w:val="40A070"/>
    </w:rPr>
  </w:style>
  <w:style w:type="character" w:customStyle="1" w:styleId="46">
    <w:name w:val="FloatTok"/>
    <w:basedOn w:val="38"/>
    <w:qFormat/>
    <w:uiPriority w:val="0"/>
    <w:rPr>
      <w:color w:val="40A070"/>
    </w:rPr>
  </w:style>
  <w:style w:type="character" w:customStyle="1" w:styleId="47">
    <w:name w:val="ConstantTok"/>
    <w:basedOn w:val="38"/>
    <w:qFormat/>
    <w:uiPriority w:val="0"/>
    <w:rPr>
      <w:color w:val="880000"/>
    </w:rPr>
  </w:style>
  <w:style w:type="character" w:customStyle="1" w:styleId="48">
    <w:name w:val="CharTok"/>
    <w:basedOn w:val="38"/>
    <w:qFormat/>
    <w:uiPriority w:val="0"/>
    <w:rPr>
      <w:color w:val="4070A0"/>
    </w:rPr>
  </w:style>
  <w:style w:type="character" w:customStyle="1" w:styleId="49">
    <w:name w:val="SpecialCharTok"/>
    <w:basedOn w:val="38"/>
    <w:qFormat/>
    <w:uiPriority w:val="0"/>
    <w:rPr>
      <w:color w:val="4070A0"/>
    </w:rPr>
  </w:style>
  <w:style w:type="character" w:customStyle="1" w:styleId="50">
    <w:name w:val="StringTok"/>
    <w:basedOn w:val="38"/>
    <w:qFormat/>
    <w:uiPriority w:val="0"/>
    <w:rPr>
      <w:color w:val="4070A0"/>
    </w:rPr>
  </w:style>
  <w:style w:type="character" w:customStyle="1" w:styleId="51">
    <w:name w:val="VerbatimStringTok"/>
    <w:basedOn w:val="38"/>
    <w:qFormat/>
    <w:uiPriority w:val="0"/>
    <w:rPr>
      <w:color w:val="4070A0"/>
    </w:rPr>
  </w:style>
  <w:style w:type="character" w:customStyle="1" w:styleId="52">
    <w:name w:val="SpecialStringTok"/>
    <w:basedOn w:val="38"/>
    <w:qFormat/>
    <w:uiPriority w:val="0"/>
    <w:rPr>
      <w:color w:val="BB6688"/>
    </w:rPr>
  </w:style>
  <w:style w:type="character" w:customStyle="1" w:styleId="53">
    <w:name w:val="ImportTok"/>
    <w:basedOn w:val="38"/>
    <w:qFormat/>
    <w:uiPriority w:val="0"/>
    <w:rPr>
      <w:b/>
      <w:color w:val="008000"/>
    </w:rPr>
  </w:style>
  <w:style w:type="character" w:customStyle="1" w:styleId="54">
    <w:name w:val="CommentTok"/>
    <w:basedOn w:val="38"/>
    <w:qFormat/>
    <w:uiPriority w:val="0"/>
    <w:rPr>
      <w:i/>
      <w:color w:val="60A0B0"/>
    </w:rPr>
  </w:style>
  <w:style w:type="character" w:customStyle="1" w:styleId="55">
    <w:name w:val="DocumentationTok"/>
    <w:basedOn w:val="38"/>
    <w:qFormat/>
    <w:uiPriority w:val="0"/>
    <w:rPr>
      <w:i/>
      <w:color w:val="BA2121"/>
    </w:rPr>
  </w:style>
  <w:style w:type="character" w:customStyle="1" w:styleId="56">
    <w:name w:val="AnnotationTok"/>
    <w:basedOn w:val="38"/>
    <w:qFormat/>
    <w:uiPriority w:val="0"/>
    <w:rPr>
      <w:b/>
      <w:i/>
      <w:color w:val="60A0B0"/>
    </w:rPr>
  </w:style>
  <w:style w:type="character" w:customStyle="1" w:styleId="57">
    <w:name w:val="CommentVarTok"/>
    <w:basedOn w:val="38"/>
    <w:qFormat/>
    <w:uiPriority w:val="0"/>
    <w:rPr>
      <w:b/>
      <w:i/>
      <w:color w:val="60A0B0"/>
    </w:rPr>
  </w:style>
  <w:style w:type="character" w:customStyle="1" w:styleId="58">
    <w:name w:val="OtherTok"/>
    <w:basedOn w:val="38"/>
    <w:qFormat/>
    <w:uiPriority w:val="0"/>
    <w:rPr>
      <w:color w:val="007020"/>
    </w:rPr>
  </w:style>
  <w:style w:type="character" w:customStyle="1" w:styleId="59">
    <w:name w:val="FunctionTok"/>
    <w:basedOn w:val="38"/>
    <w:qFormat/>
    <w:uiPriority w:val="0"/>
    <w:rPr>
      <w:color w:val="06287E"/>
    </w:rPr>
  </w:style>
  <w:style w:type="character" w:customStyle="1" w:styleId="60">
    <w:name w:val="VariableTok"/>
    <w:basedOn w:val="38"/>
    <w:qFormat/>
    <w:uiPriority w:val="0"/>
    <w:rPr>
      <w:color w:val="19177C"/>
    </w:rPr>
  </w:style>
  <w:style w:type="character" w:customStyle="1" w:styleId="61">
    <w:name w:val="ControlFlowTok"/>
    <w:basedOn w:val="38"/>
    <w:qFormat/>
    <w:uiPriority w:val="0"/>
    <w:rPr>
      <w:b/>
      <w:color w:val="007020"/>
    </w:rPr>
  </w:style>
  <w:style w:type="character" w:customStyle="1" w:styleId="62">
    <w:name w:val="OperatorTok"/>
    <w:basedOn w:val="38"/>
    <w:qFormat/>
    <w:uiPriority w:val="0"/>
    <w:rPr>
      <w:color w:val="666666"/>
    </w:rPr>
  </w:style>
  <w:style w:type="character" w:customStyle="1" w:styleId="63">
    <w:name w:val="BuiltInTok"/>
    <w:basedOn w:val="38"/>
    <w:qFormat/>
    <w:uiPriority w:val="0"/>
    <w:rPr>
      <w:color w:val="008000"/>
    </w:rPr>
  </w:style>
  <w:style w:type="character" w:customStyle="1" w:styleId="64">
    <w:name w:val="ExtensionTok"/>
    <w:basedOn w:val="38"/>
    <w:qFormat/>
    <w:uiPriority w:val="0"/>
  </w:style>
  <w:style w:type="character" w:customStyle="1" w:styleId="65">
    <w:name w:val="PreprocessorTok"/>
    <w:basedOn w:val="38"/>
    <w:qFormat/>
    <w:uiPriority w:val="0"/>
    <w:rPr>
      <w:color w:val="BC7A00"/>
    </w:rPr>
  </w:style>
  <w:style w:type="character" w:customStyle="1" w:styleId="66">
    <w:name w:val="AttributeTok"/>
    <w:basedOn w:val="38"/>
    <w:qFormat/>
    <w:uiPriority w:val="0"/>
    <w:rPr>
      <w:color w:val="7D9029"/>
    </w:rPr>
  </w:style>
  <w:style w:type="character" w:customStyle="1" w:styleId="67">
    <w:name w:val="RegionMarkerTok"/>
    <w:basedOn w:val="38"/>
    <w:qFormat/>
    <w:uiPriority w:val="0"/>
  </w:style>
  <w:style w:type="character" w:customStyle="1" w:styleId="68">
    <w:name w:val="InformationTok"/>
    <w:basedOn w:val="38"/>
    <w:qFormat/>
    <w:uiPriority w:val="0"/>
    <w:rPr>
      <w:b/>
      <w:i/>
      <w:color w:val="60A0B0"/>
    </w:rPr>
  </w:style>
  <w:style w:type="character" w:customStyle="1" w:styleId="69">
    <w:name w:val="WarningTok"/>
    <w:basedOn w:val="38"/>
    <w:qFormat/>
    <w:uiPriority w:val="0"/>
    <w:rPr>
      <w:b/>
      <w:i/>
      <w:color w:val="60A0B0"/>
    </w:rPr>
  </w:style>
  <w:style w:type="character" w:customStyle="1" w:styleId="70">
    <w:name w:val="AlertTok"/>
    <w:basedOn w:val="38"/>
    <w:qFormat/>
    <w:uiPriority w:val="0"/>
    <w:rPr>
      <w:b/>
      <w:color w:val="FF0000"/>
    </w:rPr>
  </w:style>
  <w:style w:type="character" w:customStyle="1" w:styleId="71">
    <w:name w:val="ErrorTok"/>
    <w:basedOn w:val="38"/>
    <w:qFormat/>
    <w:uiPriority w:val="0"/>
    <w:rPr>
      <w:b/>
      <w:color w:val="FF0000"/>
    </w:rPr>
  </w:style>
  <w:style w:type="character" w:customStyle="1" w:styleId="72">
    <w:name w:val="NormalTok"/>
    <w:basedOn w:val="3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43</Pages>
  <Words>11128</Words>
  <Characters>14099</Characters>
  <Lines>12</Lines>
  <Paragraphs>8</Paragraphs>
  <TotalTime>0</TotalTime>
  <ScaleCrop>false</ScaleCrop>
  <LinksUpToDate>false</LinksUpToDate>
  <CharactersWithSpaces>14958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2026-05-09T14:44:00Z</dcterms:created>
  <dc:creator>Tim</dc:creator>
  <cp:lastModifiedBy>Tim</cp:lastModifiedBy>
  <dcterms:modified xsi:type="dcterms:W3CDTF">2026-05-11T04:38:24Z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eyJoZGlkIjoiY2NiNTJhYjZkMDU2NjNiYjQ1NmJmZDZiNDIwM2I1OTYiLCJ1c2VySWQiOiIzMTAzNjM5ODcifQ==</vt:lpwstr>
  </property>
  <property fmtid="{D5CDD505-2E9C-101B-9397-08002B2CF9AE}" pid="3" name="KSOProductBuildVer">
    <vt:lpwstr>2052-12.1.0.25865</vt:lpwstr>
  </property>
  <property fmtid="{D5CDD505-2E9C-101B-9397-08002B2CF9AE}" pid="4" name="ICV">
    <vt:lpwstr>75C9AC7974EA4D7FAB6D6A53AF0B4E1E_13</vt:lpwstr>
  </property>
</Properties>
</file>