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Risk Governance OS — Methodology Whitepaper</w:t>
      </w:r>
    </w:p>
    <w:p w:rsidR="00000000" w:rsidDel="00000000" w:rsidP="00000000" w:rsidRDefault="00000000" w:rsidRPr="00000000" w14:paraId="00000002">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Author: Chen-En Hou</w:t>
      </w:r>
    </w:p>
    <w:p w:rsidR="00000000" w:rsidDel="00000000" w:rsidP="00000000" w:rsidRDefault="00000000" w:rsidRPr="00000000" w14:paraId="00000003">
      <w:pPr>
        <w:jc w:val="both"/>
        <w:rPr>
          <w:b w:val="1"/>
          <w:bCs w:val="1"/>
        </w:rPr>
      </w:pPr>
      <w:r>
        <w:rPr>
          <w:b w:val="1"/>
          <w:bCs w:val="1"/>
          <w:rtl w:val="0"/>
        </w:rPr>
        <w:t xml:space="preserve">Abstract</w:t>
      </w:r>
    </w:p>
    <w:p w:rsidR="00000000" w:rsidDel="00000000" w:rsidP="00000000" w:rsidRDefault="00000000" w:rsidRPr="00000000" w14:paraId="00000004">
      <w:pPr>
        <w:spacing w:after="120" w:before="120" w:line="240" w:lineRule="auto"/>
        <w:jc w:val="both"/>
        <w:rPr/>
      </w:pPr>
      <w:r>
        <w:rPr>
          <w:rtl w:val="0"/>
        </w:rPr>
        <w:t xml:space="preserve">MRDAP (Multi-Risk Decision Analysis Process) is a decision-support method designed for environments where multiple risks coexist. By translating different risks into comparable and integrable analytical units, MRDAP helps senior decision-makers understand the organization’s overall risk state and risk pressure, and assess how different governance options affect the available decision space.</w:t>
      </w:r>
    </w:p>
    <w:p w:rsidR="00000000" w:rsidDel="00000000" w:rsidP="00000000" w:rsidRDefault="00000000" w:rsidRPr="00000000" w14:paraId="00000005">
      <w:pPr>
        <w:pStyle w:val="Heading3"/>
        <w:keepNext w:val="0"/>
        <w:keepLines w:val="0"/>
        <w:spacing w:after="120" w:before="120" w:line="240" w:lineRule="auto"/>
        <w:jc w:val="both"/>
        <w:rPr>
          <w:color w:val="000000"/>
          <w:sz w:val="26"/>
          <w:szCs w:val="26"/>
        </w:rPr>
      </w:pPr>
      <w:bookmarkStart w:colFirst="0" w:colLast="0" w:name="_heading=h.zfeu0q370et2" w:id="0"/>
      <w:bookmarkEnd w:id="0"/>
      <w:r>
        <w:rPr>
          <w:color w:val="000000"/>
          <w:sz w:val="26"/>
          <w:szCs w:val="26"/>
          <w:rtl w:val="0"/>
        </w:rPr>
        <w:t xml:space="preserve">Core Contributions</w:t>
      </w:r>
    </w:p>
    <w:p w:rsidR="00000000" w:rsidDel="00000000" w:rsidP="00000000" w:rsidRDefault="00000000" w:rsidRPr="00000000" w14:paraId="00000006">
      <w:pPr>
        <w:numPr>
          <w:ilvl w:val="0"/>
          <w:numId w:val="28"/>
        </w:numPr>
        <w:spacing w:after="120" w:before="120" w:line="240" w:lineRule="auto"/>
        <w:ind w:left="720" w:hanging="360"/>
        <w:rPr/>
      </w:pPr>
      <w:r>
        <w:rPr>
          <w:rtl w:val="0"/>
        </w:rPr>
        <w:t xml:space="preserve">Presents overall risk state through an integrated risk portfolio and intuitive indicators</w:t>
        <w:br w:type="textWrapping"/>
        <w:t xml:space="preserve"> MRDAP processes multiple heterogeneous risks simultaneously and integrates them into a single, interpretable indicator of overall risk state, enabling decision-makers to clearly recognize whether the organization is operating in a stable condition, under increasing pressure, or approaching governance limits.</w:t>
        <w:br w:type="textWrapping"/>
      </w:r>
    </w:p>
    <w:p w:rsidR="00000000" w:rsidDel="00000000" w:rsidP="00000000" w:rsidRDefault="00000000" w:rsidRPr="00000000" w14:paraId="00000007">
      <w:pPr>
        <w:numPr>
          <w:ilvl w:val="0"/>
          <w:numId w:val="28"/>
        </w:numPr>
        <w:spacing w:after="120" w:before="120" w:line="240" w:lineRule="auto"/>
        <w:ind w:left="720" w:hanging="360"/>
        <w:rPr/>
      </w:pPr>
      <w:r>
        <w:rPr>
          <w:rtl w:val="0"/>
        </w:rPr>
        <w:t xml:space="preserve">Preserves risk heterogeneity while enabling cross-domain comparison and prioritization</w:t>
        <w:br w:type="textWrapping"/>
        <w:t xml:space="preserve"> Through structured transformation, risks originating from different domains and professional backgrounds can be compared and weighed at the same decision level without eliminating their inherent differences.</w:t>
        <w:br w:type="textWrapping"/>
      </w:r>
    </w:p>
    <w:p w:rsidR="00000000" w:rsidDel="00000000" w:rsidP="00000000" w:rsidRDefault="00000000" w:rsidRPr="00000000" w14:paraId="00000008">
      <w:pPr>
        <w:numPr>
          <w:ilvl w:val="0"/>
          <w:numId w:val="28"/>
        </w:numPr>
        <w:spacing w:after="120" w:before="120" w:line="240" w:lineRule="auto"/>
        <w:ind w:left="720" w:hanging="360"/>
        <w:rPr/>
      </w:pPr>
      <w:r>
        <w:rPr>
          <w:rtl w:val="0"/>
        </w:rPr>
        <w:t xml:space="preserve">Incorporates real governance conditions to reflect actual decision environments</w:t>
        <w:br w:type="textWrapping"/>
        <w:t xml:space="preserve"> Governance inputs, execution pace, and management conditions are explicitly included in the analysis, allowing MRDAP to reflect overall risk pressure under existing governance constraints, rather than under idealized assumptions.</w:t>
        <w:br w:type="textWrapping"/>
      </w:r>
    </w:p>
    <w:p w:rsidR="00000000" w:rsidDel="00000000" w:rsidP="00000000" w:rsidRDefault="00000000" w:rsidRPr="00000000" w14:paraId="00000009">
      <w:pPr>
        <w:numPr>
          <w:ilvl w:val="0"/>
          <w:numId w:val="28"/>
        </w:numPr>
        <w:spacing w:after="120" w:before="120" w:line="240" w:lineRule="auto"/>
        <w:ind w:left="720" w:hanging="360"/>
        <w:rPr/>
      </w:pPr>
      <w:r>
        <w:rPr>
          <w:rtl w:val="0"/>
        </w:rPr>
        <w:t xml:space="preserve">Functions as a decision communication tool for cross-unit alignment</w:t>
        <w:br w:type="textWrapping"/>
        <w:t xml:space="preserve"> MRDAP provides a shared analytical language that enables different organizational units to discuss risk trade-offs and priorities within a unified decision view.</w:t>
      </w:r>
    </w:p>
    <w:p w:rsidR="00000000" w:rsidDel="00000000" w:rsidP="00000000" w:rsidRDefault="00000000" w:rsidRPr="00000000" w14:paraId="0000000A">
      <w:pPr>
        <w:pStyle w:val="Heading3"/>
        <w:keepNext w:val="0"/>
        <w:keepLines w:val="0"/>
        <w:spacing w:after="120" w:before="120" w:line="240" w:lineRule="auto"/>
        <w:jc w:val="both"/>
        <w:rPr>
          <w:color w:val="000000"/>
          <w:sz w:val="26"/>
          <w:szCs w:val="26"/>
        </w:rPr>
      </w:pPr>
      <w:bookmarkStart w:colFirst="0" w:colLast="0" w:name="_heading=h.kp15ui79fk0n" w:id="1"/>
      <w:bookmarkEnd w:id="1"/>
      <w:r>
        <w:rPr>
          <w:color w:val="000000"/>
          <w:sz w:val="26"/>
          <w:szCs w:val="26"/>
          <w:rtl w:val="0"/>
        </w:rPr>
        <w:t xml:space="preserve">Intended Users</w:t>
      </w:r>
    </w:p>
    <w:p w:rsidR="00000000" w:rsidDel="00000000" w:rsidP="00000000" w:rsidRDefault="00000000" w:rsidRPr="00000000" w14:paraId="0000000B">
      <w:pPr>
        <w:spacing w:after="120" w:before="120" w:line="240" w:lineRule="auto"/>
        <w:jc w:val="both"/>
        <w:rPr/>
      </w:pPr>
      <w:r>
        <w:rPr>
          <w:rtl w:val="0"/>
        </w:rPr>
        <w:t xml:space="preserve">MRDAP is suited for technology- and R&amp;D-intensive industries, critical infrastructure and cybersecurity sectors, financial institutions and large investment organizations, energy and public utilities, healthcare, and other high-safety-requirement industries where risks are highly interdependent and the cost of decision error is substantial.</w:t>
        <w:br w:type="textWrapping"/>
        <w:t xml:space="preserve"> It is designed as a decision-support tool for boards, CXOs, business group leadership, and senior government officials when evaluating major strategic and governance decisions.</w:t>
      </w:r>
    </w:p>
    <w:p w:rsidR="00000000" w:rsidDel="00000000" w:rsidP="00000000" w:rsidRDefault="00000000" w:rsidRPr="00000000" w14:paraId="0000000C">
      <w:pPr>
        <w:spacing w:after="240" w:before="240" w:lineRule="auto"/>
        <w:jc w:val="both"/>
        <w:rPr/>
      </w:pPr>
      <w:r>
        <w:rPr>
          <w:rtl w:val="0"/>
        </w:rPr>
      </w:r>
    </w:p>
    <w:p w:rsidR="00000000" w:rsidDel="00000000" w:rsidP="00000000" w:rsidRDefault="00000000" w:rsidRPr="00000000" w14:paraId="0000000D">
      <w:pPr>
        <w:jc w:val="both"/>
        <w:rPr>
          <w:b w:val="1"/>
          <w:bCs w:val="1"/>
        </w:rPr>
      </w:pPr>
      <w:r>
        <w:rPr>
          <w:b w:val="1"/>
          <w:bCs w:val="1"/>
          <w:rtl w:val="0"/>
        </w:rPr>
        <w:t xml:space="preserve">Chapter 1: Risk Is a Governance Responsibility, Not an Event</w:t>
      </w:r>
    </w:p>
    <w:p w:rsidR="00000000" w:rsidDel="00000000" w:rsidP="00000000" w:rsidRDefault="00000000" w:rsidRPr="00000000" w14:paraId="0000000E">
      <w:pPr>
        <w:jc w:val="both"/>
        <w:rPr/>
      </w:pPr>
      <w:r>
        <w:rPr>
          <w:rtl w:val="0"/>
        </w:rPr>
        <w:t xml:space="preserve">Contemporary organizations widely claim to have robust risk management systems: Chief Risk Officers (CROs) are appointed in corporations, governments establish risk assessment processes, project management incorporates risk registers, and investment firms build sophisticated risk control models. However, in the face of major impacts like financial crises, pandemics, supply chain disruptions, geopolitical conflicts, tech-ethical crises, and climate disasters, these systems have repeatedly shown structural failure.</w:t>
      </w:r>
    </w:p>
    <w:p w:rsidR="00000000" w:rsidDel="00000000" w:rsidP="00000000" w:rsidRDefault="00000000" w:rsidRPr="00000000" w14:paraId="0000000F">
      <w:pPr>
        <w:jc w:val="both"/>
        <w:rPr/>
      </w:pPr>
      <w:r>
        <w:rPr>
          <w:rtl w:val="0"/>
        </w:rPr>
        <w:t xml:space="preserve">These failures do not stem from insufficient data, imprecise models, or outdated prediction techniques. Rather, they arise from a more fundamental error: the institutionalization of risk as an event problem, rather than a governance problem. In institutional design, risk has been equated with the "probability and impact of a certain event occurring," while the task of governance has been mistakenly understood as "preventing that event from happening." This event-oriented view of risk inherently reduces risk management to an exercise in prediction engineering, rather than governance engineering. The current event-oriented risk perspective implies three assumptions: (1) risks can be segmented into independent events; (2) events can be accurately predicted; and (3) avoiding the event is synonymous with fulfilling governance responsibilities.</w:t>
      </w:r>
    </w:p>
    <w:p w:rsidR="00000000" w:rsidDel="00000000" w:rsidP="00000000" w:rsidRDefault="00000000" w:rsidRPr="00000000" w14:paraId="00000010">
      <w:pPr>
        <w:jc w:val="both"/>
        <w:rPr/>
      </w:pPr>
      <w:r>
        <w:rPr>
          <w:rtl w:val="0"/>
        </w:rPr>
        <w:t xml:space="preserve">In the reality of decision-making, however, organizations do not face single events. They confront a continuous, simultaneous, and interconnected structure of multiple risks. Risks do not wait for predictions to be finalized before emerging, nor do they disappear just because a single event is controlled. They persistently shape the behavioral boundaries of the organization in the form of systems, strategies, resource allocation, and decision tempos. Therefore, understanding risk as an event not only fails to capture the true structure of risk but also obscures the core of the governance issue.</w:t>
      </w:r>
    </w:p>
    <w:p w:rsidR="00000000" w:rsidDel="00000000" w:rsidP="00000000" w:rsidRDefault="00000000" w:rsidRPr="00000000" w14:paraId="00000011">
      <w:pPr>
        <w:jc w:val="both"/>
        <w:rPr/>
      </w:pPr>
      <w:r>
        <w:rPr>
          <w:rtl w:val="0"/>
        </w:rPr>
        <w:t xml:space="preserve">When risk is reconceptualized as a governance problem, its nature fundamentally transforms. Risk is no longer "a bad thing that might happen in the future," but rather the governance condition that the organization must manage in the present moment. Every resource allocation, every policy choice, and every strategic commitment is an implicit commitment to risk. Risk thus becomes a structural responsibility, rather than the uncertainty of a single event. The real risk question is not "will the event happen?" but rather: Given limited resources, how does the organization account for its unavoidable residual risk?</w:t>
      </w:r>
    </w:p>
    <w:p w:rsidR="00000000" w:rsidDel="00000000" w:rsidP="00000000" w:rsidRDefault="00000000" w:rsidRPr="00000000" w14:paraId="00000012">
      <w:pPr>
        <w:jc w:val="both"/>
        <w:rPr/>
      </w:pPr>
      <w:r>
        <w:rPr>
          <w:rtl w:val="0"/>
        </w:rPr>
        <w:t xml:space="preserve">Any governance system, by virtue of resource limitations, will inevitably leave some risks uncovered. This portion of unmitigated risk constitutes the organization’s </w:t>
      </w:r>
      <w:r>
        <w:rPr>
          <w:i w:val="1"/>
          <w:iCs w:val="1"/>
          <w:rtl w:val="0"/>
        </w:rPr>
        <w:t xml:space="preserve">Residual Exposure</w:t>
      </w:r>
      <w:r>
        <w:rPr>
          <w:rtl w:val="0"/>
        </w:rPr>
        <w:t xml:space="preserve">. Residual exposure is not a result of management failure; it is an unavoidable product of governance. True governance capability lies not in eliminating risk, but in the ability to: (1) clearly identify the structure of one's own residual exposure; (2) clearly assume accountability for the risks left behind after resource allocation; and (3) ensure that this assumption of accountability is auditable, reviewable, and subject to scrutiny. Thus, the core of risk governance is not risk control, but the institutionalization of governance responsibility.</w:t>
      </w:r>
    </w:p>
    <w:p w:rsidR="00000000" w:rsidDel="00000000" w:rsidP="00000000" w:rsidRDefault="00000000" w:rsidRPr="00000000" w14:paraId="00000013">
      <w:pPr>
        <w:jc w:val="both"/>
        <w:rPr>
          <w:b w:val="1"/>
          <w:bCs w:val="1"/>
        </w:rPr>
      </w:pPr>
      <w:r>
        <w:rPr>
          <w:b w:val="1"/>
          <w:bCs w:val="1"/>
          <w:rtl w:val="0"/>
        </w:rPr>
        <w:t xml:space="preserve">Chapter 2: Risk Typologies and Governance Dilemmas</w:t>
      </w:r>
    </w:p>
    <w:p w:rsidR="00000000" w:rsidDel="00000000" w:rsidP="00000000" w:rsidRDefault="00000000" w:rsidRPr="00000000" w14:paraId="00000014">
      <w:pPr>
        <w:jc w:val="both"/>
        <w:rPr/>
      </w:pPr>
      <w:r>
        <w:rPr>
          <w:rtl w:val="0"/>
        </w:rPr>
        <w:t xml:space="preserve">Every governance challenge begins with a single fact: resources are always insufficient. Whether in corporations, governments, project teams, or investment firms, the available capital, manpower, time, attention, and institutional capacity fall far short of the total risk volume and decision-making demands faced. Simultaneously, organizations confront a structural reality of multiple, coexisting risks. These risks are not independent; they interact through resource competition—assigning more resources to one risk inevitably increases the exposure of another.</w:t>
      </w:r>
    </w:p>
    <w:p w:rsidR="00000000" w:rsidDel="00000000" w:rsidP="00000000" w:rsidRDefault="00000000" w:rsidRPr="00000000" w14:paraId="00000015">
      <w:pPr>
        <w:jc w:val="both"/>
        <w:rPr/>
      </w:pPr>
      <w:r>
        <w:rPr>
          <w:rtl w:val="0"/>
        </w:rPr>
        <w:t xml:space="preserve">Many governance systems are designed to pursue "Total Risk Control," an objective that is logically impossible. As long as resources are finite, total risk control remains an institutional illusion. This illusion leads to two severe consequences: (1) </w:t>
      </w:r>
      <w:r>
        <w:rPr>
          <w:b w:val="1"/>
          <w:bCs w:val="1"/>
          <w:rtl w:val="0"/>
        </w:rPr>
        <w:t xml:space="preserve">Institutional Hypocrisy</w:t>
      </w:r>
      <w:r>
        <w:rPr>
          <w:rtl w:val="0"/>
        </w:rPr>
        <w:t xml:space="preserve">: claiming comprehensive risk management while merely concealing residual exposure; and (2) </w:t>
      </w:r>
      <w:r>
        <w:rPr>
          <w:b w:val="1"/>
          <w:bCs w:val="1"/>
          <w:rtl w:val="0"/>
        </w:rPr>
        <w:t xml:space="preserve">Displacement of Responsibility</w:t>
      </w:r>
      <w:r>
        <w:rPr>
          <w:rtl w:val="0"/>
        </w:rPr>
        <w:t xml:space="preserve">: when a risk manifests, the failure is attributed to faulty prediction rather than to governance choices.</w:t>
      </w:r>
    </w:p>
    <w:p w:rsidR="00000000" w:rsidDel="00000000" w:rsidP="00000000" w:rsidRDefault="00000000" w:rsidRPr="00000000" w14:paraId="00000016">
      <w:pPr>
        <w:jc w:val="both"/>
        <w:rPr/>
      </w:pPr>
      <w:r>
        <w:rPr>
          <w:b w:val="1"/>
          <w:bCs w:val="1"/>
          <w:rtl w:val="0"/>
        </w:rPr>
        <w:t xml:space="preserve">Routine Decision-Making Risks:</w:t>
      </w:r>
      <w:r>
        <w:rPr>
          <w:rtl w:val="0"/>
        </w:rPr>
        <w:t xml:space="preserve"> Most disasters faced by organizations rarely stem from a single, dramatic error. Instead, they are the gradual accumulation of a vast number of seemingly rational, low-risk, and acceptable routine decisions. Budget reviews, project scheduling, resource adjustments, policy revisions, risk annotations, and progress delays—these micro-choices in daily operations constitute the primary breeding ground for risk. The danger of routine decision-making lies not in a single mistake, but in the long-term buildup of systemic bias. Routine decision-making risk is characterized by three traits: (1) </w:t>
      </w:r>
      <w:r>
        <w:rPr>
          <w:b w:val="1"/>
          <w:bCs w:val="1"/>
          <w:rtl w:val="0"/>
        </w:rPr>
        <w:t xml:space="preserve">Inevitability</w:t>
      </w:r>
      <w:r>
        <w:rPr>
          <w:rtl w:val="0"/>
        </w:rPr>
        <w:t xml:space="preserve">: organizations cannot cease making routine decisions; (2) </w:t>
      </w:r>
      <w:r>
        <w:rPr>
          <w:b w:val="1"/>
          <w:bCs w:val="1"/>
          <w:rtl w:val="0"/>
        </w:rPr>
        <w:t xml:space="preserve">Cumulativeness</w:t>
      </w:r>
      <w:r>
        <w:rPr>
          <w:rtl w:val="0"/>
        </w:rPr>
        <w:t xml:space="preserve">: risk does not disappear due to a single safe outcome but accumulates over time; and (3) </w:t>
      </w:r>
      <w:r>
        <w:rPr>
          <w:b w:val="1"/>
          <w:bCs w:val="1"/>
          <w:rtl w:val="0"/>
        </w:rPr>
        <w:t xml:space="preserve">Irreversibility</w:t>
      </w:r>
      <w:r>
        <w:rPr>
          <w:rtl w:val="0"/>
        </w:rPr>
        <w:t xml:space="preserve">: once risk reaches a tipping point, remediation costs rise non-linearly.</w:t>
      </w:r>
    </w:p>
    <w:p w:rsidR="00000000" w:rsidDel="00000000" w:rsidP="00000000" w:rsidRDefault="00000000" w:rsidRPr="00000000" w14:paraId="00000017">
      <w:pPr>
        <w:jc w:val="both"/>
        <w:rPr/>
      </w:pPr>
      <w:r>
        <w:rPr>
          <w:b w:val="1"/>
          <w:bCs w:val="1"/>
          <w:rtl w:val="0"/>
        </w:rPr>
        <w:t xml:space="preserve">Risks Under Time Pressure:</w:t>
      </w:r>
      <w:r>
        <w:rPr>
          <w:rtl w:val="0"/>
        </w:rPr>
        <w:t xml:space="preserve"> Decision-making is perpetually constrained by time: quarterly targets, annual budgets, project milestones, political cycles, and term-based performance reviews. Time pressure compels decision-makers to favor short-term feasible solutions while deferring long-term risks. Over time, risks are compressed, distorted, and transferred, eventually transforming into unbearable governance liabilities.</w:t>
      </w:r>
    </w:p>
    <w:p w:rsidR="00000000" w:rsidDel="00000000" w:rsidP="00000000" w:rsidRDefault="00000000" w:rsidRPr="00000000" w14:paraId="00000018">
      <w:pPr>
        <w:jc w:val="both"/>
        <w:rPr/>
      </w:pPr>
      <w:r>
        <w:rPr>
          <w:b w:val="1"/>
          <w:bCs w:val="1"/>
          <w:rtl w:val="0"/>
        </w:rPr>
        <w:t xml:space="preserve">The Decision-Making Dilemma:</w:t>
      </w:r>
      <w:r>
        <w:rPr>
          <w:rtl w:val="0"/>
        </w:rPr>
        <w:t xml:space="preserve"> Decision-makers must constantly balance several critical factors: (1) resource constraints; (2) time pressure; (3) limited intervention strategies; (4) risk uncertainty (variance in controllability); (5) coexistence of multiple risks; and (6) risk accumulation. Consequently, the standard for evaluating risk governance should not be "whether a disaster was successfully avoided." Instead, it should be the honest, rational, and accountable assumption of unavoidable risk consequences. This requires making resource allocation logic transparent, ensuring the risk selection process is auditable, and formalizing the assumption of residual exposure as a core governance responsibility.</w:t>
      </w:r>
    </w:p>
    <w:p w:rsidR="00000000" w:rsidDel="00000000" w:rsidP="00000000" w:rsidRDefault="00000000" w:rsidRPr="00000000" w14:paraId="00000019">
      <w:pPr>
        <w:jc w:val="both"/>
        <w:rPr/>
      </w:pPr>
      <w:r>
        <w:rPr>
          <w:rtl w:val="0"/>
        </w:rPr>
        <w:t xml:space="preserve">This paper integrates the aforementioned risks into the parameter design of a decision-making model, providing a modeling framework to serve as a residual exposure assessment tool for decision-makers.</w:t>
      </w:r>
    </w:p>
    <w:p w:rsidR="00000000" w:rsidDel="00000000" w:rsidP="00000000" w:rsidRDefault="00000000" w:rsidRPr="00000000" w14:paraId="0000001A">
      <w:pPr>
        <w:jc w:val="both"/>
        <w:rPr>
          <w:b w:val="1"/>
          <w:bCs w:val="1"/>
        </w:rPr>
      </w:pPr>
      <w:r>
        <w:rPr>
          <w:b w:val="1"/>
          <w:bCs w:val="1"/>
          <w:rtl w:val="0"/>
        </w:rPr>
        <w:t xml:space="preserve">Chapter 3: Modeling the Exposure Assessment Framework</w:t>
      </w:r>
    </w:p>
    <w:p w:rsidR="00000000" w:rsidDel="00000000" w:rsidP="00000000" w:rsidRDefault="00000000" w:rsidRPr="00000000" w14:paraId="0000001B">
      <w:pPr>
        <w:jc w:val="both"/>
        <w:rPr/>
      </w:pPr>
      <w:r>
        <w:rPr>
          <w:rtl w:val="0"/>
        </w:rPr>
        <w:t xml:space="preserve">To facilitate model construction, this chapter provides a detailed explanation of risk typologies and model configuration parameters. This ensures that users can quickly grasp and apply the framework. This chapter covers the overall assessment architecture, focusing on the following core components:</w:t>
      </w:r>
    </w:p>
    <w:tbl>
      <w:tblPr>
        <w:tblStyle w:val="Table1"/>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0"/>
        <w:gridCol w:w="3577"/>
        <w:gridCol w:w="2599"/>
        <w:tblGridChange w:id="0">
          <w:tblGrid>
            <w:gridCol w:w="2120"/>
            <w:gridCol w:w="3577"/>
            <w:gridCol w:w="2599"/>
          </w:tblGrid>
        </w:tblGridChange>
      </w:tblGrid>
      <w:tr>
        <w:trPr>
          <w:cantSplit w:val="0"/>
          <w:tblHeader w:val="0"/>
        </w:trPr>
        <w:tc>
          <w:tcPr>
            <w:gridSpan w:val="3"/>
            <w:shd w:fill="d9d9d9" w:val="clear"/>
            <w:vAlign w:val="center"/>
          </w:tcPr>
          <w:p w:rsidR="00000000" w:rsidDel="00000000" w:rsidP="00000000" w:rsidRDefault="00000000" w:rsidRPr="00000000" w14:paraId="0000001C">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Single Risk Calculation Structure</w:t>
            </w:r>
          </w:p>
        </w:tc>
      </w:tr>
      <w:tr>
        <w:trPr>
          <w:cantSplit w:val="0"/>
          <w:tblHeader w:val="0"/>
        </w:trPr>
        <w:tc>
          <w:tcPr/>
          <w:p w:rsidR="00000000" w:rsidDel="00000000" w:rsidP="00000000" w:rsidRDefault="00000000" w:rsidRPr="00000000" w14:paraId="0000001F">
            <w:pPr>
              <w:jc w:val="both"/>
              <w:rPr>
                <w:rFonts w:ascii="Times New Roman" w:cs="Times New Roman" w:eastAsia="Times New Roman" w:hAnsi="Times New Roman"/>
                <w:b w:val="1"/>
                <w:bCs w:val="1"/>
              </w:rPr>
            </w:pPr>
            <w:r>
              <w:rPr>
                <w:rFonts w:ascii="Arial" w:cs="Arial" w:eastAsia="Arial" w:hAnsi="Arial"/>
                <w:b w:val="1"/>
                <w:bCs w:val="1"/>
                <w:color w:val="0a0a0a"/>
                <w:sz w:val="21"/>
                <w:szCs w:val="21"/>
                <w:rtl w:val="0"/>
              </w:rPr>
              <w:t xml:space="preserve">Variable</w:t>
            </w:r>
            <w:r>
              <w:rPr>
                <w:rtl w:val="0"/>
              </w:rPr>
            </w:r>
          </w:p>
        </w:tc>
        <w:tc>
          <w:tcPr/>
          <w:p w:rsidR="00000000" w:rsidDel="00000000" w:rsidP="00000000" w:rsidRDefault="00000000" w:rsidRPr="00000000" w14:paraId="00000020">
            <w:pPr>
              <w:jc w:val="both"/>
              <w:rPr>
                <w:rFonts w:ascii="Times New Roman" w:cs="Times New Roman" w:eastAsia="Times New Roman" w:hAnsi="Times New Roman"/>
                <w:b w:val="1"/>
                <w:bCs w:val="1"/>
              </w:rPr>
            </w:pPr>
            <w:r>
              <w:rPr>
                <w:rFonts w:ascii="Arial" w:cs="Arial" w:eastAsia="Arial" w:hAnsi="Arial"/>
                <w:b w:val="1"/>
                <w:bCs w:val="1"/>
                <w:color w:val="0a0a0a"/>
                <w:sz w:val="21"/>
                <w:szCs w:val="21"/>
                <w:rtl w:val="0"/>
              </w:rPr>
              <w:t xml:space="preserve">Definition</w:t>
            </w:r>
            <w:r>
              <w:rPr>
                <w:rtl w:val="0"/>
              </w:rPr>
            </w:r>
          </w:p>
        </w:tc>
        <w:tc>
          <w:tcPr/>
          <w:p w:rsidR="00000000" w:rsidDel="00000000" w:rsidP="00000000" w:rsidRDefault="00000000" w:rsidRPr="00000000" w14:paraId="00000021">
            <w:pPr>
              <w:jc w:val="both"/>
              <w:rPr>
                <w:rFonts w:ascii="Times New Roman" w:cs="Times New Roman" w:eastAsia="Times New Roman" w:hAnsi="Times New Roman"/>
                <w:b w:val="1"/>
                <w:bCs w:val="1"/>
              </w:rPr>
            </w:pPr>
            <w:r>
              <w:rPr>
                <w:rFonts w:ascii="Arial" w:cs="Arial" w:eastAsia="Arial" w:hAnsi="Arial"/>
                <w:b w:val="1"/>
                <w:bCs w:val="1"/>
                <w:color w:val="0a0a0a"/>
                <w:sz w:val="21"/>
                <w:szCs w:val="21"/>
                <w:rtl w:val="0"/>
              </w:rPr>
              <w:t xml:space="preserve">Translation &amp; Formula</w:t>
            </w:r>
            <w:r>
              <w:rPr>
                <w:rtl w:val="0"/>
              </w:rPr>
            </w:r>
          </w:p>
        </w:tc>
      </w:tr>
      <w:tr>
        <w:trPr>
          <w:cantSplit w:val="0"/>
          <w:tblHeader w:val="0"/>
        </w:trPr>
        <w:tc>
          <w:tcPr>
            <w:vAlign w:val="center"/>
          </w:tcPr>
          <w:p w:rsidR="00000000" w:rsidDel="00000000" w:rsidP="00000000" w:rsidRDefault="00000000" w:rsidRPr="00000000" w14:paraId="00000022">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Single-Period Probability (P)</w:t>
            </w:r>
          </w:p>
        </w:tc>
        <w:tc>
          <w:tcPr>
            <w:vAlign w:val="center"/>
          </w:tcPr>
          <w:p w:rsidR="00000000" w:rsidDel="00000000" w:rsidP="00000000" w:rsidRDefault="00000000" w:rsidRPr="00000000" w14:paraId="00000023">
            <w:pPr>
              <w:jc w:val="both"/>
              <w:rPr>
                <w:rFonts w:ascii="Times New Roman" w:cs="Times New Roman" w:eastAsia="Times New Roman" w:hAnsi="Times New Roman"/>
              </w:rPr>
            </w:pPr>
            <w:r>
              <w:rPr>
                <w:rFonts w:ascii="Times New Roman" w:cs="Times New Roman" w:eastAsia="Times New Roman" w:hAnsi="Times New Roman"/>
                <w:rtl w:val="0"/>
              </w:rPr>
              <w:t xml:space="preserve">The probability of a risk event occurring within a single decision cycle.</w:t>
            </w:r>
          </w:p>
        </w:tc>
        <w:tc>
          <w:tcPr>
            <w:vAlign w:val="center"/>
          </w:tcPr>
          <w:p w:rsidR="00000000" w:rsidDel="00000000" w:rsidP="00000000" w:rsidRDefault="00000000" w:rsidRPr="00000000" w14:paraId="00000024">
            <w:pPr>
              <w:jc w:val="both"/>
              <w:rPr>
                <w:rFonts w:ascii="DFKai-SB" w:cs="DFKai-SB" w:eastAsia="DFKai-SB" w:hAnsi="DFKai-SB"/>
              </w:rPr>
            </w:pPr>
            <w:r>
              <w:rPr>
                <w:rFonts w:ascii="Times New Roman" w:cs="Times New Roman" w:eastAsia="Times New Roman" w:hAnsi="Times New Roman"/>
                <w:rtl w:val="0"/>
              </w:rPr>
              <w:t xml:space="preserve">0</w:t>
            </w:r>
            <w:r>
              <w:rPr>
                <w:rFonts w:ascii="DFKai-SB" w:cs="DFKai-SB" w:eastAsia="DFKai-SB" w:hAnsi="DFKai-SB"/>
                <w:rtl w:val="0"/>
              </w:rPr>
              <w:t xml:space="preserve">≦</w:t>
            </w:r>
            <w:r>
              <w:rPr>
                <w:rFonts w:ascii="Times New Roman" w:cs="Times New Roman" w:eastAsia="Times New Roman" w:hAnsi="Times New Roman"/>
                <w:i w:val="1"/>
                <w:iCs w:val="1"/>
                <w:rtl w:val="0"/>
              </w:rPr>
              <w:t xml:space="preserve">P</w:t>
            </w:r>
            <w:r>
              <w:rPr>
                <w:rFonts w:ascii="DFKai-SB" w:cs="DFKai-SB" w:eastAsia="DFKai-SB" w:hAnsi="DFKai-SB"/>
                <w:rtl w:val="0"/>
              </w:rPr>
              <w:t xml:space="preserve">≦1 </w:t>
            </w:r>
          </w:p>
          <w:p w:rsidR="00000000" w:rsidDel="00000000" w:rsidP="00000000" w:rsidRDefault="00000000" w:rsidRPr="00000000" w14:paraId="00000025">
            <w:pPr>
              <w:jc w:val="both"/>
              <w:rPr>
                <w:rFonts w:ascii="Times New Roman" w:cs="Times New Roman" w:eastAsia="Times New Roman" w:hAnsi="Times New Roman"/>
              </w:rPr>
            </w:pPr>
            <w:r>
              <w:rPr>
                <w:rFonts w:ascii="Times New Roman" w:cs="Times New Roman" w:eastAsia="Times New Roman" w:hAnsi="Times New Roman"/>
                <w:rtl w:val="0"/>
              </w:rPr>
              <w:t xml:space="preserve">P can be a structural judgment value. In practice, random sampling within a specified interval is allowed to simulate risk uncertainty.</w:t>
            </w:r>
          </w:p>
        </w:tc>
      </w:tr>
      <w:tr>
        <w:trPr>
          <w:cantSplit w:val="0"/>
          <w:tblHeader w:val="0"/>
        </w:trPr>
        <w:tc>
          <w:tcPr/>
          <w:p w:rsidR="00000000" w:rsidDel="00000000" w:rsidP="00000000" w:rsidRDefault="00000000" w:rsidRPr="00000000" w14:paraId="00000026">
            <w:pPr>
              <w:jc w:val="both"/>
              <w:rPr>
                <w:rFonts w:ascii="Times New Roman" w:cs="Times New Roman" w:eastAsia="Times New Roman" w:hAnsi="Times New Roman"/>
                <w:b w:val="1"/>
                <w:bCs w:val="1"/>
              </w:rPr>
            </w:pPr>
            <w:r>
              <w:rPr>
                <w:b w:val="1"/>
                <w:bCs w:val="1"/>
                <w:rtl w:val="0"/>
              </w:rPr>
              <w:t xml:space="preserve">Decision Cycle (T)</w:t>
            </w:r>
            <w:r>
              <w:rPr>
                <w:rtl w:val="0"/>
              </w:rPr>
            </w:r>
          </w:p>
        </w:tc>
        <w:tc>
          <w:tcPr/>
          <w:p w:rsidR="00000000" w:rsidDel="00000000" w:rsidP="00000000" w:rsidRDefault="00000000" w:rsidRPr="00000000" w14:paraId="00000027">
            <w:pPr>
              <w:jc w:val="both"/>
              <w:rPr>
                <w:rFonts w:ascii="Times New Roman" w:cs="Times New Roman" w:eastAsia="Times New Roman" w:hAnsi="Times New Roman"/>
              </w:rPr>
            </w:pPr>
            <w:r>
              <w:rPr>
                <w:rtl w:val="0"/>
              </w:rPr>
              <w:t xml:space="preserve">The length of one decision cycle, i.e., the interval between governance reviews (decision nodes).</w:t>
            </w:r>
          </w:p>
        </w:tc>
        <w:tc>
          <w:tcPr/>
          <w:p w:rsidR="00000000" w:rsidDel="00000000" w:rsidP="00000000" w:rsidRDefault="00000000" w:rsidRPr="00000000" w14:paraId="00000028">
            <w:pPr>
              <w:jc w:val="both"/>
              <w:rPr>
                <w:rFonts w:ascii="Times New Roman" w:cs="Times New Roman" w:eastAsia="Times New Roman" w:hAnsi="Times New Roman"/>
              </w:rPr>
            </w:pPr>
            <w:r>
              <w:rPr>
                <w:rtl w:val="0"/>
              </w:rPr>
              <w:t xml:space="preserve">Years, quarters, months. Over an observation horizon 𝐻, the number of decision cycles is 𝑁 = 𝐻 / 𝑇.</w:t>
            </w:r>
          </w:p>
        </w:tc>
      </w:tr>
      <w:tr>
        <w:trPr>
          <w:cantSplit w:val="0"/>
          <w:tblHeader w:val="0"/>
        </w:trPr>
        <w:tc>
          <w:tcPr>
            <w:vAlign w:val="center"/>
          </w:tcPr>
          <w:p w:rsidR="00000000" w:rsidDel="00000000" w:rsidP="00000000" w:rsidRDefault="00000000" w:rsidRPr="00000000" w14:paraId="00000029">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Cumulative Risk Probability (</w:t>
            </w: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cum</m:t>
                  </m:r>
                </m:sub>
              </m:sSub>
            </m:oMath>
            <w:r>
              <w:rPr>
                <w:rFonts w:ascii="Times New Roman" w:cs="Times New Roman" w:eastAsia="Times New Roman" w:hAnsi="Times New Roman"/>
                <w:b w:val="1"/>
                <w:bCs w:val="1"/>
                <w:rtl w:val="0"/>
              </w:rPr>
              <w:t xml:space="preserve">)</w:t>
            </w:r>
          </w:p>
        </w:tc>
        <w:tc>
          <w:tcPr>
            <w:vAlign w:val="center"/>
          </w:tcPr>
          <w:p w:rsidR="00000000" w:rsidDel="00000000" w:rsidP="00000000" w:rsidRDefault="00000000" w:rsidRPr="00000000" w14:paraId="0000002A">
            <w:pPr>
              <w:jc w:val="both"/>
              <w:rPr>
                <w:rFonts w:ascii="Times New Roman" w:cs="Times New Roman" w:eastAsia="Times New Roman" w:hAnsi="Times New Roman"/>
              </w:rPr>
            </w:pPr>
            <w:r>
              <w:rPr>
                <w:rFonts w:ascii="Times New Roman" w:cs="Times New Roman" w:eastAsia="Times New Roman" w:hAnsi="Times New Roman"/>
                <w:rtl w:val="0"/>
              </w:rPr>
              <w:t xml:space="preserve">The probability of a risk event occurring at least once over 𝑁 consecutive decision cycles.</w:t>
            </w:r>
          </w:p>
        </w:tc>
        <w:tc>
          <w:tcPr>
            <w:vAlign w:val="center"/>
          </w:tcPr>
          <w:p w:rsidR="00000000" w:rsidDel="00000000" w:rsidP="00000000" w:rsidRDefault="00000000" w:rsidRPr="00000000" w14:paraId="0000002B">
            <w:pPr>
              <w:jc w:val="center"/>
              <w:rPr>
                <w:rFonts w:ascii="Cambria Math" w:cs="Cambria Math" w:eastAsia="Cambria Math" w:hAnsi="Cambria Math"/>
              </w:rPr>
            </w:pPr>
            <m:oMath>
              <m:sSub>
                <m:e>
                  <m:r>
                    <m:t>P</m:t>
                  </m:r>
                </m:e>
                <m:sub>
                  <m:r>
                    <m:t>c</m:t>
                  </m:r>
                  <m:r>
                    <m:t>u</m:t>
                  </m:r>
                  <m:r>
                    <m:t>m</m:t>
                  </m:r>
                </m:sub>
              </m:sSub>
              <m:r>
                <m:rPr>
                  <m:sty m:val="p"/>
                </m:rPr>
                <m:t>=</m:t>
              </m:r>
              <m:r>
                <m:t>1</m:t>
              </m:r>
              <m:r>
                <m:rPr>
                  <m:sty m:val="p"/>
                </m:rPr>
                <m:t>−</m:t>
              </m:r>
              <m:sSup>
                <m:e>
                  <m:d>
                    <m:dPr>
                      <m:begChr m:val="("/>
                      <m:endChr m:val=")"/>
                      <m:grow/>
                    </m:dPr>
                    <m:e>
                      <m:r>
                        <m:t>1</m:t>
                      </m:r>
                      <m:r>
                        <m:rPr>
                          <m:sty m:val="p"/>
                        </m:rPr>
                        <m:t>−</m:t>
                      </m:r>
                      <m:r>
                        <m:t>P</m:t>
                      </m:r>
                    </m:e>
                  </m:d>
                </m:e>
                <m:sup>
                  <m:r>
                    <m:t>N</m:t>
                  </m:r>
                </m:sup>
              </m:sSup>
            </m:oMath>
            <w:r>
              <w:rPr>
                <w:rtl w:val="0"/>
              </w:rPr>
            </w:r>
          </w:p>
        </w:tc>
      </w:tr>
      <w:tr>
        <w:trPr>
          <w:cantSplit w:val="0"/>
          <w:tblHeader w:val="0"/>
        </w:trPr>
        <w:tc>
          <w:tcPr>
            <w:vAlign w:val="center"/>
          </w:tcPr>
          <w:p w:rsidR="00000000" w:rsidDel="00000000" w:rsidP="00000000" w:rsidRDefault="00000000" w:rsidRPr="00000000" w14:paraId="0000002C">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Impact Severity (I)</w:t>
            </w:r>
          </w:p>
        </w:tc>
        <w:tc>
          <w:tcPr>
            <w:vAlign w:val="center"/>
          </w:tcPr>
          <w:p w:rsidR="00000000" w:rsidDel="00000000" w:rsidP="00000000" w:rsidRDefault="00000000" w:rsidRPr="00000000" w14:paraId="0000002D">
            <w:pPr>
              <w:jc w:val="both"/>
              <w:rPr>
                <w:rFonts w:ascii="Times New Roman" w:cs="Times New Roman" w:eastAsia="Times New Roman" w:hAnsi="Times New Roman"/>
              </w:rPr>
            </w:pPr>
            <w:r>
              <w:rPr>
                <w:rFonts w:ascii="Times New Roman" w:cs="Times New Roman" w:eastAsia="Times New Roman" w:hAnsi="Times New Roman"/>
                <w:rtl w:val="0"/>
              </w:rPr>
              <w:t xml:space="preserve">The intensity of the consequences if the risk event occurs.</w:t>
            </w:r>
          </w:p>
        </w:tc>
        <w:tc>
          <w:tcPr>
            <w:vAlign w:val="center"/>
          </w:tcPr>
          <w:p w:rsidR="00000000" w:rsidDel="00000000" w:rsidP="00000000" w:rsidRDefault="00000000" w:rsidRPr="00000000" w14:paraId="0000002E">
            <w:pPr>
              <w:jc w:val="both"/>
              <w:rPr>
                <w:rFonts w:ascii="Times New Roman" w:cs="Times New Roman" w:eastAsia="Times New Roman" w:hAnsi="Times New Roman"/>
              </w:rPr>
            </w:pPr>
            <w:r>
              <w:rPr>
                <w:rFonts w:ascii="Times New Roman" w:cs="Times New Roman" w:eastAsia="Times New Roman" w:hAnsi="Times New Roman"/>
                <w:rtl w:val="0"/>
              </w:rPr>
              <w:t xml:space="preserve">Monetary value, loss index, or severity grade.</w:t>
            </w:r>
          </w:p>
        </w:tc>
      </w:tr>
      <w:tr>
        <w:trPr>
          <w:cantSplit w:val="0"/>
          <w:tblHeader w:val="0"/>
        </w:trPr>
        <w:tc>
          <w:tcPr>
            <w:vAlign w:val="center"/>
          </w:tcPr>
          <w:p w:rsidR="00000000" w:rsidDel="00000000" w:rsidP="00000000" w:rsidRDefault="00000000" w:rsidRPr="00000000" w14:paraId="0000002F">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Cumulative Expected Loss (</w:t>
            </w:r>
            <m:oMath>
              <m:sSub>
                <m:sSubPr>
                  <m:ctrlPr>
                    <w:rPr>
                      <w:rFonts w:ascii="Cambria Math" w:cs="Cambria Math" w:eastAsia="Cambria Math" w:hAnsi="Cambria Math"/>
                      <w:vertAlign w:val="subscript"/>
                    </w:rPr>
                  </m:ctrlPr>
                </m:sSubPr>
                <m:e>
                  <m:r>
                    <w:rPr>
                      <w:rFonts w:ascii="Cambria Math" w:cs="Cambria Math" w:eastAsia="Cambria Math" w:hAnsi="Cambria Math"/>
                      <w:vertAlign w:val="subscript"/>
                    </w:rPr>
                    <m:t xml:space="preserve">L</m:t>
                  </m:r>
                </m:e>
                <m:sub>
                  <m:r>
                    <w:rPr>
                      <w:rFonts w:ascii="Cambria Math" w:cs="Cambria Math" w:eastAsia="Cambria Math" w:hAnsi="Cambria Math"/>
                      <w:vertAlign w:val="subscript"/>
                    </w:rPr>
                    <m:t xml:space="preserve">exp</m:t>
                  </m:r>
                </m:sub>
              </m:sSub>
            </m:oMath>
            <w:r>
              <w:rPr>
                <w:rFonts w:ascii="Times New Roman" w:cs="Times New Roman" w:eastAsia="Times New Roman" w:hAnsi="Times New Roman"/>
                <w:b w:val="1"/>
                <w:bCs w:val="1"/>
                <w:vertAlign w:val="subscript"/>
                <w:rtl w:val="0"/>
              </w:rPr>
              <w:t xml:space="preserve">)</w:t>
            </w:r>
            <w:r>
              <w:rPr>
                <w:rtl w:val="0"/>
              </w:rPr>
            </w:r>
          </w:p>
        </w:tc>
        <w:tc>
          <w:tcPr>
            <w:vAlign w:val="center"/>
          </w:tcPr>
          <w:p w:rsidR="00000000" w:rsidDel="00000000" w:rsidP="00000000" w:rsidRDefault="00000000" w:rsidRPr="00000000" w14:paraId="00000030">
            <w:pPr>
              <w:jc w:val="both"/>
              <w:rPr>
                <w:rFonts w:ascii="Times New Roman" w:cs="Times New Roman" w:eastAsia="Times New Roman" w:hAnsi="Times New Roman"/>
              </w:rPr>
            </w:pPr>
            <w:r>
              <w:rPr>
                <w:rFonts w:ascii="Times New Roman" w:cs="Times New Roman" w:eastAsia="Times New Roman" w:hAnsi="Times New Roman"/>
                <w:rtl w:val="0"/>
              </w:rPr>
              <w:t xml:space="preserve">The expected risk burden after accounting for the time horizon.</w:t>
            </w:r>
          </w:p>
        </w:tc>
        <w:tc>
          <w:tcPr>
            <w:vAlign w:val="center"/>
          </w:tcPr>
          <w:p w:rsidR="00000000" w:rsidDel="00000000" w:rsidP="00000000" w:rsidRDefault="00000000" w:rsidRPr="00000000" w14:paraId="00000031">
            <w:pPr>
              <w:jc w:val="center"/>
              <w:rPr>
                <w:rFonts w:ascii="Cambria Math" w:cs="Cambria Math" w:eastAsia="Cambria Math" w:hAnsi="Cambria Math"/>
                <w:vertAlign w:val="subscript"/>
              </w:rPr>
            </w:pPr>
            <m:oMath>
              <m:sSub>
                <m:sSubPr>
                  <m:ctrlPr>
                    <w:rPr>
                      <w:rFonts w:ascii="Cambria Math" w:cs="Cambria Math" w:eastAsia="Cambria Math" w:hAnsi="Cambria Math"/>
                      <w:vertAlign w:val="subscript"/>
                    </w:rPr>
                  </m:ctrlPr>
                </m:sSubPr>
                <m:e>
                  <m:r>
                    <w:rPr>
                      <w:rFonts w:ascii="Cambria Math" w:cs="Cambria Math" w:eastAsia="Cambria Math" w:hAnsi="Cambria Math"/>
                      <w:vertAlign w:val="subscript"/>
                    </w:rPr>
                    <m:t xml:space="preserve">L</m:t>
                  </m:r>
                </m:e>
                <m:sub>
                  <m:r>
                    <w:rPr>
                      <w:rFonts w:ascii="Cambria Math" w:cs="Cambria Math" w:eastAsia="Cambria Math" w:hAnsi="Cambria Math"/>
                      <w:vertAlign w:val="subscript"/>
                    </w:rPr>
                    <m:t xml:space="preserve">exp</m:t>
                  </m:r>
                </m:sub>
              </m:sSub>
              <m:r>
                <w:rPr>
                  <w:rFonts w:ascii="Cambria Math" w:cs="Cambria Math" w:eastAsia="Cambria Math" w:hAnsi="Cambria Math"/>
                  <w:vertAlign w:val="subscript"/>
                </w:rPr>
                <m:t xml:space="preserve">=I*</m:t>
              </m:r>
              <m:sSub>
                <m:sSubPr>
                  <m:ctrlPr>
                    <w:rPr>
                      <w:rFonts w:ascii="Cambria Math" w:cs="Cambria Math" w:eastAsia="Cambria Math" w:hAnsi="Cambria Math"/>
                      <w:vertAlign w:val="subscript"/>
                    </w:rPr>
                  </m:ctrlPr>
                </m:sSubPr>
                <m:e>
                  <m:r>
                    <w:rPr>
                      <w:rFonts w:ascii="Cambria Math" w:cs="Cambria Math" w:eastAsia="Cambria Math" w:hAnsi="Cambria Math"/>
                      <w:vertAlign w:val="subscript"/>
                    </w:rPr>
                    <m:t xml:space="preserve">P</m:t>
                  </m:r>
                </m:e>
                <m:sub>
                  <m:r>
                    <w:rPr>
                      <w:rFonts w:ascii="Cambria Math" w:cs="Cambria Math" w:eastAsia="Cambria Math" w:hAnsi="Cambria Math"/>
                      <w:vertAlign w:val="subscript"/>
                    </w:rPr>
                    <m:t xml:space="preserve">cum</m:t>
                  </m:r>
                </m:sub>
              </m:sSub>
            </m:oMath>
            <w:r>
              <w:rPr>
                <w:rtl w:val="0"/>
              </w:rPr>
            </w:r>
          </w:p>
        </w:tc>
      </w:tr>
      <w:tr>
        <w:trPr>
          <w:cantSplit w:val="0"/>
          <w:tblHeader w:val="0"/>
        </w:trPr>
        <w:tc>
          <w:tcPr>
            <w:gridSpan w:val="3"/>
            <w:shd w:fill="d9d9d9" w:val="clear"/>
            <w:vAlign w:val="center"/>
          </w:tcPr>
          <w:p w:rsidR="00000000" w:rsidDel="00000000" w:rsidP="00000000" w:rsidRDefault="00000000" w:rsidRPr="00000000" w14:paraId="00000032">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Risk Governance</w:t>
            </w:r>
          </w:p>
        </w:tc>
      </w:tr>
      <w:tr>
        <w:trPr>
          <w:cantSplit w:val="0"/>
          <w:tblHeader w:val="0"/>
        </w:trPr>
        <w:tc>
          <w:tcPr>
            <w:vAlign w:val="center"/>
          </w:tcPr>
          <w:p w:rsidR="00000000" w:rsidDel="00000000" w:rsidP="00000000" w:rsidRDefault="00000000" w:rsidRPr="00000000" w14:paraId="00000035">
            <w:pPr>
              <w:jc w:val="both"/>
              <w:rPr>
                <w:rFonts w:ascii="Times New Roman" w:cs="Times New Roman" w:eastAsia="Times New Roman" w:hAnsi="Times New Roman"/>
              </w:rPr>
            </w:pPr>
            <w:r>
              <w:rPr>
                <w:rFonts w:ascii="Times New Roman" w:cs="Times New Roman" w:eastAsia="Times New Roman" w:hAnsi="Times New Roman"/>
                <w:rtl w:val="0"/>
              </w:rPr>
              <w:t xml:space="preserve">Governance Effectiveness (C)</w:t>
            </w:r>
          </w:p>
        </w:tc>
        <w:tc>
          <w:tcPr>
            <w:vAlign w:val="center"/>
          </w:tcPr>
          <w:p w:rsidR="00000000" w:rsidDel="00000000" w:rsidP="00000000" w:rsidRDefault="00000000" w:rsidRPr="00000000" w14:paraId="00000036">
            <w:pPr>
              <w:jc w:val="both"/>
              <w:rPr>
                <w:rFonts w:ascii="Times New Roman" w:cs="Times New Roman" w:eastAsia="Times New Roman" w:hAnsi="Times New Roman"/>
              </w:rPr>
            </w:pPr>
            <w:r>
              <w:rPr>
                <w:rFonts w:ascii="Times New Roman" w:cs="Times New Roman" w:eastAsia="Times New Roman" w:hAnsi="Times New Roman"/>
                <w:rtl w:val="0"/>
              </w:rPr>
              <w:t xml:space="preserve">The effectiveness of governance measures taken against a risk </w:t>
            </w:r>
          </w:p>
          <w:p w:rsidR="00000000" w:rsidDel="00000000" w:rsidP="00000000" w:rsidRDefault="00000000" w:rsidRPr="00000000" w14:paraId="00000037">
            <w:pPr>
              <w:jc w:val="both"/>
              <w:rPr>
                <w:rFonts w:ascii="Times New Roman" w:cs="Times New Roman" w:eastAsia="Times New Roman" w:hAnsi="Times New Roman"/>
              </w:rPr>
            </w:pPr>
            <w:r>
              <w:rPr>
                <w:rFonts w:ascii="Times New Roman" w:cs="Times New Roman" w:eastAsia="Times New Roman" w:hAnsi="Times New Roman"/>
                <w:rtl w:val="0"/>
              </w:rPr>
              <w:t xml:space="preserve">(0 = no governance; 1 = maximum feasible reduction, down to the irreducible floor 𝑃𝑓𝑙𝑜𝑜𝑟; negative values = governance that increases the risk).</w:t>
            </w:r>
          </w:p>
        </w:tc>
        <w:tc>
          <w:tcPr>
            <w:vAlign w:val="center"/>
          </w:tcPr>
          <w:p w:rsidR="00000000" w:rsidDel="00000000" w:rsidP="00000000" w:rsidRDefault="00000000" w:rsidRPr="00000000" w14:paraId="00000038">
            <w:pPr>
              <w:jc w:val="both"/>
              <w:rPr>
                <w:rFonts w:ascii="Times New Roman" w:cs="Times New Roman" w:eastAsia="Times New Roman" w:hAnsi="Times New Roman"/>
              </w:rPr>
            </w:pPr>
            <m:oMath>
              <m:r>
                <m:t>C</m:t>
              </m:r>
              <m:r>
                <m:rPr>
                  <m:sty m:val="p"/>
                </m:rPr>
                <m:t>≤</m:t>
              </m:r>
              <m:r>
                <m:t>1</m:t>
              </m:r>
              <m:r>
                <m:rPr>
                  <m:sty m:val="p"/>
                </m:rPr>
                <m:t>,</m:t>
              </m:r>
              <m:r>
                <m:t> </m:t>
              </m:r>
              <m:sSub>
                <m:e>
                  <m:r>
                    <m:t>P</m:t>
                  </m:r>
                </m:e>
                <m:sub>
                  <m:r>
                    <m:t>g</m:t>
                  </m:r>
                  <m:r>
                    <m:t>o</m:t>
                  </m:r>
                  <m:r>
                    <m:t>v</m:t>
                  </m:r>
                </m:sub>
              </m:sSub>
              <m:r>
                <m:rPr>
                  <m:sty m:val="p"/>
                </m:rPr>
                <m:t>=</m:t>
              </m:r>
              <m:sSub>
                <m:e>
                  <m:r>
                    <m:t>P</m:t>
                  </m:r>
                </m:e>
                <m:sub>
                  <m:r>
                    <m:t>f</m:t>
                  </m:r>
                  <m:r>
                    <m:t>l</m:t>
                  </m:r>
                  <m:r>
                    <m:t>o</m:t>
                  </m:r>
                  <m:r>
                    <m:t>o</m:t>
                  </m:r>
                  <m:r>
                    <m:t>r</m:t>
                  </m:r>
                </m:sub>
              </m:sSub>
              <m:r>
                <m:rPr>
                  <m:sty m:val="p"/>
                </m:rPr>
                <m:t>+</m:t>
              </m:r>
              <m:d>
                <m:dPr>
                  <m:begChr m:val="("/>
                  <m:endChr m:val=")"/>
                  <m:grow/>
                </m:dPr>
                <m:e>
                  <m:r>
                    <m:t>P</m:t>
                  </m:r>
                  <m:r>
                    <m:rPr>
                      <m:sty m:val="p"/>
                    </m:rPr>
                    <m:t>−</m:t>
                  </m:r>
                  <m:sSub>
                    <m:e>
                      <m:r>
                        <m:t>P</m:t>
                      </m:r>
                    </m:e>
                    <m:sub>
                      <m:r>
                        <m:t>f</m:t>
                      </m:r>
                      <m:r>
                        <m:t>l</m:t>
                      </m:r>
                      <m:r>
                        <m:t>o</m:t>
                      </m:r>
                      <m:r>
                        <m:t>o</m:t>
                      </m:r>
                      <m:r>
                        <m:t>r</m:t>
                      </m:r>
                    </m:sub>
                  </m:sSub>
                </m:e>
              </m:d>
              <m:d>
                <m:dPr>
                  <m:begChr m:val="("/>
                  <m:endChr m:val=")"/>
                  <m:grow/>
                </m:dPr>
                <m:e>
                  <m:r>
                    <m:t>1</m:t>
                  </m:r>
                  <m:r>
                    <m:rPr>
                      <m:sty m:val="p"/>
                    </m:rPr>
                    <m:t>−</m:t>
                  </m:r>
                  <m:r>
                    <m:t>C</m:t>
                  </m:r>
                </m:e>
              </m:d>
            </m:oMath>
          </w:p>
        </w:tc>
      </w:tr>
      <w:tr>
        <w:trPr>
          <w:cantSplit w:val="0"/>
          <w:tblHeader w:val="0"/>
        </w:trPr>
        <w:tc>
          <w:tcPr>
            <w:vAlign w:val="center"/>
          </w:tcPr>
          <w:p w:rsidR="00000000" w:rsidDel="00000000" w:rsidP="00000000" w:rsidRDefault="00000000" w:rsidRPr="00000000" w14:paraId="00000039">
            <w:pPr>
              <w:jc w:val="both"/>
              <w:rPr>
                <w:rFonts w:ascii="Times New Roman" w:cs="Times New Roman" w:eastAsia="Times New Roman" w:hAnsi="Times New Roman"/>
              </w:rPr>
            </w:pPr>
            <w:r>
              <w:rPr>
                <w:rFonts w:ascii="Times New Roman" w:cs="Times New Roman" w:eastAsia="Times New Roman" w:hAnsi="Times New Roman"/>
                <w:rtl w:val="0"/>
              </w:rPr>
              <w:t xml:space="preserve">Time Pressure Coefficient (</w:t>
            </w:r>
            <w:r>
              <w:rPr>
                <w:rFonts w:ascii="Cambria Math" w:cs="Cambria Math" w:eastAsia="Cambria Math" w:hAnsi="Cambria Math"/>
                <w:rtl w:val="0"/>
              </w:rPr>
              <w:t xml:space="preserve">𝜏</w:t>
            </w:r>
            <w:r>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03A">
            <w:pPr>
              <w:jc w:val="both"/>
              <w:rPr>
                <w:rFonts w:ascii="Times New Roman" w:cs="Times New Roman" w:eastAsia="Times New Roman" w:hAnsi="Times New Roman"/>
              </w:rPr>
            </w:pPr>
            <w:r>
              <w:rPr>
                <w:rFonts w:ascii="Times New Roman" w:cs="Times New Roman" w:eastAsia="Times New Roman" w:hAnsi="Times New Roman"/>
                <w:rtl w:val="0"/>
              </w:rPr>
              <w:t xml:space="preserve">A correction factor representing the increased difficulty of governance as decision time decreases.</w:t>
            </w:r>
          </w:p>
        </w:tc>
        <w:tc>
          <w:tcPr>
            <w:vAlign w:val="center"/>
          </w:tcPr>
          <w:p w:rsidR="00000000" w:rsidDel="00000000" w:rsidP="00000000" w:rsidRDefault="00000000" w:rsidRPr="00000000" w14:paraId="0000003B">
            <w:pPr>
              <w:jc w:val="both"/>
              <w:rPr>
                <w:rFonts w:ascii="Times New Roman" w:cs="Times New Roman" w:eastAsia="Times New Roman" w:hAnsi="Times New Roman"/>
              </w:rPr>
            </w:pPr>
            <m:oMath>
              <m:r>
                <w:rPr>
                  <w:rFonts w:ascii="Cambria Math" w:cs="Cambria Math" w:eastAsia="Cambria Math" w:hAnsi="Cambria Math"/>
                </w:rPr>
                <m:t xml:space="preserve">τ≥1</m:t>
              </m:r>
            </m:oMath>
            <w:sdt>
              <w:sdtPr>
                <w:id w:val="1510641167"/>
                <w:tag w:val="goog_rdk_0"/>
              </w:sdtPr>
              <w:sdtContent>
                <w:r>
                  <w:rPr>
                    <w:rFonts w:ascii="Gungsuh" w:cs="Gungsuh" w:eastAsia="Gungsuh" w:hAnsi="Gungsuh"/>
                    <w:rtl w:val="0"/>
                  </w:rPr>
                  <w:t xml:space="preserve">，Calculated as the relative ratio of the decision cycle to a reference cycle, e.g.,</w:t>
                </w:r>
              </w:sdtContent>
            </w:sdt>
          </w:p>
          <w:p w:rsidR="00000000" w:rsidDel="00000000" w:rsidP="00000000" w:rsidRDefault="00000000" w:rsidRPr="00000000" w14:paraId="0000003C">
            <w:pPr>
              <w:jc w:val="center"/>
              <w:rPr>
                <w:rFonts w:ascii="Cambria Math" w:cs="Cambria Math" w:eastAsia="Cambria Math" w:hAnsi="Cambria Math"/>
              </w:rPr>
            </w:pPr>
            <m:oMath>
              <m:r>
                <w:rPr>
                  <w:rFonts w:ascii="Cambria Math" w:cs="Cambria Math" w:eastAsia="Cambria Math" w:hAnsi="Cambria Math"/>
                </w:rPr>
                <m:t xml:space="preserve">τ=</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ref</m:t>
                              </m:r>
                            </m:sub>
                          </m:sSub>
                        </m:num>
                        <m:den>
                          <m:r>
                            <w:rPr>
                              <w:rFonts w:ascii="Cambria Math" w:cs="Cambria Math" w:eastAsia="Cambria Math" w:hAnsi="Cambria Math"/>
                            </w:rPr>
                            <m:t xml:space="preserve">T</m:t>
                          </m:r>
                        </m:den>
                      </m:f>
                    </m:e>
                  </m:d>
                </m:e>
                <m:sup>
                  <m:r>
                    <w:rPr>
                      <w:rFonts w:ascii="Cambria Math" w:cs="Cambria Math" w:eastAsia="Cambria Math" w:hAnsi="Cambria Math"/>
                    </w:rPr>
                    <m:t xml:space="preserve">k</m:t>
                  </m:r>
                </m:sup>
              </m:sSup>
            </m:oMath>
            <w:r>
              <w:rPr>
                <w:rtl w:val="0"/>
              </w:rPr>
            </w:r>
          </w:p>
          <w:p w:rsidR="00000000" w:rsidDel="00000000" w:rsidP="00000000" w:rsidRDefault="00000000" w:rsidRPr="00000000" w14:paraId="0000003D">
            <w:pPr>
              <w:jc w:val="both"/>
              <w:rPr>
                <w:rFonts w:ascii="Times New Roman" w:cs="Times New Roman" w:eastAsia="Times New Roman" w:hAnsi="Times New Roman"/>
              </w:rPr>
            </w:pPr>
            <w:r>
              <w:rPr>
                <w:rFonts w:ascii="Times New Roman" w:cs="Times New Roman" w:eastAsia="Times New Roman" w:hAnsi="Times New Roman"/>
                <w:rtl w:val="0"/>
              </w:rPr>
              <w:t xml:space="preserve">or based on institutional mapping tables.</w:t>
            </w:r>
          </w:p>
        </w:tc>
      </w:tr>
      <w:tr>
        <w:trPr>
          <w:cantSplit w:val="0"/>
          <w:tblHeader w:val="0"/>
        </w:trPr>
        <w:tc>
          <w:tcPr>
            <w:gridSpan w:val="3"/>
            <w:shd w:fill="d9d9d9" w:val="clear"/>
            <w:vAlign w:val="center"/>
          </w:tcPr>
          <w:p w:rsidR="00000000" w:rsidDel="00000000" w:rsidP="00000000" w:rsidRDefault="00000000" w:rsidRPr="00000000" w14:paraId="0000003E">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Multi-Risk Assessment</w:t>
            </w:r>
          </w:p>
        </w:tc>
      </w:tr>
      <w:tr>
        <w:trPr>
          <w:cantSplit w:val="0"/>
          <w:tblHeader w:val="0"/>
        </w:trPr>
        <w:tc>
          <w:tcPr>
            <w:vAlign w:val="center"/>
          </w:tcPr>
          <w:p w:rsidR="00000000" w:rsidDel="00000000" w:rsidP="00000000" w:rsidRDefault="00000000" w:rsidRPr="00000000" w14:paraId="00000041">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Risk Set (</w:t>
            </w:r>
            <w:r>
              <w:rPr>
                <w:rFonts w:ascii="Cambria Math" w:cs="Cambria Math" w:eastAsia="Cambria Math" w:hAnsi="Cambria Math"/>
                <w:b w:val="1"/>
                <w:bCs w:val="1"/>
                <w:rtl w:val="0"/>
              </w:rPr>
              <w:t xml:space="preserve">𝑅𝑖</w:t>
            </w:r>
            <w:r>
              <w:rPr>
                <w:rFonts w:ascii="Times New Roman" w:cs="Times New Roman" w:eastAsia="Times New Roman" w:hAnsi="Times New Roman"/>
                <w:b w:val="1"/>
                <w:bCs w:val="1"/>
                <w:rtl w:val="0"/>
              </w:rPr>
              <w:t xml:space="preserve">)</w:t>
            </w:r>
          </w:p>
        </w:tc>
        <w:tc>
          <w:tcPr>
            <w:vAlign w:val="center"/>
          </w:tcPr>
          <w:p w:rsidR="00000000" w:rsidDel="00000000" w:rsidP="00000000" w:rsidRDefault="00000000" w:rsidRPr="00000000" w14:paraId="00000042">
            <w:pPr>
              <w:jc w:val="both"/>
              <w:rPr>
                <w:rFonts w:ascii="Times New Roman" w:cs="Times New Roman" w:eastAsia="Times New Roman" w:hAnsi="Times New Roman"/>
              </w:rPr>
            </w:pPr>
            <w:r>
              <w:rPr>
                <w:rFonts w:ascii="Times New Roman" w:cs="Times New Roman" w:eastAsia="Times New Roman" w:hAnsi="Times New Roman"/>
                <w:rtl w:val="0"/>
              </w:rPr>
              <w:t xml:space="preserve">The </w:t>
            </w:r>
            <w:r>
              <w:rPr>
                <w:rFonts w:ascii="Cambria Math" w:cs="Cambria Math" w:eastAsia="Cambria Math" w:hAnsi="Cambria Math"/>
                <w:rtl w:val="0"/>
              </w:rPr>
              <w:t xml:space="preserve">𝑖 </w:t>
            </w:r>
            <w:r>
              <w:rPr>
                <w:rFonts w:ascii="Times New Roman" w:cs="Times New Roman" w:eastAsia="Times New Roman" w:hAnsi="Times New Roman"/>
                <w:rtl w:val="0"/>
              </w:rPr>
              <w:t xml:space="preserve">-th individual risk item</w:t>
            </w:r>
          </w:p>
        </w:tc>
        <w:tc>
          <w:tcPr>
            <w:vAlign w:val="center"/>
          </w:tcPr>
          <w:p w:rsidR="00000000" w:rsidDel="00000000" w:rsidP="00000000" w:rsidRDefault="00000000" w:rsidRPr="00000000" w14:paraId="00000043">
            <w:pPr>
              <w:jc w:val="both"/>
              <w:rPr>
                <w:rFonts w:ascii="Times New Roman" w:cs="Times New Roman" w:eastAsia="Times New Roman" w:hAnsi="Times New Roman"/>
              </w:rPr>
            </w:pPr>
            <w:r>
              <w:rPr>
                <w:rFonts w:ascii="Times New Roman" w:cs="Times New Roman" w:eastAsia="Times New Roman" w:hAnsi="Times New Roman"/>
                <w:i w:val="1"/>
                <w:iCs w:val="1"/>
                <w:vertAlign w:val="subscript"/>
                <w:rtl w:val="0"/>
              </w:rPr>
              <w:t xml:space="preserve">i </w:t>
            </w:r>
            <w:r>
              <w:rPr>
                <w:rFonts w:ascii="Times New Roman" w:cs="Times New Roman" w:eastAsia="Times New Roman" w:hAnsi="Times New Roman"/>
                <w:rtl w:val="0"/>
              </w:rPr>
              <w:t xml:space="preserve">=1,2,…,n</w:t>
            </w:r>
          </w:p>
        </w:tc>
      </w:tr>
      <w:tr>
        <w:trPr>
          <w:cantSplit w:val="0"/>
          <w:tblHeader w:val="0"/>
        </w:trPr>
        <w:tc>
          <w:tcPr>
            <w:vAlign w:val="center"/>
          </w:tcPr>
          <w:p w:rsidR="00000000" w:rsidDel="00000000" w:rsidP="00000000" w:rsidRDefault="00000000" w:rsidRPr="00000000" w14:paraId="00000044">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Typology Factor (</w:t>
            </w:r>
            <w:r>
              <w:rPr>
                <w:rFonts w:ascii="Cambria Math" w:cs="Cambria Math" w:eastAsia="Cambria Math" w:hAnsi="Cambria Math"/>
                <w:b w:val="1"/>
                <w:bCs w:val="1"/>
                <w:rtl w:val="0"/>
              </w:rPr>
              <w:t xml:space="preserve">𝑇𝐹𝑖</w:t>
            </w:r>
            <w:r>
              <w:rPr>
                <w:rFonts w:ascii="Times New Roman" w:cs="Times New Roman" w:eastAsia="Times New Roman" w:hAnsi="Times New Roman"/>
                <w:b w:val="1"/>
                <w:bCs w:val="1"/>
                <w:rtl w:val="0"/>
              </w:rPr>
              <w:t xml:space="preserve">)</w:t>
            </w:r>
          </w:p>
        </w:tc>
        <w:tc>
          <w:tcPr>
            <w:vAlign w:val="center"/>
          </w:tcPr>
          <w:p w:rsidR="00000000" w:rsidDel="00000000" w:rsidP="00000000" w:rsidRDefault="00000000" w:rsidRPr="00000000" w14:paraId="00000045">
            <w:pPr>
              <w:spacing w:after="160" w:line="278.00000000000006" w:lineRule="auto"/>
              <w:ind w:firstLine="480"/>
              <w:jc w:val="both"/>
              <w:rPr>
                <w:rFonts w:ascii="Times New Roman" w:cs="Times New Roman" w:eastAsia="Times New Roman" w:hAnsi="Times New Roman"/>
              </w:rPr>
            </w:pPr>
            <w:r>
              <w:rPr>
                <w:rFonts w:ascii="Times New Roman" w:cs="Times New Roman" w:eastAsia="Times New Roman" w:hAnsi="Times New Roman"/>
                <w:rtl w:val="0"/>
              </w:rPr>
              <w:t xml:space="preserve">A weighted mapping derived from three dimensions: "Controllability, Externality, and Irreversibility."</w:t>
            </w:r>
          </w:p>
          <w:p w:rsidR="00000000" w:rsidDel="00000000" w:rsidP="00000000" w:rsidRDefault="00000000" w:rsidRPr="00000000" w14:paraId="00000046">
            <w:pPr>
              <w:spacing w:after="160" w:line="278.00000000000006" w:lineRule="auto"/>
              <w:ind w:firstLine="480"/>
              <w:jc w:val="both"/>
              <w:rPr>
                <w:rFonts w:ascii="Times New Roman" w:cs="Times New Roman" w:eastAsia="Times New Roman" w:hAnsi="Times New Roman"/>
              </w:rPr>
            </w:pPr>
            <w:r>
              <w:rPr>
                <w:rFonts w:ascii="Times New Roman" w:cs="Times New Roman" w:eastAsia="Times New Roman" w:hAnsi="Times New Roman"/>
                <w:rtl w:val="0"/>
              </w:rPr>
              <w:t xml:space="preserve">(where </w:t>
            </w:r>
            <w:r>
              <w:rPr>
                <w:rFonts w:ascii="Cambria Math" w:cs="Cambria Math" w:eastAsia="Cambria Math" w:hAnsi="Cambria Math"/>
                <w:rtl w:val="0"/>
              </w:rPr>
              <w:t xml:space="preserve">𝛼 </w:t>
            </w:r>
            <w:r>
              <w:rPr>
                <w:rFonts w:ascii="Times New Roman" w:cs="Times New Roman" w:eastAsia="Times New Roman" w:hAnsi="Times New Roman"/>
                <w:rtl w:val="0"/>
              </w:rPr>
              <w:t xml:space="preserve">is a calibration parameter).</w:t>
            </w:r>
          </w:p>
        </w:tc>
        <w:tc>
          <w:tcPr>
            <w:vAlign w:val="center"/>
          </w:tcPr>
          <w:p w:rsidR="00000000" w:rsidDel="00000000" w:rsidP="00000000" w:rsidRDefault="00000000" w:rsidRPr="00000000" w14:paraId="00000047">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i</m:t>
                  </m:r>
                </m:sub>
              </m:sSub>
              <m:r>
                <w:rPr>
                  <w:rFonts w:ascii="Cambria Math" w:cs="Cambria Math" w:eastAsia="Cambria Math" w:hAnsi="Cambria Math"/>
                </w:rPr>
                <m:t xml:space="preserve">=6-</m:t>
              </m:r>
              <m:sSubSup>
                <m:sSubSupPr>
                  <m:ctrlPr>
                    <w:rPr>
                      <w:rFonts w:ascii="Cambria Math" w:cs="Cambria Math" w:eastAsia="Cambria Math" w:hAnsi="Cambria Math"/>
                    </w:rPr>
                  </m:ctrlPr>
                </m:sSubSupPr>
                <m:e>
                  <m:r>
                    <w:rPr>
                      <w:rFonts w:ascii="Cambria Math" w:cs="Cambria Math" w:eastAsia="Cambria Math" w:hAnsi="Cambria Math"/>
                    </w:rPr>
                    <m:t xml:space="preserve">Ｃ</m:t>
                  </m:r>
                </m:e>
                <m:sub>
                  <m:r>
                    <w:rPr>
                      <w:rFonts w:ascii="Cambria Math" w:cs="Cambria Math" w:eastAsia="Cambria Math" w:hAnsi="Cambria Math"/>
                    </w:rPr>
                    <m:t xml:space="preserve">i</m:t>
                  </m:r>
                </m:sub>
                <m:sup>
                  <m:r>
                    <w:rPr>
                      <w:rFonts w:ascii="Cambria Math" w:cs="Cambria Math" w:eastAsia="Cambria Math" w:hAnsi="Cambria Math"/>
                    </w:rPr>
                    <m:t xml:space="preserve">ctrl</m:t>
                  </m:r>
                </m:sup>
              </m:sSubSup>
            </m:oMath>
            <w:r>
              <w:rPr>
                <w:rtl w:val="0"/>
              </w:rPr>
            </w:r>
          </w:p>
          <w:p w:rsidR="00000000" w:rsidDel="00000000" w:rsidP="00000000" w:rsidRDefault="00000000" w:rsidRPr="00000000" w14:paraId="00000048">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2</m:t>
                  </m:r>
                </m:sub>
              </m:sSub>
              <m:sSubSup>
                <m:sSubSupPr>
                  <m:ctrlPr>
                    <w:rPr>
                      <w:rFonts w:ascii="Cambria Math" w:cs="Cambria Math" w:eastAsia="Cambria Math" w:hAnsi="Cambria Math"/>
                    </w:rPr>
                  </m:ctrlPr>
                </m:sSubSupPr>
                <m:e>
                  <m:r>
                    <w:rPr>
                      <w:rFonts w:ascii="Cambria Math" w:cs="Cambria Math" w:eastAsia="Cambria Math" w:hAnsi="Cambria Math"/>
                    </w:rPr>
                    <m:t xml:space="preserve">Ｃ</m:t>
                  </m:r>
                </m:e>
                <m:sub>
                  <m:r>
                    <w:rPr>
                      <w:rFonts w:ascii="Cambria Math" w:cs="Cambria Math" w:eastAsia="Cambria Math" w:hAnsi="Cambria Math"/>
                    </w:rPr>
                    <m:t xml:space="preserve">i</m:t>
                  </m:r>
                </m:sub>
                <m:sup>
                  <m:r>
                    <w:rPr>
                      <w:rFonts w:ascii="Cambria Math" w:cs="Cambria Math" w:eastAsia="Cambria Math" w:hAnsi="Cambria Math"/>
                    </w:rPr>
                    <m:t xml:space="preserve">ext</m:t>
                  </m:r>
                </m:sup>
              </m:sSub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3</m:t>
                  </m:r>
                </m:sub>
              </m:sSub>
              <m:sSubSup>
                <m:sSubSupPr>
                  <m:ctrlPr>
                    <w:rPr>
                      <w:rFonts w:ascii="Cambria Math" w:cs="Cambria Math" w:eastAsia="Cambria Math" w:hAnsi="Cambria Math"/>
                    </w:rPr>
                  </m:ctrlPr>
                </m:sSubSupPr>
                <m:e>
                  <m:r>
                    <w:rPr>
                      <w:rFonts w:ascii="Cambria Math" w:cs="Cambria Math" w:eastAsia="Cambria Math" w:hAnsi="Cambria Math"/>
                    </w:rPr>
                    <m:t xml:space="preserve">Ｃ</m:t>
                  </m:r>
                </m:e>
                <m:sub>
                  <m:r>
                    <w:rPr>
                      <w:rFonts w:ascii="Cambria Math" w:cs="Cambria Math" w:eastAsia="Cambria Math" w:hAnsi="Cambria Math"/>
                    </w:rPr>
                    <m:t xml:space="preserve">i</m:t>
                  </m:r>
                </m:sub>
                <m:sup>
                  <m:r>
                    <w:rPr>
                      <w:rFonts w:ascii="Cambria Math" w:cs="Cambria Math" w:eastAsia="Cambria Math" w:hAnsi="Cambria Math"/>
                    </w:rPr>
                    <m:t xml:space="preserve">irr</m:t>
                  </m:r>
                </m:sup>
              </m:sSubSup>
            </m:oMath>
            <w:r>
              <w:rPr>
                <w:rtl w:val="0"/>
              </w:rPr>
            </w:r>
          </w:p>
          <w:p w:rsidR="00000000" w:rsidDel="00000000" w:rsidP="00000000" w:rsidRDefault="00000000" w:rsidRPr="00000000" w14:paraId="0000004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TF</m:t>
                  </m:r>
                </m:e>
                <m:sub>
                  <m:r>
                    <w:rPr>
                      <w:rFonts w:ascii="Cambria Math" w:cs="Cambria Math" w:eastAsia="Cambria Math" w:hAnsi="Cambria Math"/>
                    </w:rPr>
                    <m:t xml:space="preserve">i</m:t>
                  </m:r>
                </m:sub>
              </m:sSub>
              <m:r>
                <w:rPr>
                  <w:rFonts w:ascii="Cambria Math" w:cs="Cambria Math" w:eastAsia="Cambria Math" w:hAnsi="Cambria Math"/>
                </w:rPr>
                <m:t xml:space="preserve">=1+</m:t>
              </m:r>
              <m:r>
                <w:rPr>
                  <w:rFonts w:ascii="Cambria Math" w:cs="Cambria Math" w:eastAsia="Cambria Math" w:hAnsi="Cambria Math"/>
                </w:rPr>
                <m:t>α</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i</m:t>
                      </m:r>
                    </m:sub>
                  </m:sSub>
                  <m:r>
                    <w:rPr>
                      <w:rFonts w:ascii="Cambria Math" w:cs="Cambria Math" w:eastAsia="Cambria Math" w:hAnsi="Cambria Math"/>
                    </w:rPr>
                    <m:t xml:space="preserve">-1</m:t>
                  </m:r>
                </m:e>
              </m:d>
            </m:oMath>
            <w:r>
              <w:rPr>
                <w:rtl w:val="0"/>
              </w:rPr>
            </w:r>
          </w:p>
        </w:tc>
      </w:tr>
      <w:tr>
        <w:trPr>
          <w:cantSplit w:val="0"/>
          <w:tblHeader w:val="0"/>
        </w:trPr>
        <w:tc>
          <w:tcPr>
            <w:vAlign w:val="center"/>
          </w:tcPr>
          <w:p w:rsidR="00000000" w:rsidDel="00000000" w:rsidP="00000000" w:rsidRDefault="00000000" w:rsidRPr="00000000" w14:paraId="0000004A">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Residual Exposure (RE)</w:t>
            </w:r>
          </w:p>
        </w:tc>
        <w:tc>
          <w:tcPr>
            <w:vAlign w:val="center"/>
          </w:tcPr>
          <w:p w:rsidR="00000000" w:rsidDel="00000000" w:rsidP="00000000" w:rsidRDefault="00000000" w:rsidRPr="00000000" w14:paraId="0000004B">
            <w:pPr>
              <w:jc w:val="both"/>
              <w:rPr>
                <w:rFonts w:ascii="Times New Roman" w:cs="Times New Roman" w:eastAsia="Times New Roman" w:hAnsi="Times New Roman"/>
                <w:i w:val="1"/>
                <w:iCs w:val="1"/>
              </w:rPr>
            </w:pPr>
            <w:r>
              <w:rPr>
                <w:rFonts w:ascii="Times New Roman" w:cs="Times New Roman" w:eastAsia="Times New Roman" w:hAnsi="Times New Roman"/>
                <w:rtl w:val="0"/>
              </w:rPr>
              <w:t xml:space="preserve">The risk that must still be assumed after governance, computed from the governed single-period probability.</w:t>
            </w:r>
          </w:p>
        </w:tc>
        <w:tc>
          <w:tcPr>
            <w:vAlign w:val="center"/>
          </w:tcPr>
          <w:p w:rsidR="00000000" w:rsidDel="00000000" w:rsidP="00000000" w:rsidRDefault="00000000" w:rsidRPr="00000000" w14:paraId="0000004C">
            <w:pPr>
              <w:jc w:val="center"/>
              <w:rPr>
                <w:rFonts w:ascii="Cambria Math" w:cs="Cambria Math" w:eastAsia="Cambria Math" w:hAnsi="Cambria Math"/>
              </w:rPr>
            </w:pPr>
            <m:oMath>
              <m:r>
                <m:t>R</m:t>
              </m:r>
              <m:r>
                <m:t>E</m:t>
              </m:r>
              <m:r>
                <m:rPr>
                  <m:sty m:val="p"/>
                </m:rPr>
                <m:t>=</m:t>
              </m:r>
              <m:r>
                <m:t>I</m:t>
              </m:r>
              <m:r>
                <m:rPr>
                  <m:sty m:val="p"/>
                </m:rPr>
                <m:t>×</m:t>
              </m:r>
              <m:d>
                <m:dPr>
                  <m:begChr m:val="["/>
                  <m:endChr m:val="]"/>
                  <m:grow/>
                </m:dPr>
                <m:e>
                  <m:r>
                    <m:t>1</m:t>
                  </m:r>
                  <m:r>
                    <m:rPr>
                      <m:sty m:val="p"/>
                    </m:rPr>
                    <m:t>−</m:t>
                  </m:r>
                  <m:sSup>
                    <m:e>
                      <m:d>
                        <m:dPr>
                          <m:begChr m:val="("/>
                          <m:endChr m:val=")"/>
                          <m:grow/>
                        </m:dPr>
                        <m:e>
                          <m:r>
                            <m:t>1</m:t>
                          </m:r>
                          <m:r>
                            <m:rPr>
                              <m:sty m:val="p"/>
                            </m:rPr>
                            <m:t>−</m:t>
                          </m:r>
                          <m:sSub>
                            <m:e>
                              <m:r>
                                <m:t>P</m:t>
                              </m:r>
                            </m:e>
                            <m:sub>
                              <m:r>
                                <m:t>g</m:t>
                              </m:r>
                              <m:r>
                                <m:t>o</m:t>
                              </m:r>
                              <m:r>
                                <m:t>v</m:t>
                              </m:r>
                            </m:sub>
                          </m:sSub>
                        </m:e>
                      </m:d>
                    </m:e>
                    <m:sup>
                      <m:r>
                        <m:t>N</m:t>
                      </m:r>
                    </m:sup>
                  </m:sSup>
                </m:e>
              </m:d>
              <m:r>
                <m:rPr>
                  <m:sty m:val="p"/>
                </m:rPr>
                <m:t>×</m:t>
              </m:r>
              <m:r>
                <m:t>τ</m:t>
              </m:r>
            </m:oMath>
            <w:r>
              <w:rPr>
                <w:rtl w:val="0"/>
              </w:rPr>
            </w:r>
          </w:p>
        </w:tc>
      </w:tr>
      <w:tr>
        <w:trPr>
          <w:cantSplit w:val="0"/>
          <w:tblHeader w:val="0"/>
        </w:trPr>
        <w:tc>
          <w:tcPr>
            <w:vAlign w:val="center"/>
          </w:tcPr>
          <w:p w:rsidR="00000000" w:rsidDel="00000000" w:rsidP="00000000" w:rsidRDefault="00000000" w:rsidRPr="00000000" w14:paraId="0000004D">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Typology-Adjusted Residual Exposure (</w:t>
            </w:r>
            <w:r>
              <w:rPr>
                <w:rFonts w:ascii="Cambria Math" w:cs="Cambria Math" w:eastAsia="Cambria Math" w:hAnsi="Cambria Math"/>
                <w:b w:val="1"/>
                <w:bCs w:val="1"/>
                <w:rtl w:val="0"/>
              </w:rPr>
              <w:t xml:space="preserve">𝑇𝑅𝐸𝑖</w:t>
            </w:r>
            <w:r>
              <w:rPr>
                <w:rFonts w:ascii="Times New Roman" w:cs="Times New Roman" w:eastAsia="Times New Roman" w:hAnsi="Times New Roman"/>
                <w:b w:val="1"/>
                <w:bCs w:val="1"/>
                <w:rtl w:val="0"/>
              </w:rPr>
              <w:t xml:space="preserve">)</w:t>
            </w:r>
          </w:p>
        </w:tc>
        <w:tc>
          <w:tcPr>
            <w:vAlign w:val="center"/>
          </w:tcPr>
          <w:p w:rsidR="00000000" w:rsidDel="00000000" w:rsidP="00000000" w:rsidRDefault="00000000" w:rsidRPr="00000000" w14:paraId="0000004E">
            <w:pPr>
              <w:jc w:val="both"/>
              <w:rPr>
                <w:rFonts w:ascii="Times New Roman" w:cs="Times New Roman" w:eastAsia="Times New Roman" w:hAnsi="Times New Roman"/>
              </w:rPr>
            </w:pPr>
            <w:r>
              <w:rPr>
                <w:rFonts w:ascii="Times New Roman" w:cs="Times New Roman" w:eastAsia="Times New Roman" w:hAnsi="Times New Roman"/>
                <w:rtl w:val="0"/>
              </w:rPr>
              <w:t xml:space="preserve">The formalized risk responsibility after typology correction.</w:t>
            </w:r>
          </w:p>
        </w:tc>
        <w:tc>
          <w:tcPr>
            <w:vAlign w:val="center"/>
          </w:tcPr>
          <w:p w:rsidR="00000000" w:rsidDel="00000000" w:rsidP="00000000" w:rsidRDefault="00000000" w:rsidRPr="00000000" w14:paraId="0000004F">
            <w:pPr>
              <w:jc w:val="center"/>
              <w:rPr>
                <w:rFonts w:ascii="Cambria Math" w:cs="Cambria Math" w:eastAsia="Cambria Math" w:hAnsi="Cambria Math"/>
                <w:vertAlign w:val="subscript"/>
              </w:rPr>
            </w:pPr>
            <m:oMath>
              <m:sSub>
                <m:sSubPr>
                  <m:ctrlPr>
                    <w:rPr>
                      <w:rFonts w:ascii="Cambria Math" w:cs="Cambria Math" w:eastAsia="Cambria Math" w:hAnsi="Cambria Math"/>
                      <w:vertAlign w:val="subscript"/>
                    </w:rPr>
                  </m:ctrlPr>
                </m:sSubPr>
                <m:e>
                  <m:r>
                    <w:rPr>
                      <w:rFonts w:ascii="Cambria Math" w:cs="Cambria Math" w:eastAsia="Cambria Math" w:hAnsi="Cambria Math"/>
                      <w:vertAlign w:val="subscript"/>
                    </w:rPr>
                    <m:t xml:space="preserve">TRE</m:t>
                  </m:r>
                </m:e>
                <m:sub>
                  <m:r>
                    <w:rPr>
                      <w:rFonts w:ascii="Cambria Math" w:cs="Cambria Math" w:eastAsia="Cambria Math" w:hAnsi="Cambria Math"/>
                      <w:vertAlign w:val="subscript"/>
                    </w:rPr>
                    <m:t xml:space="preserve">i</m:t>
                  </m:r>
                </m:sub>
              </m:sSub>
              <m:r>
                <w:rPr>
                  <w:rFonts w:ascii="Cambria Math" w:cs="Cambria Math" w:eastAsia="Cambria Math" w:hAnsi="Cambria Math"/>
                  <w:vertAlign w:val="subscript"/>
                </w:rPr>
                <m:t xml:space="preserve">=</m:t>
              </m:r>
              <m:sSub>
                <m:sSubPr>
                  <m:ctrlPr>
                    <w:rPr>
                      <w:rFonts w:ascii="Cambria Math" w:cs="Cambria Math" w:eastAsia="Cambria Math" w:hAnsi="Cambria Math"/>
                      <w:vertAlign w:val="subscript"/>
                    </w:rPr>
                  </m:ctrlPr>
                </m:sSubPr>
                <m:e>
                  <m:r>
                    <w:rPr>
                      <w:rFonts w:ascii="Cambria Math" w:cs="Cambria Math" w:eastAsia="Cambria Math" w:hAnsi="Cambria Math"/>
                      <w:vertAlign w:val="subscript"/>
                    </w:rPr>
                    <m:t xml:space="preserve">RE</m:t>
                  </m:r>
                </m:e>
                <m:sub>
                  <m:r>
                    <w:rPr>
                      <w:rFonts w:ascii="Cambria Math" w:cs="Cambria Math" w:eastAsia="Cambria Math" w:hAnsi="Cambria Math"/>
                      <w:vertAlign w:val="subscript"/>
                    </w:rPr>
                    <m:t xml:space="preserve">i</m:t>
                  </m:r>
                </m:sub>
              </m:sSub>
              <m:r>
                <w:rPr>
                  <w:rFonts w:ascii="Cambria Math" w:cs="Cambria Math" w:eastAsia="Cambria Math" w:hAnsi="Cambria Math"/>
                  <w:vertAlign w:val="subscript"/>
                </w:rPr>
                <m:t xml:space="preserve">*</m:t>
              </m:r>
              <m:sSub>
                <m:sSubPr>
                  <m:ctrlPr>
                    <w:rPr>
                      <w:rFonts w:ascii="Cambria Math" w:cs="Cambria Math" w:eastAsia="Cambria Math" w:hAnsi="Cambria Math"/>
                      <w:vertAlign w:val="subscript"/>
                    </w:rPr>
                  </m:ctrlPr>
                </m:sSubPr>
                <m:e>
                  <m:r>
                    <w:rPr>
                      <w:rFonts w:ascii="Cambria Math" w:cs="Cambria Math" w:eastAsia="Cambria Math" w:hAnsi="Cambria Math"/>
                      <w:vertAlign w:val="subscript"/>
                    </w:rPr>
                    <m:t xml:space="preserve">TF</m:t>
                  </m:r>
                </m:e>
                <m:sub>
                  <m:r>
                    <w:rPr>
                      <w:rFonts w:ascii="Cambria Math" w:cs="Cambria Math" w:eastAsia="Cambria Math" w:hAnsi="Cambria Math"/>
                      <w:vertAlign w:val="subscript"/>
                    </w:rPr>
                    <m:t xml:space="preserve">i</m:t>
                  </m:r>
                </m:sub>
              </m:sSub>
            </m:oMath>
            <w:r>
              <w:rPr>
                <w:rtl w:val="0"/>
              </w:rPr>
            </w:r>
          </w:p>
        </w:tc>
      </w:tr>
      <w:tr>
        <w:trPr>
          <w:cantSplit w:val="0"/>
          <w:tblHeader w:val="0"/>
        </w:trPr>
        <w:tc>
          <w:tcPr>
            <w:gridSpan w:val="3"/>
            <w:shd w:fill="d9d9d9" w:val="clear"/>
            <w:vAlign w:val="center"/>
          </w:tcPr>
          <w:p w:rsidR="00000000" w:rsidDel="00000000" w:rsidP="00000000" w:rsidRDefault="00000000" w:rsidRPr="00000000" w14:paraId="00000050">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Residual Exposure Evaluation</w:t>
            </w:r>
          </w:p>
        </w:tc>
      </w:tr>
      <w:tr>
        <w:trPr>
          <w:cantSplit w:val="0"/>
          <w:tblHeader w:val="0"/>
        </w:trPr>
        <w:tc>
          <w:tcPr>
            <w:vAlign w:val="center"/>
          </w:tcPr>
          <w:p w:rsidR="00000000" w:rsidDel="00000000" w:rsidP="00000000" w:rsidRDefault="00000000" w:rsidRPr="00000000" w14:paraId="00000053">
            <w:pPr>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Total Governance Exposure (G)</w:t>
            </w:r>
            <w:r>
              <w:rPr>
                <w:rtl w:val="0"/>
              </w:rPr>
            </w:r>
          </w:p>
        </w:tc>
        <w:tc>
          <w:tcPr>
            <w:vAlign w:val="center"/>
          </w:tcPr>
          <w:p w:rsidR="00000000" w:rsidDel="00000000" w:rsidP="00000000" w:rsidRDefault="00000000" w:rsidRPr="00000000" w14:paraId="00000054">
            <w:pPr>
              <w:jc w:val="both"/>
              <w:rPr>
                <w:rFonts w:ascii="Times New Roman" w:cs="Times New Roman" w:eastAsia="Times New Roman" w:hAnsi="Times New Roman"/>
              </w:rPr>
            </w:pPr>
            <w:r>
              <w:rPr>
                <w:rFonts w:ascii="Times New Roman" w:cs="Times New Roman" w:eastAsia="Times New Roman" w:hAnsi="Times New Roman"/>
                <w:rtl w:val="0"/>
              </w:rPr>
              <w:t xml:space="preserve">The total risk burden assumed at a specific decision point.</w:t>
            </w:r>
          </w:p>
        </w:tc>
        <w:tc>
          <w:tcPr>
            <w:vAlign w:val="center"/>
          </w:tcPr>
          <w:p w:rsidR="00000000" w:rsidDel="00000000" w:rsidP="00000000" w:rsidRDefault="00000000" w:rsidRPr="00000000" w14:paraId="00000055">
            <w:pPr>
              <w:jc w:val="center"/>
              <w:rPr>
                <w:rFonts w:ascii="Cambria Math" w:cs="Cambria Math" w:eastAsia="Cambria Math" w:hAnsi="Cambria Math"/>
              </w:rPr>
            </w:pPr>
            <m:oMath>
              <m:r>
                <w:rPr>
                  <w:rFonts w:ascii="Cambria Math" w:cs="Cambria Math" w:eastAsia="Cambria Math" w:hAnsi="Cambria Math"/>
                </w:rPr>
                <m:t xml:space="preserve">G=</m:t>
              </m:r>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TRE</m:t>
                  </m:r>
                </m:e>
                <m:sub>
                  <m:r>
                    <w:rPr>
                      <w:rFonts w:ascii="Cambria Math" w:cs="Cambria Math" w:eastAsia="Cambria Math" w:hAnsi="Cambria Math"/>
                    </w:rPr>
                    <m:t xml:space="preserve">i</m:t>
                  </m:r>
                </m:sub>
              </m:sSub>
            </m:oMath>
            <w:r>
              <w:rPr>
                <w:rtl w:val="0"/>
              </w:rPr>
            </w:r>
          </w:p>
        </w:tc>
      </w:tr>
      <w:tr>
        <w:trPr>
          <w:cantSplit w:val="0"/>
          <w:tblHeader w:val="0"/>
        </w:trPr>
        <w:tc>
          <w:tcPr>
            <w:vAlign w:val="center"/>
          </w:tcPr>
          <w:p w:rsidR="00000000" w:rsidDel="00000000" w:rsidP="00000000" w:rsidRDefault="00000000" w:rsidRPr="00000000" w14:paraId="00000056">
            <w:pPr>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Acceptance Threshold (A)</w:t>
            </w:r>
            <w:r>
              <w:rPr>
                <w:rtl w:val="0"/>
              </w:rPr>
            </w:r>
          </w:p>
        </w:tc>
        <w:tc>
          <w:tcPr>
            <w:vAlign w:val="center"/>
          </w:tcPr>
          <w:p w:rsidR="00000000" w:rsidDel="00000000" w:rsidP="00000000" w:rsidRDefault="00000000" w:rsidRPr="00000000" w14:paraId="00000057">
            <w:pPr>
              <w:jc w:val="both"/>
              <w:rPr>
                <w:rFonts w:ascii="Times New Roman" w:cs="Times New Roman" w:eastAsia="Times New Roman" w:hAnsi="Times New Roman"/>
              </w:rPr>
            </w:pPr>
            <w:r>
              <w:rPr>
                <w:rFonts w:ascii="Times New Roman" w:cs="Times New Roman" w:eastAsia="Times New Roman" w:hAnsi="Times New Roman"/>
                <w:rtl w:val="0"/>
              </w:rPr>
              <w:t xml:space="preserve">The maximum governance exposure the organization can absorb, expressed in the same unit as 𝐺.</w:t>
            </w:r>
          </w:p>
        </w:tc>
        <w:tc>
          <w:tcPr>
            <w:vAlign w:val="center"/>
          </w:tcPr>
          <w:p w:rsidR="00000000" w:rsidDel="00000000" w:rsidP="00000000" w:rsidRDefault="00000000" w:rsidRPr="00000000" w14:paraId="00000058">
            <w:pPr>
              <w:jc w:val="center"/>
              <w:rPr>
                <w:rFonts w:ascii="Cambria Math" w:cs="Cambria Math" w:eastAsia="Cambria Math" w:hAnsi="Cambria Math"/>
              </w:rPr>
            </w:pPr>
            <m:oMath>
              <m:r>
                <w:rPr>
                  <w:rFonts w:ascii="Cambria Math" w:cs="Cambria Math" w:eastAsia="Cambria Math" w:hAnsi="Cambria Math"/>
                </w:rPr>
                <m:t xml:space="preserve">A=</m:t>
              </m:r>
              <m:r>
                <w:rPr>
                  <w:rFonts w:ascii="Cambria Math" w:cs="Cambria Math" w:eastAsia="Cambria Math" w:hAnsi="Cambria Math"/>
                </w:rPr>
                <m:t>λ</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Cap</m:t>
                  </m:r>
                </m:num>
                <m:den>
                  <m:sSub>
                    <m:sSubPr>
                      <m:ctrlPr>
                        <w:rPr>
                          <w:rFonts w:ascii="Cambria Math" w:cs="Cambria Math" w:eastAsia="Cambria Math" w:hAnsi="Cambria Math"/>
                        </w:rPr>
                      </m:ctrlPr>
                    </m:sSubPr>
                    <m:e>
                      <m:r>
                        <w:rPr>
                          <w:rFonts w:ascii="Cambria Math" w:cs="Cambria Math" w:eastAsia="Cambria Math" w:hAnsi="Cambria Math"/>
                        </w:rPr>
                        <m:t xml:space="preserve">TP</m:t>
                      </m:r>
                    </m:e>
                    <m:sub>
                      <m:r>
                        <w:rPr>
                          <w:rFonts w:ascii="Cambria Math" w:cs="Cambria Math" w:eastAsia="Cambria Math" w:hAnsi="Cambria Math"/>
                        </w:rPr>
                        <m:t xml:space="preserve">org</m:t>
                      </m:r>
                    </m:sub>
                  </m:sSub>
                </m:den>
              </m:f>
            </m:oMath>
            <w:r>
              <w:rPr>
                <w:rtl w:val="0"/>
              </w:rPr>
            </w:r>
          </w:p>
        </w:tc>
      </w:tr>
      <w:tr>
        <w:trPr>
          <w:cantSplit w:val="0"/>
          <w:tblHeader w:val="0"/>
        </w:trPr>
        <w:tc>
          <w:tcPr>
            <w:vAlign w:val="center"/>
          </w:tcPr>
          <w:p w:rsidR="00000000" w:rsidDel="00000000" w:rsidP="00000000" w:rsidRDefault="00000000" w:rsidRPr="00000000" w14:paraId="00000059">
            <w:pPr>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Risk Load Ratio (LR)</w:t>
            </w:r>
            <w:r>
              <w:rPr>
                <w:rtl w:val="0"/>
              </w:rPr>
            </w:r>
          </w:p>
        </w:tc>
        <w:tc>
          <w:tcPr>
            <w:vAlign w:val="center"/>
          </w:tcPr>
          <w:p w:rsidR="00000000" w:rsidDel="00000000" w:rsidP="00000000" w:rsidRDefault="00000000" w:rsidRPr="00000000" w14:paraId="0000005A">
            <w:pPr>
              <w:jc w:val="both"/>
              <w:rPr>
                <w:rFonts w:ascii="Times New Roman" w:cs="Times New Roman" w:eastAsia="Times New Roman" w:hAnsi="Times New Roman"/>
              </w:rPr>
            </w:pPr>
            <w:r>
              <w:rPr>
                <w:rFonts w:ascii="Times New Roman" w:cs="Times New Roman" w:eastAsia="Times New Roman" w:hAnsi="Times New Roman"/>
                <w:rtl w:val="0"/>
              </w:rPr>
              <w:t xml:space="preserve">A risk stress metric:</w:t>
              <w:br w:type="textWrapping"/>
            </w:r>
            <w:sdt>
              <w:sdtPr>
                <w:id w:val="992649710"/>
                <w:tag w:val="goog_rdk_1"/>
              </w:sdtPr>
              <w:sdtContent>
                <w:r>
                  <w:rPr>
                    <w:rFonts w:ascii="Gungsuh" w:cs="Gungsuh" w:eastAsia="Gungsuh" w:hAnsi="Gungsuh"/>
                    <w:b w:val="1"/>
                    <w:bCs w:val="1"/>
                    <w:rtl w:val="0"/>
                  </w:rPr>
                  <w:t xml:space="preserve">LR ≤ 0.8</w:t>
                </w:r>
              </w:sdtContent>
            </w:sdt>
            <w:r>
              <w:rPr>
                <w:rFonts w:ascii="Times New Roman" w:cs="Times New Roman" w:eastAsia="Times New Roman" w:hAnsi="Times New Roman"/>
                <w:rtl w:val="0"/>
              </w:rPr>
              <w:t xml:space="preserve">: Green Light</w:t>
              <w:br w:type="textWrapping"/>
            </w:r>
            <w:sdt>
              <w:sdtPr>
                <w:id w:val="684585083"/>
                <w:tag w:val="goog_rdk_2"/>
              </w:sdtPr>
              <w:sdtContent>
                <w:r>
                  <w:rPr>
                    <w:rFonts w:ascii="Gungsuh" w:cs="Gungsuh" w:eastAsia="Gungsuh" w:hAnsi="Gungsuh"/>
                    <w:b w:val="1"/>
                    <w:bCs w:val="1"/>
                    <w:rtl w:val="0"/>
                  </w:rPr>
                  <w:t xml:space="preserve">0.8 &lt; LR ≤ 1</w:t>
                </w:r>
              </w:sdtContent>
            </w:sdt>
            <w:r>
              <w:rPr>
                <w:rFonts w:ascii="Times New Roman" w:cs="Times New Roman" w:eastAsia="Times New Roman" w:hAnsi="Times New Roman"/>
                <w:rtl w:val="0"/>
              </w:rPr>
              <w:t xml:space="preserve">: Yellow Light</w:t>
              <w:br w:type="textWrapping"/>
            </w:r>
            <w:sdt>
              <w:sdtPr>
                <w:id w:val="2127796695"/>
                <w:tag w:val="goog_rdk_3"/>
              </w:sdtPr>
              <w:sdtContent>
                <w:r>
                  <w:rPr>
                    <w:rFonts w:ascii="Gungsuh" w:cs="Gungsuh" w:eastAsia="Gungsuh" w:hAnsi="Gungsuh"/>
                    <w:b w:val="1"/>
                    <w:bCs w:val="1"/>
                    <w:rtl w:val="0"/>
                  </w:rPr>
                  <w:t xml:space="preserve">LR ≥ 1</w:t>
                </w:r>
              </w:sdtContent>
            </w:sdt>
            <w:r>
              <w:rPr>
                <w:rFonts w:ascii="Times New Roman" w:cs="Times New Roman" w:eastAsia="Times New Roman" w:hAnsi="Times New Roman"/>
                <w:rtl w:val="0"/>
              </w:rPr>
              <w:t xml:space="preserve">: Red Light</w:t>
            </w:r>
          </w:p>
          <w:p w:rsidR="00000000" w:rsidDel="00000000" w:rsidP="00000000" w:rsidRDefault="00000000" w:rsidRPr="00000000" w14:paraId="0000005B">
            <w:pPr>
              <w:jc w:val="both"/>
              <w:rPr>
                <w:rFonts w:ascii="Times New Roman" w:cs="Times New Roman" w:eastAsia="Times New Roman" w:hAnsi="Times New Roman"/>
              </w:rPr>
            </w:pPr>
            <w:r>
              <w:rPr>
                <w:rFonts w:ascii="Times New Roman" w:cs="Times New Roman" w:eastAsia="Times New Roman" w:hAnsi="Times New Roman"/>
                <w:i w:val="1"/>
                <w:iCs w:val="1"/>
                <w:rtl w:val="0"/>
              </w:rPr>
              <w:t xml:space="preserve">The 0.8 threshold can be adjusted based on organizational governance policy.</w:t>
            </w:r>
            <w:r>
              <w:rPr>
                <w:rtl w:val="0"/>
              </w:rPr>
            </w:r>
          </w:p>
        </w:tc>
        <w:tc>
          <w:tcPr>
            <w:vAlign w:val="center"/>
          </w:tcPr>
          <w:p w:rsidR="00000000" w:rsidDel="00000000" w:rsidP="00000000" w:rsidRDefault="00000000" w:rsidRPr="00000000" w14:paraId="0000005C">
            <w:pPr>
              <w:jc w:val="center"/>
              <w:rPr>
                <w:rFonts w:ascii="Cambria Math" w:cs="Cambria Math" w:eastAsia="Cambria Math" w:hAnsi="Cambria Math"/>
              </w:rPr>
            </w:pPr>
            <m:oMath>
              <m:r>
                <w:rPr>
                  <w:rFonts w:ascii="Cambria Math" w:cs="Cambria Math" w:eastAsia="Cambria Math" w:hAnsi="Cambria Math"/>
                </w:rPr>
                <m:t xml:space="preserve">LR=</m:t>
              </m:r>
              <m:f>
                <m:fPr>
                  <m:ctrlPr>
                    <w:rPr>
                      <w:rFonts w:ascii="Cambria Math" w:cs="Cambria Math" w:eastAsia="Cambria Math" w:hAnsi="Cambria Math"/>
                    </w:rPr>
                  </m:ctrlPr>
                </m:fPr>
                <m:num>
                  <m:r>
                    <w:rPr>
                      <w:rFonts w:ascii="Cambria Math" w:cs="Cambria Math" w:eastAsia="Cambria Math" w:hAnsi="Cambria Math"/>
                    </w:rPr>
                    <m:t xml:space="preserve">G</m:t>
                  </m:r>
                </m:num>
                <m:den>
                  <m:r>
                    <w:rPr>
                      <w:rFonts w:ascii="Cambria Math" w:cs="Cambria Math" w:eastAsia="Cambria Math" w:hAnsi="Cambria Math"/>
                    </w:rPr>
                    <m:t xml:space="preserve">A</m:t>
                  </m:r>
                </m:den>
              </m:f>
            </m:oMath>
            <w:r>
              <w:rPr>
                <w:rtl w:val="0"/>
              </w:rPr>
            </w:r>
          </w:p>
        </w:tc>
      </w:tr>
    </w:tbl>
    <w:p w:rsidR="00000000" w:rsidDel="00000000" w:rsidP="00000000" w:rsidRDefault="00000000" w:rsidRPr="00000000" w14:paraId="0000005D">
      <w:pPr>
        <w:jc w:val="both"/>
        <w:rPr/>
      </w:pPr>
      <w:r>
        <w:rPr>
          <w:rtl w:val="0"/>
        </w:rPr>
        <w:t xml:space="preserve">This framework integrates the aforementioned risks into the parameter conditions of a decision-making model, serving as a tool for assessing residual exposure to assist decision-makers.</w:t>
      </w:r>
    </w:p>
    <w:p w:rsidR="00000000" w:rsidDel="00000000" w:rsidP="00000000" w:rsidRDefault="00000000" w:rsidRPr="00000000" w14:paraId="0000005E">
      <w:pPr>
        <w:jc w:val="both"/>
        <w:rPr/>
      </w:pPr>
      <w:r>
        <w:rPr>
          <w:rtl w:val="0"/>
        </w:rPr>
        <w:t xml:space="preserve">Following the definition of variables and operational formulas, it is necessary to further elaborate on the </w:t>
      </w:r>
      <w:r>
        <w:rPr>
          <w:b w:val="1"/>
          <w:bCs w:val="1"/>
          <w:rtl w:val="0"/>
        </w:rPr>
        <w:t xml:space="preserve">hierarchical design logic</w:t>
      </w:r>
      <w:r>
        <w:rPr>
          <w:rtl w:val="0"/>
        </w:rPr>
        <w:t xml:space="preserve"> of the model’s overall structure. Because this model is not merely a risk-scoring tool but a responsibility assessment framework designed to support multi-risk governance, the objects and semantic levels addressed by each variable differ. Without clarifying these distinctions, semantic confusion may arise during the subsequent integration and decision-making phases. Overall, the model is divided into five interconnected operational levels. </w:t>
      </w:r>
    </w:p>
    <w:p w:rsidR="00000000" w:rsidDel="00000000" w:rsidP="00000000" w:rsidRDefault="00000000" w:rsidRPr="00000000" w14:paraId="0000005F">
      <w:pPr>
        <w:jc w:val="both"/>
        <w:rPr/>
      </w:pPr>
      <w:r>
        <w:rPr>
          <w:b w:val="1"/>
          <w:bCs w:val="1"/>
          <w:rtl w:val="0"/>
        </w:rPr>
        <w:t xml:space="preserve">Level 1: The Risk Generation Layer.</w:t>
      </w:r>
      <w:r>
        <w:rPr>
          <w:rtl w:val="0"/>
        </w:rPr>
        <w:t xml:space="preserve"> This level describes the natural state of exposure within the structure of time and consequences before any governance intervention. It includes single-period probability (</w:t>
      </w:r>
      <w:r>
        <w:rPr>
          <w:rFonts w:ascii="Cambria Math" w:cs="Cambria Math" w:eastAsia="Cambria Math" w:hAnsi="Cambria Math"/>
          <w:rtl w:val="0"/>
        </w:rPr>
        <w:t xml:space="preserve">𝑃</w:t>
      </w:r>
      <w:r>
        <w:rPr>
          <w:rtl w:val="0"/>
        </w:rPr>
        <w:t xml:space="preserve">), decision cycle (</w:t>
      </w:r>
      <w:r>
        <w:rPr>
          <w:rFonts w:ascii="Cambria Math" w:cs="Cambria Math" w:eastAsia="Cambria Math" w:hAnsi="Cambria Math"/>
          <w:rtl w:val="0"/>
        </w:rPr>
        <w:t xml:space="preserve">𝑇</w:t>
      </w:r>
      <w:r>
        <w:rPr>
          <w:rtl w:val="0"/>
        </w:rPr>
        <w:t xml:space="preserve">), cumulative probability (</w:t>
      </w:r>
      <w:r>
        <w:rPr>
          <w:rFonts w:ascii="Cambria Math" w:cs="Cambria Math" w:eastAsia="Cambria Math" w:hAnsi="Cambria Math"/>
          <w:rtl w:val="0"/>
        </w:rPr>
        <w:t xml:space="preserve">𝑃𝑐𝑢𝑚</w:t>
      </w:r>
      <w:r>
        <w:rPr>
          <w:rtl w:val="0"/>
        </w:rPr>
        <w:t xml:space="preserve">), impact severity (</w:t>
      </w:r>
      <w:r>
        <w:rPr>
          <w:rFonts w:ascii="Cambria Math" w:cs="Cambria Math" w:eastAsia="Cambria Math" w:hAnsi="Cambria Math"/>
          <w:rtl w:val="0"/>
        </w:rPr>
        <w:t xml:space="preserve">𝐼</w:t>
      </w:r>
      <w:r>
        <w:rPr>
          <w:rtl w:val="0"/>
        </w:rPr>
        <w:t xml:space="preserve">), and the resulting expected loss (</w:t>
      </w:r>
      <w:r>
        <w:rPr>
          <w:rFonts w:ascii="Cambria Math" w:cs="Cambria Math" w:eastAsia="Cambria Math" w:hAnsi="Cambria Math"/>
          <w:rtl w:val="0"/>
        </w:rPr>
        <w:t xml:space="preserve">𝐿𝑒𝑥𝑝</w:t>
      </w:r>
      <w:r>
        <w:rPr>
          <w:rtl w:val="0"/>
        </w:rPr>
        <w:t xml:space="preserve">). This level corresponds to the "physical reality" of risk—the objective structure of risk in terms of time and consequences, regardless of whether governance actions are taken. </w:t>
      </w:r>
    </w:p>
    <w:p w:rsidR="00000000" w:rsidDel="00000000" w:rsidP="00000000" w:rsidRDefault="00000000" w:rsidRPr="00000000" w14:paraId="00000060">
      <w:pPr>
        <w:jc w:val="both"/>
        <w:rPr/>
      </w:pPr>
      <w:r>
        <w:rPr>
          <w:b w:val="1"/>
          <w:bCs w:val="1"/>
          <w:rtl w:val="0"/>
        </w:rPr>
        <w:t xml:space="preserve">Level 2: The Governance Interaction Layer. This level introduces the impact of governance actions and the governance environment. It incorporates governance coverage (𝐶), which acts on the single-period probability of each decision cycle, and the time pressure coefficient (𝜏). Together with impact severity, these determine the post-governance Residual Exposure (RE). This level reflects how much risk can actually be mitigated under given resources, systems, and time constraints, and how much unavoidable risk responsibility remains. Thus, it is defined as the "governance outcome layer." </w:t>
      </w:r>
    </w:p>
    <w:p w:rsidR="00000000" w:rsidDel="00000000" w:rsidP="00000000" w:rsidRDefault="00000000" w:rsidRPr="00000000" w14:paraId="00000061">
      <w:pPr>
        <w:jc w:val="both"/>
        <w:rPr/>
      </w:pPr>
      <w:r>
        <w:rPr>
          <w:b w:val="1"/>
          <w:bCs w:val="1"/>
          <w:rtl w:val="0"/>
        </w:rPr>
        <w:t xml:space="preserve">Level 3: The Typology Translation Layer. In multi-risk scenarios, even if different risks leave behind similar residual exposures after governance, their governance difficulty and the nature of the associated responsibility may differ significantly due to risk types. To translate governance outcomes into a comparable and integrable decision-making language, this model introduces the Typology Factor (𝑇𝐹) to translate Residual Exposure (𝑅𝐸) into Typology-adjusted Residual Exposure (TRE). The Typology Factor is applied at this level only. The function of this level is not to alter RE itself, but to convert heterogeneous risks into standardized units of responsibility that can be handled consistently by the same governance system. </w:t>
      </w:r>
    </w:p>
    <w:p w:rsidR="00000000" w:rsidDel="00000000" w:rsidP="00000000" w:rsidRDefault="00000000" w:rsidRPr="00000000" w14:paraId="00000062">
      <w:pPr>
        <w:jc w:val="both"/>
        <w:rPr/>
      </w:pPr>
      <w:r>
        <w:rPr>
          <w:b w:val="1"/>
          <w:bCs w:val="1"/>
          <w:rtl w:val="0"/>
        </w:rPr>
        <w:t xml:space="preserve">Level 4: The Governance Integration Layer.</w:t>
      </w:r>
      <w:r>
        <w:rPr>
          <w:rtl w:val="0"/>
        </w:rPr>
        <w:t xml:space="preserve"> Upon completing the calculation of </w:t>
      </w:r>
      <w:r>
        <w:rPr>
          <w:rFonts w:ascii="Cambria Math" w:cs="Cambria Math" w:eastAsia="Cambria Math" w:hAnsi="Cambria Math"/>
          <w:rtl w:val="0"/>
        </w:rPr>
        <w:t xml:space="preserve">𝑇𝑅𝐸</w:t>
      </w:r>
      <w:r>
        <w:rPr>
          <w:rtl w:val="0"/>
        </w:rPr>
      </w:r>
    </w:p>
    <w:p w:rsidR="00000000" w:rsidDel="00000000" w:rsidP="00000000" w:rsidRDefault="00000000" w:rsidRPr="00000000" w14:paraId="00000063">
      <w:pPr>
        <w:jc w:val="both"/>
        <w:rPr/>
      </w:pPr>
      <w:r>
        <w:rPr>
          <w:rtl w:val="0"/>
        </w:rPr>
        <w:t xml:space="preserve">for individual risks, the model aggregates these values to form the </w:t>
      </w:r>
      <w:r>
        <w:rPr>
          <w:b w:val="1"/>
          <w:bCs w:val="1"/>
          <w:rtl w:val="0"/>
        </w:rPr>
        <w:t xml:space="preserve">Total Governance Exposure (G)</w:t>
      </w:r>
      <w:r>
        <w:rPr>
          <w:rtl w:val="0"/>
        </w:rPr>
        <w:t xml:space="preserve"> assumed by the organization at a specific decision point. This level addresses the aggregate governance burden when multiple risks coexist, providing a single integrated metric for subsequent accountability judgments. </w:t>
      </w:r>
    </w:p>
    <w:p w:rsidR="00000000" w:rsidDel="00000000" w:rsidP="00000000" w:rsidRDefault="00000000" w:rsidRPr="00000000" w14:paraId="00000064">
      <w:pPr>
        <w:jc w:val="both"/>
        <w:rPr/>
      </w:pPr>
      <w:r>
        <w:rPr>
          <w:b w:val="1"/>
          <w:bCs w:val="1"/>
          <w:rtl w:val="0"/>
        </w:rPr>
        <w:t xml:space="preserve">Level 5: The Decision Judgment Layer.</w:t>
      </w:r>
      <w:r>
        <w:rPr>
          <w:rtl w:val="0"/>
        </w:rPr>
        <w:t xml:space="preserve"> This level compares the Total Governance Exposure (</w:t>
      </w:r>
      <w:r>
        <w:rPr>
          <w:rFonts w:ascii="Cambria Math" w:cs="Cambria Math" w:eastAsia="Cambria Math" w:hAnsi="Cambria Math"/>
          <w:rtl w:val="0"/>
        </w:rPr>
        <w:t xml:space="preserve">𝐺</w:t>
      </w:r>
      <w:r>
        <w:rPr>
          <w:rtl w:val="0"/>
        </w:rPr>
        <w:t xml:space="preserve">) against the organization’s </w:t>
      </w:r>
      <w:r>
        <w:rPr>
          <w:b w:val="1"/>
          <w:bCs w:val="1"/>
          <w:rtl w:val="0"/>
        </w:rPr>
        <w:t xml:space="preserve">Acceptance Threshold (A)</w:t>
      </w:r>
      <w:r>
        <w:rPr>
          <w:rtl w:val="0"/>
        </w:rPr>
        <w:t xml:space="preserve"> to derive the </w:t>
      </w:r>
      <w:r>
        <w:rPr>
          <w:b w:val="1"/>
          <w:bCs w:val="1"/>
          <w:rtl w:val="0"/>
        </w:rPr>
        <w:t xml:space="preserve">Risk Load Ratio (LR)</w:t>
      </w:r>
      <w:r>
        <w:rPr>
          <w:rtl w:val="0"/>
        </w:rPr>
        <w:t xml:space="preserve">. This ratio is used to determine whether the current governance state remains within tolerable limits or if it has reached a state requiring strategy adjustments, resource increases, or a reprioritization of risks. </w:t>
      </w:r>
    </w:p>
    <w:p w:rsidR="00000000" w:rsidDel="00000000" w:rsidP="00000000" w:rsidRDefault="00000000" w:rsidRPr="00000000" w14:paraId="00000065">
      <w:pPr>
        <w:jc w:val="both"/>
        <w:rPr/>
      </w:pPr>
      <w:r>
        <w:rPr>
          <w:rtl w:val="0"/>
        </w:rPr>
        <w:t xml:space="preserve">From a semantic perspective, these five operational levels correspond to three higher-order conceptual tiers: </w:t>
      </w:r>
    </w:p>
    <w:p w:rsidR="00000000" w:rsidDel="00000000" w:rsidP="00000000" w:rsidRDefault="00000000" w:rsidRPr="00000000" w14:paraId="00000066">
      <w:pPr>
        <w:numPr>
          <w:ilvl w:val="0"/>
          <w:numId w:val="1"/>
        </w:numPr>
        <w:ind w:left="720" w:hanging="360"/>
        <w:jc w:val="both"/>
        <w:rPr/>
      </w:pPr>
      <w:r>
        <w:rPr>
          <w:b w:val="1"/>
          <w:bCs w:val="1"/>
          <w:rtl w:val="0"/>
        </w:rPr>
        <w:t xml:space="preserve">Risk Reality (Physical Risk Tier):</w:t>
      </w:r>
      <w:r>
        <w:rPr>
          <w:rtl w:val="0"/>
        </w:rPr>
        <w:t xml:space="preserve"> Corresponds to the Risk Generation Layer, describing the generation and accumulation structure of risk in the real world.</w:t>
      </w:r>
    </w:p>
    <w:p w:rsidR="00000000" w:rsidDel="00000000" w:rsidP="00000000" w:rsidRDefault="00000000" w:rsidRPr="00000000" w14:paraId="00000067">
      <w:pPr>
        <w:numPr>
          <w:ilvl w:val="0"/>
          <w:numId w:val="1"/>
        </w:numPr>
        <w:ind w:left="720" w:hanging="360"/>
        <w:jc w:val="both"/>
        <w:rPr/>
      </w:pPr>
      <w:r>
        <w:rPr>
          <w:b w:val="1"/>
          <w:bCs w:val="1"/>
          <w:rtl w:val="0"/>
        </w:rPr>
        <w:t xml:space="preserve">Governance Outcome Tier:</w:t>
      </w:r>
      <w:r>
        <w:rPr>
          <w:rtl w:val="0"/>
        </w:rPr>
        <w:t xml:space="preserve"> Corresponds to the Governance Interaction Layer (</w:t>
      </w:r>
      <w:r>
        <w:rPr>
          <w:rFonts w:ascii="Cambria Math" w:cs="Cambria Math" w:eastAsia="Cambria Math" w:hAnsi="Cambria Math"/>
          <w:rtl w:val="0"/>
        </w:rPr>
        <w:t xml:space="preserve">𝑅𝐸</w:t>
      </w:r>
      <w:r>
        <w:rPr>
          <w:rtl w:val="0"/>
        </w:rPr>
        <w:t xml:space="preserve">), reflecting the substantive consequences that must be assumed following governance choices.</w:t>
      </w:r>
    </w:p>
    <w:p w:rsidR="00000000" w:rsidDel="00000000" w:rsidP="00000000" w:rsidRDefault="00000000" w:rsidRPr="00000000" w14:paraId="00000068">
      <w:pPr>
        <w:numPr>
          <w:ilvl w:val="0"/>
          <w:numId w:val="1"/>
        </w:numPr>
        <w:ind w:left="720" w:hanging="360"/>
        <w:jc w:val="both"/>
        <w:rPr/>
      </w:pPr>
      <w:r>
        <w:rPr>
          <w:b w:val="1"/>
          <w:bCs w:val="1"/>
          <w:rtl w:val="0"/>
        </w:rPr>
        <w:t xml:space="preserve">Decision Interface Tier:</w:t>
      </w:r>
      <w:r>
        <w:rPr>
          <w:rtl w:val="0"/>
        </w:rPr>
        <w:t xml:space="preserve"> Comprises the Translation, Integration, and Judgment layers, enabling governance outcomes to be used for comparison, prioritization, and resource allocation. </w:t>
      </w:r>
    </w:p>
    <w:p w:rsidR="00000000" w:rsidDel="00000000" w:rsidP="00000000" w:rsidRDefault="00000000" w:rsidRPr="00000000" w14:paraId="00000069">
      <w:pPr>
        <w:jc w:val="both"/>
        <w:rPr/>
      </w:pPr>
      <w:r>
        <w:rPr>
          <w:rtl w:val="0"/>
        </w:rPr>
        <w:t xml:space="preserve">Through this layered design, the model avoids conflating risk generation, governance effectiveness, and decision judgment. This ensures that each variable serves its specific purpose and that accountability, integration, and judgment in multi-risk governance are built upon a consistent and traceable structure.</w:t>
      </w:r>
    </w:p>
    <w:tbl>
      <w:tblPr>
        <w:tblStyle w:val="Table2"/>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6"/>
        <w:gridCol w:w="4190"/>
        <w:tblGridChange w:id="0">
          <w:tblGrid>
            <w:gridCol w:w="4106"/>
            <w:gridCol w:w="4190"/>
          </w:tblGrid>
        </w:tblGridChange>
      </w:tblGrid>
      <w:tr>
        <w:trPr>
          <w:cantSplit w:val="0"/>
          <w:tblHeader w:val="0"/>
        </w:trPr>
        <w:tc>
          <w:tcPr>
            <w:shd w:fill="d9d9d9" w:val="clear"/>
          </w:tcPr>
          <w:p w:rsidR="00000000" w:rsidDel="00000000" w:rsidP="00000000" w:rsidRDefault="00000000" w:rsidRPr="00000000" w14:paraId="0000006A">
            <w:pPr>
              <w:jc w:val="both"/>
              <w:rPr>
                <w:rFonts w:ascii="Times New Roman" w:cs="Times New Roman" w:eastAsia="Times New Roman" w:hAnsi="Times New Roman"/>
                <w:b w:val="1"/>
                <w:bCs w:val="1"/>
              </w:rPr>
            </w:pPr>
            <w:r>
              <w:rPr>
                <w:rFonts w:ascii="Arial" w:cs="Arial" w:eastAsia="Arial" w:hAnsi="Arial"/>
                <w:b w:val="1"/>
                <w:bCs w:val="1"/>
                <w:color w:val="0a0a0a"/>
                <w:sz w:val="21"/>
                <w:szCs w:val="21"/>
                <w:rtl w:val="0"/>
              </w:rPr>
              <w:t xml:space="preserve">Semantic Tier</w:t>
            </w:r>
            <w:r>
              <w:rPr>
                <w:rtl w:val="0"/>
              </w:rPr>
            </w:r>
          </w:p>
        </w:tc>
        <w:tc>
          <w:tcPr>
            <w:shd w:fill="d9d9d9" w:val="clear"/>
          </w:tcPr>
          <w:p w:rsidR="00000000" w:rsidDel="00000000" w:rsidP="00000000" w:rsidRDefault="00000000" w:rsidRPr="00000000" w14:paraId="0000006B">
            <w:pPr>
              <w:ind w:firstLine="420"/>
              <w:jc w:val="both"/>
              <w:rPr>
                <w:rFonts w:ascii="Times New Roman" w:cs="Times New Roman" w:eastAsia="Times New Roman" w:hAnsi="Times New Roman"/>
                <w:b w:val="1"/>
                <w:bCs w:val="1"/>
              </w:rPr>
            </w:pPr>
            <w:r>
              <w:rPr>
                <w:rFonts w:ascii="Arial" w:cs="Arial" w:eastAsia="Arial" w:hAnsi="Arial"/>
                <w:b w:val="1"/>
                <w:bCs w:val="1"/>
                <w:color w:val="0a0a0a"/>
                <w:sz w:val="21"/>
                <w:szCs w:val="21"/>
                <w:rtl w:val="0"/>
              </w:rPr>
              <w:t xml:space="preserve">Operational Level</w:t>
            </w:r>
            <w:r>
              <w:rPr>
                <w:rtl w:val="0"/>
              </w:rPr>
            </w:r>
          </w:p>
        </w:tc>
      </w:tr>
      <w:tr>
        <w:trPr>
          <w:cantSplit w:val="0"/>
          <w:tblHeader w:val="0"/>
        </w:trPr>
        <w:tc>
          <w:tcPr/>
          <w:p w:rsidR="00000000" w:rsidDel="00000000" w:rsidP="00000000" w:rsidRDefault="00000000" w:rsidRPr="00000000" w14:paraId="0000006C">
            <w:pPr>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Risk reality</w:t>
            </w:r>
            <w:r>
              <w:rPr>
                <w:rtl w:val="0"/>
              </w:rPr>
            </w:r>
          </w:p>
        </w:tc>
        <w:tc>
          <w:tcPr/>
          <w:p w:rsidR="00000000" w:rsidDel="00000000" w:rsidP="00000000" w:rsidRDefault="00000000" w:rsidRPr="00000000" w14:paraId="0000006D">
            <w:pPr>
              <w:spacing w:after="160" w:line="278.00000000000006"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Risk Generation Layer:</w:t>
            </w:r>
            <w:r>
              <w:rPr>
                <w:rtl w:val="0"/>
              </w:rPr>
            </w:r>
          </w:p>
          <w:p w:rsidR="00000000" w:rsidDel="00000000" w:rsidP="00000000" w:rsidRDefault="00000000" w:rsidRPr="00000000" w14:paraId="0000006E">
            <w:pPr>
              <w:spacing w:after="160" w:line="278.00000000000006" w:lineRule="auto"/>
              <w:ind w:left="480" w:firstLine="0"/>
              <w:jc w:val="both"/>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P , T  </w:t>
            </w:r>
            <w:r>
              <w:rPr>
                <w:rFonts w:ascii="DFKai-SB" w:cs="DFKai-SB" w:eastAsia="DFKai-SB" w:hAnsi="DFKai-SB"/>
                <w:rtl w:val="0"/>
              </w:rPr>
              <w:t xml:space="preserve">→</w:t>
            </w:r>
            <w:r>
              <w:rPr>
                <w:rFonts w:ascii="Times New Roman" w:cs="Times New Roman" w:eastAsia="Times New Roman" w:hAnsi="Times New Roman"/>
                <w:i w:val="1"/>
                <w:iCs w:val="1"/>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cum</m:t>
                  </m:r>
                </m:sub>
              </m:sSub>
            </m:oMath>
            <w:r>
              <w:rPr>
                <w:rtl w:val="0"/>
              </w:rPr>
            </w:r>
          </w:p>
          <w:p w:rsidR="00000000" w:rsidDel="00000000" w:rsidP="00000000" w:rsidRDefault="00000000" w:rsidRPr="00000000" w14:paraId="0000006F">
            <w:pPr>
              <w:spacing w:after="160" w:line="278.00000000000006" w:lineRule="auto"/>
              <w:ind w:left="480" w:firstLine="0"/>
              <w:jc w:val="both"/>
              <w:rPr>
                <w:rFonts w:ascii="Times New Roman" w:cs="Times New Roman" w:eastAsia="Times New Roman" w:hAnsi="Times New Roman"/>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cum</m:t>
                  </m:r>
                </m:sub>
              </m:sSub>
            </m:oMath>
            <w:r>
              <w:rPr>
                <w:rFonts w:ascii="Times New Roman" w:cs="Times New Roman" w:eastAsia="Times New Roman" w:hAnsi="Times New Roman"/>
                <w:i w:val="1"/>
                <w:iCs w:val="1"/>
                <w:rtl w:val="0"/>
              </w:rPr>
              <w:t xml:space="preserve">, I </w:t>
            </w:r>
            <w:r>
              <w:rPr>
                <w:rFonts w:ascii="DFKai-SB" w:cs="DFKai-SB" w:eastAsia="DFKai-SB" w:hAnsi="DFKai-SB"/>
                <w:rtl w:val="0"/>
              </w:rPr>
              <w:t xml:space="preserve">→</w:t>
            </w:r>
            <w:r>
              <w:rPr>
                <w:rFonts w:ascii="Times New Roman" w:cs="Times New Roman" w:eastAsia="Times New Roman" w:hAnsi="Times New Roman"/>
                <w:i w:val="1"/>
                <w:iCs w:val="1"/>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exp</m:t>
                  </m:r>
                </m:sub>
              </m:sSub>
            </m:oMath>
            <w:r>
              <w:rPr>
                <w:rtl w:val="0"/>
              </w:rPr>
            </w:r>
          </w:p>
        </w:tc>
      </w:tr>
      <w:tr>
        <w:trPr>
          <w:cantSplit w:val="0"/>
          <w:tblHeader w:val="0"/>
        </w:trPr>
        <w:tc>
          <w:tcPr/>
          <w:p w:rsidR="00000000" w:rsidDel="00000000" w:rsidP="00000000" w:rsidRDefault="00000000" w:rsidRPr="00000000" w14:paraId="00000070">
            <w:pPr>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Governance outcome</w:t>
            </w:r>
            <w:r>
              <w:rPr>
                <w:rtl w:val="0"/>
              </w:rPr>
            </w:r>
          </w:p>
        </w:tc>
        <w:tc>
          <w:tcPr/>
          <w:p w:rsidR="00000000" w:rsidDel="00000000" w:rsidP="00000000" w:rsidRDefault="00000000" w:rsidRPr="00000000" w14:paraId="00000071">
            <w:pPr>
              <w:spacing w:after="160" w:line="278.00000000000006"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Governance Interaction Layer:</w:t>
            </w:r>
            <w:r>
              <w:rPr>
                <w:rtl w:val="0"/>
              </w:rPr>
            </w:r>
          </w:p>
          <w:p w:rsidR="00000000" w:rsidDel="00000000" w:rsidP="00000000" w:rsidRDefault="00000000" w:rsidRPr="00000000" w14:paraId="00000072">
            <w:pPr>
              <w:spacing w:after="160" w:line="278.00000000000006" w:lineRule="auto"/>
              <w:ind w:left="480" w:firstLine="0"/>
              <w:jc w:val="both"/>
              <w:rPr>
                <w:rFonts w:ascii="Times New Roman" w:cs="Times New Roman" w:eastAsia="Times New Roman" w:hAnsi="Times New Roman"/>
              </w:rPr>
            </w:pPr>
            <m:oMath>
              <m:sSub>
                <m:e>
                  <m:r>
                    <m:t>P</m:t>
                  </m:r>
                </m:e>
                <m:sub>
                  <m:r>
                    <m:t>g</m:t>
                  </m:r>
                  <m:r>
                    <m:t>o</m:t>
                  </m:r>
                  <m:r>
                    <m:t>v</m:t>
                  </m:r>
                </m:sub>
              </m:sSub>
              <m:r>
                <m:rPr>
                  <m:sty m:val="p"/>
                </m:rPr>
                <m:t>,</m:t>
              </m:r>
              <m:r>
                <m:t> </m:t>
              </m:r>
              <m:r>
                <m:t>N</m:t>
              </m:r>
              <m:r>
                <m:rPr>
                  <m:sty m:val="p"/>
                </m:rPr>
                <m:t>,</m:t>
              </m:r>
              <m:r>
                <m:t> </m:t>
              </m:r>
              <m:r>
                <m:t>I</m:t>
              </m:r>
              <m:r>
                <m:rPr>
                  <m:sty m:val="p"/>
                </m:rPr>
                <m:t>,</m:t>
              </m:r>
              <m:r>
                <m:t> </m:t>
              </m:r>
              <m:sSub>
                <m:e>
                  <m:r>
                    <m:t>τ</m:t>
                  </m:r>
                </m:e>
                <m:sub>
                  <m:r>
                    <m:t>i</m:t>
                  </m:r>
                </m:sub>
              </m:sSub>
              <m:r>
                <m:rPr>
                  <m:sty m:val="p"/>
                </m:rPr>
                <m:t>→</m:t>
              </m:r>
              <m:r>
                <m:t>R</m:t>
              </m:r>
              <m:r>
                <m:t>E</m:t>
              </m:r>
            </m:oMath>
            <w:r>
              <w:rPr>
                <w:rFonts w:ascii="Cambria Math" w:cs="Cambria Math" w:eastAsia="Cambria Math" w:hAnsi="Cambria Math"/>
                <w:i w:val="1"/>
                <w:iCs w:val="1"/>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i</m:t>
                  </m:r>
                </m:sub>
              </m:sSub>
            </m:oMath>
            <w:r>
              <w:rPr>
                <w:rFonts w:ascii="Cambria Math" w:cs="Cambria Math" w:eastAsia="Cambria Math" w:hAnsi="Cambria Math"/>
                <w:i w:val="1"/>
                <w:iCs w:val="1"/>
                <w:rtl w:val="0"/>
              </w:rPr>
              <w:t xml:space="preserve">, </w:t>
            </w:r>
            <m:oMath>
              <m:sSub>
                <m:sSubPr>
                  <m:ctrlPr>
                    <w:rPr>
                      <w:rFonts w:ascii="Cambria Math" w:cs="Cambria Math" w:eastAsia="Cambria Math" w:hAnsi="Cambria Math"/>
                    </w:rPr>
                  </m:ctrlPr>
                </m:sSubPr>
                <m:e>
                  <m:r>
                    <m:t>τ</m:t>
                  </m:r>
                </m:e>
                <m:sub>
                  <m:r>
                    <w:rPr>
                      <w:rFonts w:ascii="Cambria Math" w:cs="Cambria Math" w:eastAsia="Cambria Math" w:hAnsi="Cambria Math"/>
                    </w:rPr>
                    <m:t xml:space="preserve">i</m:t>
                  </m:r>
                </m:sub>
              </m:sSub>
            </m:oMath>
            <w:r>
              <w:rPr>
                <w:rFonts w:ascii="Cambria Math" w:cs="Cambria Math" w:eastAsia="Cambria Math" w:hAnsi="Cambria Math"/>
                <w:i w:val="1"/>
                <w:iCs w:val="1"/>
                <w:rtl w:val="0"/>
              </w:rPr>
              <w:t xml:space="preserve">, </w:t>
            </w:r>
            <m:oMath>
              <m:r>
                <w:rPr>
                  <w:rFonts w:ascii="Cambria Math" w:cs="Cambria Math" w:eastAsia="Cambria Math" w:hAnsi="Cambria Math"/>
                </w:rPr>
                <m:t xml:space="preserve">TFi</m:t>
              </m:r>
            </m:oMath>
            <w:r>
              <w:rPr>
                <w:rFonts w:ascii="Cambria Math" w:cs="Cambria Math" w:eastAsia="Cambria Math" w:hAnsi="Cambria Math"/>
                <w:i w:val="1"/>
                <w:iCs w:val="1"/>
                <w:rtl w:val="0"/>
              </w:rPr>
              <w:t xml:space="preserve"> → RE</w:t>
            </w:r>
            <w:r>
              <w:rPr>
                <w:rtl w:val="0"/>
              </w:rPr>
            </w:r>
          </w:p>
        </w:tc>
      </w:tr>
      <w:tr>
        <w:trPr>
          <w:cantSplit w:val="0"/>
          <w:tblHeader w:val="0"/>
        </w:trPr>
        <w:tc>
          <w:tcPr/>
          <w:p w:rsidR="00000000" w:rsidDel="00000000" w:rsidP="00000000" w:rsidRDefault="00000000" w:rsidRPr="00000000" w14:paraId="00000073">
            <w:pPr>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Decision interface</w:t>
            </w:r>
            <w:r>
              <w:rPr>
                <w:rtl w:val="0"/>
              </w:rPr>
            </w:r>
          </w:p>
        </w:tc>
        <w:tc>
          <w:tcPr/>
          <w:p w:rsidR="00000000" w:rsidDel="00000000" w:rsidP="00000000" w:rsidRDefault="00000000" w:rsidRPr="00000000" w14:paraId="00000074">
            <w:pPr>
              <w:spacing w:after="160" w:line="278.00000000000006"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Typology Translation Layer:</w:t>
            </w:r>
            <w:r>
              <w:rPr>
                <w:rtl w:val="0"/>
              </w:rPr>
            </w:r>
          </w:p>
          <w:p w:rsidR="00000000" w:rsidDel="00000000" w:rsidP="00000000" w:rsidRDefault="00000000" w:rsidRPr="00000000" w14:paraId="00000075">
            <w:pPr>
              <w:spacing w:after="160" w:line="278.00000000000006" w:lineRule="auto"/>
              <w:ind w:left="480" w:firstLine="0"/>
              <w:jc w:val="both"/>
              <w:rPr>
                <w:rFonts w:ascii="Cambria Math" w:cs="Cambria Math" w:eastAsia="Cambria Math" w:hAnsi="Cambria Math"/>
                <w:i w:val="1"/>
                <w:iCs w:val="1"/>
              </w:rPr>
            </w:pPr>
            <m:oMath>
              <m:sSub>
                <m:sSubPr>
                  <m:ctrlPr>
                    <w:rPr>
                      <w:rFonts w:ascii="Cambria Math" w:cs="Cambria Math" w:eastAsia="Cambria Math" w:hAnsi="Cambria Math"/>
                    </w:rPr>
                  </m:ctrlPr>
                </m:sSubPr>
                <m:e>
                  <m:r>
                    <w:rPr>
                      <w:rFonts w:ascii="Cambria Math" w:cs="Cambria Math" w:eastAsia="Cambria Math" w:hAnsi="Cambria Math"/>
                    </w:rPr>
                    <m:t xml:space="preserve">RE</m:t>
                  </m:r>
                </m:e>
                <m:sub>
                  <m:r>
                    <w:rPr>
                      <w:rFonts w:ascii="Cambria Math" w:cs="Cambria Math" w:eastAsia="Cambria Math" w:hAnsi="Cambria Math"/>
                    </w:rPr>
                    <m:t xml:space="preserve">i</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TF</m:t>
                  </m:r>
                </m:e>
                <m:sub>
                  <m:r>
                    <w:rPr>
                      <w:rFonts w:ascii="Cambria Math" w:cs="Cambria Math" w:eastAsia="Cambria Math" w:hAnsi="Cambria Math"/>
                    </w:rPr>
                    <m:t xml:space="preserve">i</m:t>
                  </m:r>
                </m:sub>
              </m:sSub>
            </m:oMath>
            <w:r>
              <w:rPr>
                <w:rFonts w:ascii="Cambria Math" w:cs="Cambria Math" w:eastAsia="Cambria Math" w:hAnsi="Cambria Math"/>
                <w:i w:val="1"/>
                <w:iCs w:val="1"/>
                <w:rtl w:val="0"/>
              </w:rPr>
              <w:t xml:space="preserve">  → </w:t>
            </w:r>
            <m:oMath>
              <m:sSub>
                <m:sSubPr>
                  <m:ctrlPr>
                    <w:rPr>
                      <w:rFonts w:ascii="Cambria Math" w:cs="Cambria Math" w:eastAsia="Cambria Math" w:hAnsi="Cambria Math"/>
                    </w:rPr>
                  </m:ctrlPr>
                </m:sSubPr>
                <m:e>
                  <m:r>
                    <w:rPr>
                      <w:rFonts w:ascii="Cambria Math" w:cs="Cambria Math" w:eastAsia="Cambria Math" w:hAnsi="Cambria Math"/>
                    </w:rPr>
                    <m:t xml:space="preserve">TRE</m:t>
                  </m:r>
                </m:e>
                <m:sub>
                  <m:r>
                    <w:rPr>
                      <w:rFonts w:ascii="Cambria Math" w:cs="Cambria Math" w:eastAsia="Cambria Math" w:hAnsi="Cambria Math"/>
                    </w:rPr>
                    <m:t xml:space="preserve">i</m:t>
                  </m:r>
                </m:sub>
              </m:sSub>
            </m:oMath>
            <w:r>
              <w:rPr>
                <w:rtl w:val="0"/>
              </w:rPr>
            </w:r>
          </w:p>
          <w:p w:rsidR="00000000" w:rsidDel="00000000" w:rsidP="00000000" w:rsidRDefault="00000000" w:rsidRPr="00000000" w14:paraId="00000076">
            <w:pPr>
              <w:spacing w:after="160" w:line="278.00000000000006"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Governance Integration Layer:</w:t>
            </w:r>
            <w:r>
              <w:rPr>
                <w:rtl w:val="0"/>
              </w:rPr>
            </w:r>
          </w:p>
          <w:p w:rsidR="00000000" w:rsidDel="00000000" w:rsidP="00000000" w:rsidRDefault="00000000" w:rsidRPr="00000000" w14:paraId="00000077">
            <w:pPr>
              <w:spacing w:after="160" w:line="278.00000000000006" w:lineRule="auto"/>
              <w:ind w:left="480" w:firstLine="0"/>
              <w:jc w:val="both"/>
              <w:rPr>
                <w:rFonts w:ascii="Times New Roman" w:cs="Times New Roman" w:eastAsia="Times New Roman" w:hAnsi="Times New Roman"/>
                <w:i w:val="1"/>
                <w:iCs w:val="1"/>
              </w:rPr>
            </w:pPr>
            <m:oMath>
              <m:nary>
                <m:naryPr>
                  <m:chr m:val="∑"/>
                </m:naryPr>
                <m:sub/>
                <m:sup/>
              </m:nary>
              <m:sSub>
                <m:sSubPr>
                  <m:ctrlPr>
                    <w:rPr>
                      <w:rFonts w:ascii="Cambria Math" w:cs="Cambria Math" w:eastAsia="Cambria Math" w:hAnsi="Cambria Math"/>
                    </w:rPr>
                  </m:ctrlPr>
                </m:sSubPr>
                <m:e>
                  <m:r>
                    <w:rPr>
                      <w:rFonts w:ascii="Cambria Math" w:cs="Cambria Math" w:eastAsia="Cambria Math" w:hAnsi="Cambria Math"/>
                    </w:rPr>
                    <m:t xml:space="preserve">TRE</m:t>
                  </m:r>
                </m:e>
                <m:sub>
                  <m:r>
                    <w:rPr>
                      <w:rFonts w:ascii="Cambria Math" w:cs="Cambria Math" w:eastAsia="Cambria Math" w:hAnsi="Cambria Math"/>
                    </w:rPr>
                    <m:t xml:space="preserve">i</m:t>
                  </m:r>
                </m:sub>
              </m:sSub>
            </m:oMath>
            <w:sdt>
              <w:sdtPr>
                <w:id w:val="149224894"/>
                <w:tag w:val="goog_rdk_4"/>
              </w:sdtPr>
              <w:sdtContent>
                <w:r>
                  <w:rPr>
                    <w:rFonts w:ascii="Cardo" w:cs="Cardo" w:eastAsia="Cardo" w:hAnsi="Cardo"/>
                    <w:i w:val="1"/>
                    <w:iCs w:val="1"/>
                    <w:rtl w:val="0"/>
                  </w:rPr>
                  <w:t xml:space="preserve"> → G</w:t>
                </w:r>
              </w:sdtContent>
            </w:sdt>
          </w:p>
          <w:p w:rsidR="00000000" w:rsidDel="00000000" w:rsidP="00000000" w:rsidRDefault="00000000" w:rsidRPr="00000000" w14:paraId="00000078">
            <w:pPr>
              <w:spacing w:after="160" w:line="278.00000000000006"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Decision Judgment Layer:</w:t>
            </w:r>
            <w:r>
              <w:rPr>
                <w:rtl w:val="0"/>
              </w:rPr>
            </w:r>
          </w:p>
          <w:p w:rsidR="00000000" w:rsidDel="00000000" w:rsidP="00000000" w:rsidRDefault="00000000" w:rsidRPr="00000000" w14:paraId="00000079">
            <w:pPr>
              <w:spacing w:after="160" w:line="278.00000000000006" w:lineRule="auto"/>
              <w:ind w:left="480" w:firstLine="0"/>
              <w:jc w:val="both"/>
              <w:rPr>
                <w:rFonts w:ascii="Times New Roman" w:cs="Times New Roman" w:eastAsia="Times New Roman" w:hAnsi="Times New Roman"/>
              </w:rPr>
            </w:pPr>
            <w:r>
              <w:rPr>
                <w:rFonts w:ascii="Cambria Math" w:cs="Cambria Math" w:eastAsia="Cambria Math" w:hAnsi="Cambria Math"/>
                <w:i w:val="1"/>
                <w:iCs w:val="1"/>
                <w:rtl w:val="0"/>
              </w:rPr>
              <w:t xml:space="preserve">G, A, → LR</w:t>
            </w:r>
            <w:r>
              <w:rPr>
                <w:rtl w:val="0"/>
              </w:rPr>
            </w:r>
          </w:p>
        </w:tc>
      </w:tr>
    </w:tbl>
    <w:p w:rsidR="00000000" w:rsidDel="00000000" w:rsidP="00000000" w:rsidRDefault="00000000" w:rsidRPr="00000000" w14:paraId="0000007A">
      <w:pPr>
        <w:jc w:val="both"/>
        <w:rPr/>
      </w:pPr>
      <w:r>
        <w:rPr>
          <w:rtl w:val="0"/>
        </w:rPr>
      </w:r>
    </w:p>
    <w:p w:rsidR="00000000" w:rsidDel="00000000" w:rsidP="00000000" w:rsidRDefault="00000000" w:rsidRPr="00000000" w14:paraId="0000007B">
      <w:pPr>
        <w:jc w:val="both"/>
        <w:rPr/>
      </w:pPr>
      <w:r>
        <w:rPr>
          <w:rtl w:val="0"/>
        </w:rPr>
        <w:t xml:space="preserve">Single-Period Probability P: A Fundamental Model Parameter </w:t>
      </w:r>
    </w:p>
    <w:p w:rsidR="00000000" w:rsidDel="00000000" w:rsidP="00000000" w:rsidRDefault="00000000" w:rsidRPr="00000000" w14:paraId="0000007C">
      <w:pPr>
        <w:jc w:val="both"/>
        <w:rPr/>
      </w:pPr>
      <w:r>
        <w:rPr>
          <w:rtl w:val="0"/>
        </w:rPr>
        <w:t xml:space="preserve">In a governance-oriented risk model, the starting point for all calculations is the </w:t>
      </w:r>
      <w:r>
        <w:rPr>
          <w:b w:val="1"/>
          <w:bCs w:val="1"/>
          <w:rtl w:val="0"/>
        </w:rPr>
        <w:t xml:space="preserve">Single-Period Probability (</w:t>
      </w:r>
      <w:r>
        <w:rPr>
          <w:rFonts w:ascii="Cambria Math" w:cs="Cambria Math" w:eastAsia="Cambria Math" w:hAnsi="Cambria Math"/>
          <w:b w:val="1"/>
          <w:bCs w:val="1"/>
          <w:rtl w:val="0"/>
        </w:rPr>
        <w:t xml:space="preserve">𝑃</w:t>
      </w:r>
      <w:r>
        <w:rPr>
          <w:b w:val="1"/>
          <w:bCs w:val="1"/>
          <w:rtl w:val="0"/>
        </w:rPr>
        <w:t xml:space="preserve">)</w:t>
      </w:r>
      <w:r>
        <w:rPr>
          <w:rtl w:val="0"/>
        </w:rPr>
        <w:t xml:space="preserve">. However, </w:t>
      </w:r>
      <w:r>
        <w:rPr>
          <w:rFonts w:ascii="Cambria Math" w:cs="Cambria Math" w:eastAsia="Cambria Math" w:hAnsi="Cambria Math"/>
          <w:rtl w:val="0"/>
        </w:rPr>
        <w:t xml:space="preserve">𝑃 </w:t>
      </w:r>
      <w:r>
        <w:rPr>
          <w:rtl w:val="0"/>
        </w:rPr>
        <w:t xml:space="preserve">is not a predictive probability of a future event in the traditional risk management sense; rather, it is a </w:t>
      </w:r>
      <w:r>
        <w:rPr>
          <w:i w:val="1"/>
          <w:iCs w:val="1"/>
          <w:rtl w:val="0"/>
        </w:rPr>
        <w:t xml:space="preserve">governance parameter</w:t>
      </w:r>
      <w:r>
        <w:rPr>
          <w:rtl w:val="0"/>
        </w:rPr>
        <w:t xml:space="preserve"> representing the level of structural exposure an organization faces regarding a specific risk within a defined decision cycle. Its core function is to serve as the input for the cumulative probability (</w:t>
      </w:r>
      <w:r>
        <w:rPr>
          <w:rFonts w:ascii="Cambria Math" w:cs="Cambria Math" w:eastAsia="Cambria Math" w:hAnsi="Cambria Math"/>
          <w:rtl w:val="0"/>
        </w:rPr>
        <w:t xml:space="preserve">𝑃𝑐𝑢𝑚</w:t>
      </w:r>
      <w:r>
        <w:rPr>
          <w:rtl w:val="0"/>
        </w:rPr>
        <w:t xml:space="preserve">), linking single-period risk to the time scale, thereby transforming event-based risk into an exposure structure that can be managed through governance. </w:t>
      </w:r>
    </w:p>
    <w:p w:rsidR="00000000" w:rsidDel="00000000" w:rsidP="00000000" w:rsidRDefault="00000000" w:rsidRPr="00000000" w14:paraId="0000007D">
      <w:pPr>
        <w:jc w:val="both"/>
        <w:rPr/>
      </w:pPr>
      <w:r>
        <w:rPr>
          <w:rtl w:val="0"/>
        </w:rPr>
        <w:t xml:space="preserve">The decision-making context addressed by this model possesses three core characteristics:</w:t>
        <w:br w:type="textWrapping"/>
        <w:t xml:space="preserve">(1) </w:t>
      </w:r>
      <w:r>
        <w:rPr>
          <w:b w:val="1"/>
          <w:bCs w:val="1"/>
          <w:rtl w:val="0"/>
        </w:rPr>
        <w:t xml:space="preserve">Periodical Decision Assumption:</w:t>
      </w:r>
      <w:r>
        <w:rPr>
          <w:rtl w:val="0"/>
        </w:rPr>
        <w:t xml:space="preserve"> Decisions are made repeatedly in fixed cycles to simulate long-term operations;</w:t>
        <w:br w:type="textWrapping"/>
        <w:t xml:space="preserve">(2) </w:t>
      </w:r>
      <w:r>
        <w:rPr>
          <w:b w:val="1"/>
          <w:bCs w:val="1"/>
          <w:rtl w:val="0"/>
        </w:rPr>
        <w:t xml:space="preserve">Risk Persistence Assumption:</w:t>
      </w:r>
      <w:r>
        <w:rPr>
          <w:rtl w:val="0"/>
        </w:rPr>
        <w:t xml:space="preserve"> Risks are continuous, ongoing realities rather than one-off events;</w:t>
        <w:br w:type="textWrapping"/>
        <w:t xml:space="preserve">(3) </w:t>
      </w:r>
      <w:r>
        <w:rPr>
          <w:b w:val="1"/>
          <w:bCs w:val="1"/>
          <w:rtl w:val="0"/>
        </w:rPr>
        <w:t xml:space="preserve">Intervenability Assumption:</w:t>
      </w:r>
      <w:r>
        <w:rPr>
          <w:rtl w:val="0"/>
        </w:rPr>
        <w:t xml:space="preserve"> Governance actions allow for adjustments within each cycle. </w:t>
      </w:r>
    </w:p>
    <w:p w:rsidR="00000000" w:rsidDel="00000000" w:rsidP="00000000" w:rsidRDefault="00000000" w:rsidRPr="00000000" w14:paraId="0000007E">
      <w:pPr>
        <w:jc w:val="both"/>
        <w:rPr/>
      </w:pPr>
      <w:r>
        <w:rPr>
          <w:rtl w:val="0"/>
        </w:rPr>
        <w:t xml:space="preserve">Based on these assumptions, the meaning of </w:t>
      </w:r>
      <w:r>
        <w:rPr>
          <w:rFonts w:ascii="Cambria Math" w:cs="Cambria Math" w:eastAsia="Cambria Math" w:hAnsi="Cambria Math"/>
          <w:rtl w:val="0"/>
        </w:rPr>
        <w:t xml:space="preserve">𝑃 </w:t>
      </w:r>
      <w:r>
        <w:rPr>
          <w:rtl w:val="0"/>
        </w:rPr>
        <w:t xml:space="preserve">is to define the likelihood that the risk will have a material impact on the organization within a specific, clearly defined governance cycle. Therefore, </w:t>
      </w:r>
      <w:r>
        <w:rPr>
          <w:rFonts w:ascii="Cambria Math" w:cs="Cambria Math" w:eastAsia="Cambria Math" w:hAnsi="Cambria Math"/>
          <w:rtl w:val="0"/>
        </w:rPr>
        <w:t xml:space="preserve">𝑃 </w:t>
      </w:r>
      <w:r>
        <w:rPr>
          <w:rtl w:val="0"/>
        </w:rPr>
        <w:t xml:space="preserve">must be explicitly tied to the decision cycle </w:t>
      </w:r>
      <w:r>
        <w:rPr>
          <w:rFonts w:ascii="Cambria Math" w:cs="Cambria Math" w:eastAsia="Cambria Math" w:hAnsi="Cambria Math"/>
          <w:rtl w:val="0"/>
        </w:rPr>
        <w:t xml:space="preserve">𝑇</w:t>
      </w:r>
      <w:r>
        <w:rPr>
          <w:rtl w:val="0"/>
        </w:rPr>
        <w:t xml:space="preserve">. When the definition of the cycle changes, </w:t>
      </w:r>
      <w:r>
        <w:rPr>
          <w:rFonts w:ascii="Cambria Math" w:cs="Cambria Math" w:eastAsia="Cambria Math" w:hAnsi="Cambria Math"/>
          <w:rtl w:val="0"/>
        </w:rPr>
        <w:t xml:space="preserve">𝑃 </w:t>
      </w:r>
      <w:r>
        <w:rPr>
          <w:rtl w:val="0"/>
        </w:rPr>
        <w:t xml:space="preserve">must be re-estimated, and </w:t>
      </w:r>
      <w:r>
        <w:rPr>
          <w:rFonts w:ascii="Cambria Math" w:cs="Cambria Math" w:eastAsia="Cambria Math" w:hAnsi="Cambria Math"/>
          <w:rtl w:val="0"/>
        </w:rPr>
        <w:t xml:space="preserve">𝑃 </w:t>
      </w:r>
      <w:r>
        <w:rPr>
          <w:rtl w:val="0"/>
        </w:rPr>
        <w:t xml:space="preserve">values from different time scales are not directly interchangeable. </w:t>
      </w:r>
    </w:p>
    <w:p w:rsidR="00000000" w:rsidDel="00000000" w:rsidP="00000000" w:rsidRDefault="00000000" w:rsidRPr="00000000" w14:paraId="0000007F">
      <w:pPr>
        <w:jc w:val="both"/>
        <w:rPr/>
      </w:pPr>
      <w:r>
        <w:rPr>
          <w:b w:val="1"/>
          <w:bCs w:val="1"/>
          <w:rtl w:val="0"/>
        </w:rPr>
        <w:t xml:space="preserve">Contextual Examples of P:</w:t>
      </w:r>
      <w:r>
        <w:rPr>
          <w:rtl w:val="0"/>
        </w:rPr>
        <w:t xml:space="preserve"> </w:t>
      </w:r>
    </w:p>
    <w:p w:rsidR="00000000" w:rsidDel="00000000" w:rsidP="00000000" w:rsidRDefault="00000000" w:rsidRPr="00000000" w14:paraId="00000080">
      <w:pPr>
        <w:jc w:val="both"/>
        <w:rPr/>
      </w:pPr>
      <w:r>
        <w:rPr>
          <w:rtl w:val="0"/>
        </w:rPr>
        <w:t xml:space="preserve">To facilitate understanding, the model uses the following typical case scenarios: </w:t>
      </w:r>
    </w:p>
    <w:p w:rsidR="00000000" w:rsidDel="00000000" w:rsidP="00000000" w:rsidRDefault="00000000" w:rsidRPr="00000000" w14:paraId="00000081">
      <w:pPr>
        <w:numPr>
          <w:ilvl w:val="0"/>
          <w:numId w:val="11"/>
        </w:numPr>
        <w:ind w:left="720" w:hanging="360"/>
        <w:jc w:val="both"/>
        <w:rPr/>
      </w:pPr>
      <w:r>
        <w:rPr>
          <w:b w:val="1"/>
          <w:bCs w:val="1"/>
          <w:rtl w:val="0"/>
        </w:rPr>
        <w:t xml:space="preserve">Case 1:</w:t>
      </w:r>
      <w:r>
        <w:rPr>
          <w:rtl w:val="0"/>
        </w:rPr>
        <w:t xml:space="preserve"> A unit conducts cybersecurity checks and enhancements quarterly. The CRO (Chief Risk Officer) is concerned with the probability </w:t>
      </w:r>
      <w:r>
        <w:rPr>
          <w:rFonts w:ascii="Cambria Math" w:cs="Cambria Math" w:eastAsia="Cambria Math" w:hAnsi="Cambria Math"/>
          <w:rtl w:val="0"/>
        </w:rPr>
        <w:t xml:space="preserve">𝑃 </w:t>
      </w:r>
      <w:r>
        <w:rPr>
          <w:rtl w:val="0"/>
        </w:rPr>
        <w:t xml:space="preserve">of the system suffering a material attack within the current governance cycle. When the organization strengthens protective measures, </w:t>
      </w:r>
      <w:r>
        <w:rPr>
          <w:rFonts w:ascii="Cambria Math" w:cs="Cambria Math" w:eastAsia="Cambria Math" w:hAnsi="Cambria Math"/>
          <w:rtl w:val="0"/>
        </w:rPr>
        <w:t xml:space="preserve">𝑃 </w:t>
      </w:r>
      <w:r>
        <w:rPr>
          <w:rtl w:val="0"/>
        </w:rPr>
        <w:t xml:space="preserve">may decrease; when the threat landscape intensifies, </w:t>
      </w:r>
      <w:r>
        <w:rPr>
          <w:rFonts w:ascii="Cambria Math" w:cs="Cambria Math" w:eastAsia="Cambria Math" w:hAnsi="Cambria Math"/>
          <w:rtl w:val="0"/>
        </w:rPr>
        <w:t xml:space="preserve">𝑃 </w:t>
      </w:r>
      <w:r>
        <w:rPr>
          <w:rtl w:val="0"/>
        </w:rPr>
        <w:t xml:space="preserve">may increase.</w:t>
      </w:r>
    </w:p>
    <w:p w:rsidR="00000000" w:rsidDel="00000000" w:rsidP="00000000" w:rsidRDefault="00000000" w:rsidRPr="00000000" w14:paraId="00000082">
      <w:pPr>
        <w:numPr>
          <w:ilvl w:val="0"/>
          <w:numId w:val="11"/>
        </w:numPr>
        <w:ind w:left="720" w:hanging="360"/>
        <w:jc w:val="both"/>
        <w:rPr/>
      </w:pPr>
      <w:r>
        <w:rPr>
          <w:b w:val="1"/>
          <w:bCs w:val="1"/>
          <w:rtl w:val="0"/>
        </w:rPr>
        <w:t xml:space="preserve">Case 2:</w:t>
      </w:r>
      <w:r>
        <w:rPr>
          <w:rtl w:val="0"/>
        </w:rPr>
        <w:t xml:space="preserve"> An enterprise conducts annual compliance reviews and system adjustments. The risk is not a single event but ongoing regulatory uncertainty. Management is concerned with the annual probability of being penalized or required to make major revisions due to compliance deficiencies. Since this probability cannot be precisely predicted, expressing it as an interval is more aligned with governance practice.</w:t>
      </w:r>
    </w:p>
    <w:p w:rsidR="00000000" w:rsidDel="00000000" w:rsidP="00000000" w:rsidRDefault="00000000" w:rsidRPr="00000000" w14:paraId="00000083">
      <w:pPr>
        <w:numPr>
          <w:ilvl w:val="0"/>
          <w:numId w:val="11"/>
        </w:numPr>
        <w:ind w:left="720" w:hanging="360"/>
        <w:jc w:val="both"/>
        <w:rPr/>
      </w:pPr>
      <w:r>
        <w:rPr>
          <w:b w:val="1"/>
          <w:bCs w:val="1"/>
          <w:rtl w:val="0"/>
        </w:rPr>
        <w:t xml:space="preserve">Case 3:</w:t>
      </w:r>
      <w:r>
        <w:rPr>
          <w:rtl w:val="0"/>
        </w:rPr>
        <w:t xml:space="preserve"> A production line faces potential equipment failure daily, but the line manager wants to understand the probability of an event requiring a line stoppage within a specific maintenance cycle. As maintenance investment increases, </w:t>
      </w:r>
    </w:p>
    <w:p w:rsidR="00000000" w:rsidDel="00000000" w:rsidP="00000000" w:rsidRDefault="00000000" w:rsidRPr="00000000" w14:paraId="00000084">
      <w:pPr>
        <w:jc w:val="both"/>
        <w:rPr/>
      </w:pPr>
      <w:r>
        <w:rPr/>
        <w:drawing>
          <wp:inline distB="0" distT="0" distL="0" distR="0">
            <wp:extent cx="9525" cy="9525"/>
            <wp:effectExtent b="0" l="0" r="0" t="0"/>
            <wp:docPr id="2052077869"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Fonts w:ascii="Cambria Math" w:cs="Cambria Math" w:eastAsia="Cambria Math" w:hAnsi="Cambria Math"/>
          <w:rtl w:val="0"/>
        </w:rPr>
        <w:t xml:space="preserve">𝑃 </w:t>
      </w:r>
      <w:r>
        <w:rPr>
          <w:rtl w:val="0"/>
        </w:rPr>
        <w:t xml:space="preserve">gradually decreases, though it cannot reach zero. Traditional risk models often treat probability as a fixed forecast of the future. However, in governance practice, most risks lack sufficient historical samples for precise estimation; risks are influenced by systems and actions (not constant), and decision-makers truly require "comparable, actionable" parameters. This model defines </w:t>
      </w:r>
      <w:r>
        <w:rPr>
          <w:rFonts w:ascii="Cambria Math" w:cs="Cambria Math" w:eastAsia="Cambria Math" w:hAnsi="Cambria Math"/>
          <w:rtl w:val="0"/>
        </w:rPr>
        <w:t xml:space="preserve">𝑃 </w:t>
      </w:r>
      <w:r>
        <w:rPr>
          <w:rtl w:val="0"/>
        </w:rPr>
        <w:t xml:space="preserve">as a governance-oriented exposure parameter, allowing risk to enter a quantifiable framework, explicitly handling uncertainty, and supporting comparability across different risks. </w:t>
      </w:r>
    </w:p>
    <w:p w:rsidR="00000000" w:rsidDel="00000000" w:rsidP="00000000" w:rsidRDefault="00000000" w:rsidRPr="00000000" w14:paraId="00000085">
      <w:pPr>
        <w:jc w:val="both"/>
        <w:rPr/>
      </w:pPr>
      <w:r>
        <w:rPr>
          <w:b w:val="1"/>
          <w:bCs w:val="1"/>
          <w:rtl w:val="0"/>
        </w:rPr>
        <w:t xml:space="preserve">Practical Application: Three Tiers of P Estimation</w:t>
      </w:r>
      <w:r>
        <w:rPr>
          <w:rtl w:val="0"/>
        </w:rPr>
        <w:t xml:space="preserve"> </w:t>
      </w:r>
    </w:p>
    <w:p w:rsidR="00000000" w:rsidDel="00000000" w:rsidP="00000000" w:rsidRDefault="00000000" w:rsidRPr="00000000" w14:paraId="00000086">
      <w:pPr>
        <w:jc w:val="both"/>
        <w:rPr/>
      </w:pPr>
      <w:r>
        <w:rPr>
          <w:rtl w:val="0"/>
        </w:rPr>
        <w:t xml:space="preserve">In practice, </w:t>
      </w:r>
      <w:r>
        <w:rPr>
          <w:rFonts w:ascii="Cambria Math" w:cs="Cambria Math" w:eastAsia="Cambria Math" w:hAnsi="Cambria Math"/>
          <w:rtl w:val="0"/>
        </w:rPr>
        <w:t xml:space="preserve">𝑃 </w:t>
      </w:r>
      <w:r>
        <w:rPr>
          <w:rtl w:val="0"/>
        </w:rPr>
        <w:t xml:space="preserve">can be categorized into three tiers based on available information: </w:t>
      </w:r>
    </w:p>
    <w:p w:rsidR="00000000" w:rsidDel="00000000" w:rsidP="00000000" w:rsidRDefault="00000000" w:rsidRPr="00000000" w14:paraId="00000087">
      <w:pPr>
        <w:numPr>
          <w:ilvl w:val="0"/>
          <w:numId w:val="21"/>
        </w:numPr>
        <w:ind w:left="720" w:hanging="360"/>
        <w:jc w:val="both"/>
        <w:rPr/>
      </w:pPr>
      <w:r>
        <w:rPr>
          <w:b w:val="1"/>
          <w:bCs w:val="1"/>
          <w:rtl w:val="0"/>
        </w:rPr>
        <w:t xml:space="preserve">Benchmark Estimation:</w:t>
      </w:r>
      <w:r>
        <w:rPr>
          <w:rtl w:val="0"/>
        </w:rPr>
        <w:t xml:space="preserve"> When sufficient data is lacking, a reasonable interval </w:t>
      </w:r>
      <w:r>
        <w:rPr/>
        <w:drawing>
          <wp:inline distB="0" distT="0" distL="0" distR="0">
            <wp:extent cx="9525" cy="9525"/>
            <wp:effectExtent b="0" l="0" r="0" t="0"/>
            <wp:docPr id="2052077868"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tl w:val="0"/>
        </w:rPr>
        <w:t xml:space="preserve">[</w:t>
      </w:r>
      <w:r>
        <w:rPr>
          <w:rFonts w:ascii="Cambria Math" w:cs="Cambria Math" w:eastAsia="Cambria Math" w:hAnsi="Cambria Math"/>
          <w:rtl w:val="0"/>
        </w:rPr>
        <w:t xml:space="preserve">𝑃𝑚𝑖𝑛</w:t>
      </w:r>
      <w:r>
        <w:rPr>
          <w:rtl w:val="0"/>
        </w:rPr>
        <w:t xml:space="preserve">,</w:t>
      </w:r>
      <w:r>
        <w:rPr>
          <w:rFonts w:ascii="Cambria Math" w:cs="Cambria Math" w:eastAsia="Cambria Math" w:hAnsi="Cambria Math"/>
          <w:rtl w:val="0"/>
        </w:rPr>
        <w:t xml:space="preserve">𝑃𝑚𝑎𝑥</w:t>
      </w:r>
      <w:r>
        <w:rPr>
          <w:rtl w:val="0"/>
        </w:rPr>
        <w:t xml:space="preserve">] can be directly assigned. This reflects experienced judgment about the risk, prioritizing operability over precise prediction and providing an assessable governance starting point.</w:t>
      </w:r>
    </w:p>
    <w:p w:rsidR="00000000" w:rsidDel="00000000" w:rsidP="00000000" w:rsidRDefault="00000000" w:rsidRPr="00000000" w14:paraId="00000088">
      <w:pPr>
        <w:numPr>
          <w:ilvl w:val="0"/>
          <w:numId w:val="21"/>
        </w:numPr>
        <w:ind w:left="720" w:hanging="360"/>
        <w:jc w:val="both"/>
        <w:rPr/>
      </w:pPr>
      <w:r>
        <w:rPr>
          <w:b w:val="1"/>
          <w:bCs w:val="1"/>
          <w:rtl w:val="0"/>
        </w:rPr>
        <w:t xml:space="preserve">Historical Calibration:</w:t>
      </w:r>
      <w:r>
        <w:rPr>
          <w:rtl w:val="0"/>
        </w:rPr>
        <w:t xml:space="preserve"> With historical records available, a benchmark value can be estimated based on observed frequency. An acceptable error margin is added to form an interval, avoiding reliance on a single point estimate.</w:t>
      </w:r>
    </w:p>
    <w:p w:rsidR="00000000" w:rsidDel="00000000" w:rsidP="00000000" w:rsidRDefault="00000000" w:rsidRPr="00000000" w14:paraId="00000089">
      <w:pPr>
        <w:numPr>
          <w:ilvl w:val="0"/>
          <w:numId w:val="21"/>
        </w:numPr>
        <w:ind w:left="720" w:hanging="360"/>
        <w:jc w:val="both"/>
        <w:rPr/>
      </w:pPr>
      <w:r>
        <w:rPr>
          <w:b w:val="1"/>
          <w:bCs w:val="1"/>
          <w:rtl w:val="0"/>
        </w:rPr>
        <w:t xml:space="preserve">Scenario Modification:</w:t>
      </w:r>
      <w:r>
        <w:rPr>
          <w:rtl w:val="0"/>
        </w:rPr>
        <w:t xml:space="preserve"> When clear scenario changes or governance actions occur, </w:t>
      </w:r>
      <w:r>
        <w:rPr>
          <w:rFonts w:ascii="Cambria Math" w:cs="Cambria Math" w:eastAsia="Cambria Math" w:hAnsi="Cambria Math"/>
          <w:rtl w:val="0"/>
        </w:rPr>
        <w:t xml:space="preserve">𝑃 </w:t>
      </w:r>
      <w:r>
        <w:rPr>
          <w:rtl w:val="0"/>
        </w:rPr>
        <w:t xml:space="preserve">can be adjusted upward or downward based on scenario factors to reflect the current governance environment. </w:t>
      </w:r>
    </w:p>
    <w:p w:rsidR="00000000" w:rsidDel="00000000" w:rsidP="00000000" w:rsidRDefault="00000000" w:rsidRPr="00000000" w14:paraId="0000008A">
      <w:pPr>
        <w:jc w:val="both"/>
        <w:rPr/>
      </w:pPr>
      <w:r>
        <w:rPr>
          <w:b w:val="1"/>
          <w:bCs w:val="1"/>
          <w:rtl w:val="0"/>
        </w:rPr>
        <w:t xml:space="preserve">Handling Uncertainty in P:</w:t>
      </w:r>
      <w:r>
        <w:rPr>
          <w:rtl w:val="0"/>
        </w:rPr>
        <w:t xml:space="preserve">  To reflect real-world probability uncertainty, the model allows </w:t>
      </w:r>
      <w:r>
        <w:rPr>
          <w:rFonts w:ascii="Cambria Math" w:cs="Cambria Math" w:eastAsia="Cambria Math" w:hAnsi="Cambria Math"/>
          <w:rtl w:val="0"/>
        </w:rPr>
        <w:t xml:space="preserve">𝑃 </w:t>
      </w:r>
      <w:r>
        <w:rPr>
          <w:rtl w:val="0"/>
        </w:rPr>
        <w:t xml:space="preserve">to be treated as a random variable during computation. Interval sampling </w:t>
      </w:r>
      <w:r>
        <w:rPr>
          <w:rFonts w:ascii="Cambria Math" w:cs="Cambria Math" w:eastAsia="Cambria Math" w:hAnsi="Cambria Math"/>
          <w:rtl w:val="0"/>
        </w:rPr>
        <w:t xml:space="preserve">𝑃∈</w:t>
      </w:r>
      <w:r>
        <w:rPr>
          <w:rtl w:val="0"/>
        </w:rPr>
        <w:t xml:space="preserve">[</w:t>
      </w:r>
      <w:r>
        <w:rPr>
          <w:rFonts w:ascii="Cambria Math" w:cs="Cambria Math" w:eastAsia="Cambria Math" w:hAnsi="Cambria Math"/>
          <w:rtl w:val="0"/>
        </w:rPr>
        <w:t xml:space="preserve">𝑃𝑚𝑖𝑛</w:t>
      </w:r>
      <w:r>
        <w:rPr>
          <w:rtl w:val="0"/>
        </w:rPr>
        <w:t xml:space="preserve">,</w:t>
      </w:r>
      <w:r>
        <w:rPr>
          <w:rFonts w:ascii="Cambria Math" w:cs="Cambria Math" w:eastAsia="Cambria Math" w:hAnsi="Cambria Math"/>
          <w:rtl w:val="0"/>
        </w:rPr>
        <w:t xml:space="preserve">𝑃𝑚𝑎𝑥</w:t>
      </w:r>
      <w:r>
        <w:rPr>
          <w:rtl w:val="0"/>
        </w:rPr>
        <w:t xml:space="preserve">] represents this uncertainty. Sampling within a reasonable interval ensures robustness of the results without over-reliance on a single subjective estimate. Theoretically, </w:t>
      </w:r>
      <w:r>
        <w:rPr>
          <w:rFonts w:ascii="Cambria Math" w:cs="Cambria Math" w:eastAsia="Cambria Math" w:hAnsi="Cambria Math"/>
          <w:rtl w:val="0"/>
        </w:rPr>
        <w:t xml:space="preserve">𝑃 </w:t>
      </w:r>
      <w:r>
        <w:rPr>
          <w:rtl w:val="0"/>
        </w:rPr>
        <w:t xml:space="preserve">is a governance parameter; operationally, it can be converted into random samples to support scenario simulations and sensitivity analyses. </w:t>
      </w:r>
    </w:p>
    <w:p w:rsidR="00000000" w:rsidDel="00000000" w:rsidP="00000000" w:rsidRDefault="00000000" w:rsidRPr="00000000" w14:paraId="0000008B">
      <w:pPr>
        <w:jc w:val="both"/>
        <w:rPr/>
      </w:pPr>
      <w:r>
        <w:rPr>
          <w:b w:val="1"/>
          <w:bCs w:val="1"/>
          <w:rtl w:val="0"/>
        </w:rPr>
        <w:t xml:space="preserve">Methodological Limitations:</w:t>
      </w:r>
      <w:r>
        <w:rPr>
          <w:rtl w:val="0"/>
        </w:rPr>
        <w:t xml:space="preserve"> </w:t>
      </w:r>
      <w:r>
        <w:rPr/>
        <w:drawing>
          <wp:inline distB="0" distT="0" distL="0" distR="0">
            <wp:extent cx="9525" cy="9525"/>
            <wp:effectExtent b="0" l="0" r="0" t="0"/>
            <wp:docPr id="2052077871"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Fonts w:ascii="Cambria Math" w:cs="Cambria Math" w:eastAsia="Cambria Math" w:hAnsi="Cambria Math"/>
          <w:rtl w:val="0"/>
        </w:rPr>
        <w:t xml:space="preserve">𝑃 </w:t>
      </w:r>
      <w:r>
        <w:rPr>
          <w:rtl w:val="0"/>
        </w:rPr>
        <w:t xml:space="preserve">is a governance parameter, not a precise predictive probability. </w:t>
      </w:r>
      <w:r>
        <w:rPr>
          <w:rFonts w:ascii="Cambria Math" w:cs="Cambria Math" w:eastAsia="Cambria Math" w:hAnsi="Cambria Math"/>
          <w:rtl w:val="0"/>
        </w:rPr>
        <w:t xml:space="preserve">𝑃 </w:t>
      </w:r>
      <w:r>
        <w:rPr>
          <w:rtl w:val="0"/>
        </w:rPr>
        <w:t xml:space="preserve">values defined under different cycles </w:t>
      </w:r>
      <w:r>
        <w:rPr>
          <w:rFonts w:ascii="Cambria Math" w:cs="Cambria Math" w:eastAsia="Cambria Math" w:hAnsi="Cambria Math"/>
          <w:rtl w:val="0"/>
        </w:rPr>
        <w:t xml:space="preserve">𝑇 </w:t>
      </w:r>
      <w:r>
        <w:rPr>
          <w:rtl w:val="0"/>
        </w:rPr>
        <w:t xml:space="preserve">are not directly comparable.</w:t>
      </w:r>
    </w:p>
    <w:p w:rsidR="00000000" w:rsidDel="00000000" w:rsidP="00000000" w:rsidRDefault="00000000" w:rsidRPr="00000000" w14:paraId="0000008C">
      <w:pPr>
        <w:numPr>
          <w:ilvl w:val="0"/>
          <w:numId w:val="22"/>
        </w:numPr>
        <w:ind w:left="720" w:hanging="360"/>
        <w:jc w:val="both"/>
        <w:rPr/>
      </w:pPr>
      <w:r>
        <w:rPr>
          <w:rtl w:val="0"/>
        </w:rPr>
        <w:t xml:space="preserve">Highly rare or long-term risks require longer cycles or scenario modification.</w:t>
      </w:r>
    </w:p>
    <w:p w:rsidR="00000000" w:rsidDel="00000000" w:rsidP="00000000" w:rsidRDefault="00000000" w:rsidRPr="00000000" w14:paraId="0000008D">
      <w:pPr>
        <w:numPr>
          <w:ilvl w:val="0"/>
          <w:numId w:val="22"/>
        </w:numPr>
        <w:ind w:left="720" w:hanging="360"/>
        <w:jc w:val="both"/>
        <w:rPr/>
      </w:pPr>
      <w:r>
        <w:rPr>
          <w:rtl w:val="0"/>
        </w:rPr>
        <w:t xml:space="preserve">Without a clear definition of cycle </w:t>
      </w:r>
      <w:r>
        <w:rPr>
          <w:rFonts w:ascii="Cambria Math" w:cs="Cambria Math" w:eastAsia="Cambria Math" w:hAnsi="Cambria Math"/>
          <w:rtl w:val="0"/>
        </w:rPr>
        <w:t xml:space="preserve">𝑇</w:t>
      </w:r>
      <w:r>
        <w:rPr>
          <w:rtl w:val="0"/>
        </w:rPr>
        <w:t xml:space="preserve">, </w:t>
      </w:r>
      <w:r>
        <w:rPr/>
        <w:drawing>
          <wp:inline distB="0" distT="0" distL="0" distR="0">
            <wp:extent cx="9525" cy="9525"/>
            <wp:effectExtent b="0" l="0" r="0" t="0"/>
            <wp:docPr id="2052077870"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Fonts w:ascii="Cambria Math" w:cs="Cambria Math" w:eastAsia="Cambria Math" w:hAnsi="Cambria Math"/>
          <w:rtl w:val="0"/>
        </w:rPr>
        <w:t xml:space="preserve">𝑃 </w:t>
      </w:r>
      <w:r>
        <w:rPr>
          <w:rtl w:val="0"/>
        </w:rPr>
        <w:t xml:space="preserve">loses its operational meaning. </w:t>
      </w:r>
    </w:p>
    <w:p w:rsidR="00000000" w:rsidDel="00000000" w:rsidP="00000000" w:rsidRDefault="00000000" w:rsidRPr="00000000" w14:paraId="0000008E">
      <w:pPr>
        <w:jc w:val="both"/>
        <w:rPr>
          <w:b w:val="1"/>
          <w:bCs w:val="1"/>
        </w:rPr>
      </w:pPr>
      <w:r>
        <w:rPr>
          <w:b w:val="1"/>
          <w:bCs w:val="1"/>
          <w:rtl w:val="0"/>
        </w:rPr>
        <w:t xml:space="preserve">Decision Cycle T</w:t>
      </w:r>
    </w:p>
    <w:p w:rsidR="00000000" w:rsidDel="00000000" w:rsidP="00000000" w:rsidRDefault="00000000" w:rsidRPr="00000000" w14:paraId="0000008F">
      <w:pPr>
        <w:jc w:val="both"/>
        <w:rPr/>
      </w:pPr>
      <w:r>
        <w:rPr>
          <w:rtl w:val="0"/>
        </w:rPr>
        <w:t xml:space="preserve"> In the governance-oriented risk model, the Decision Cycle (𝑇) is a critical scale that links time and risk exposure. 𝑇 is the length of one decision cycle, i.e., the interval between successive governance reviews (decision nodes). If the single-period probability (𝑃) reflects the "possibility of risk within one cycle," then over an observation horizon 𝐻 the organization passes through 𝑁 = 𝐻/𝑇 consecutive decision cycles in which it continuously faces that risk. 𝑇 therefore determines both the number of decision nodes (𝑁) used in the cumulative probability and the time available at each node, which is reflected in the time pressure coefficient (𝜏). </w:t>
      </w:r>
    </w:p>
    <w:p w:rsidR="00000000" w:rsidDel="00000000" w:rsidP="00000000" w:rsidRDefault="00000000" w:rsidRPr="00000000" w14:paraId="00000090">
      <w:pPr>
        <w:jc w:val="both"/>
        <w:rPr/>
      </w:pPr>
      <w:r>
        <w:rPr>
          <w:rtl w:val="0"/>
        </w:rPr>
        <w:t xml:space="preserve">Unlike traditional risk assessments, which often use "natural time length" as the calculation basis, </w:t>
      </w:r>
      <w:r>
        <w:rPr>
          <w:rFonts w:ascii="Cambria Math" w:cs="Cambria Math" w:eastAsia="Cambria Math" w:hAnsi="Cambria Math"/>
          <w:rtl w:val="0"/>
        </w:rPr>
        <w:t xml:space="preserve">𝑇 </w:t>
      </w:r>
      <w:r>
        <w:rPr>
          <w:rtl w:val="0"/>
        </w:rPr>
        <w:t xml:space="preserve">in this model is not merely days or years. It is an operational unit centered on the organization's actual governance rhythm. In other words, </w:t>
      </w:r>
      <w:r>
        <w:rPr>
          <w:rFonts w:ascii="Cambria Math" w:cs="Cambria Math" w:eastAsia="Cambria Math" w:hAnsi="Cambria Math"/>
          <w:rtl w:val="0"/>
        </w:rPr>
        <w:t xml:space="preserve">𝑇 </w:t>
      </w:r>
      <w:r>
        <w:rPr>
          <w:rtl w:val="0"/>
        </w:rPr>
        <w:t xml:space="preserve">does not correspond to the abstract passage of time, but rather to a decision loop with explicit governance implications, such as monthly routine checks, quarterly risk reviews, or annual system adjustments. </w:t>
      </w:r>
    </w:p>
    <w:p w:rsidR="00000000" w:rsidDel="00000000" w:rsidP="00000000" w:rsidRDefault="00000000" w:rsidRPr="00000000" w14:paraId="00000091">
      <w:pPr>
        <w:jc w:val="both"/>
        <w:rPr/>
      </w:pPr>
      <w:r>
        <w:rPr>
          <w:rtl w:val="0"/>
        </w:rPr>
        <w:t xml:space="preserve">This design stems from a fundamental fact of governance practice: risk management is not an idealized, continuous process but is discretely unfolded according to the rhythm of organizational operations. Each cycle presents an opportunity for governance intervention and a decision round where risk outcomes must be assumed. Therefore, the model measures exposure not by the "length of time," but by the </w:t>
      </w:r>
      <w:r>
        <w:rPr>
          <w:b w:val="1"/>
          <w:bCs w:val="1"/>
          <w:rtl w:val="0"/>
        </w:rPr>
        <w:t xml:space="preserve">"number of governance actions/cycles."</w:t>
      </w:r>
      <w:r>
        <w:rPr>
          <w:rtl w:val="0"/>
        </w:rPr>
        <w:t xml:space="preserve"> </w:t>
      </w:r>
    </w:p>
    <w:p w:rsidR="00000000" w:rsidDel="00000000" w:rsidP="00000000" w:rsidRDefault="00000000" w:rsidRPr="00000000" w14:paraId="00000092">
      <w:pPr>
        <w:jc w:val="both"/>
        <w:rPr/>
      </w:pPr>
      <w:r>
        <w:rPr>
          <w:rtl w:val="0"/>
        </w:rPr>
        <w:t xml:space="preserve">Within this framework, the selection of </w:t>
      </w:r>
      <w:r>
        <w:rPr>
          <w:rFonts w:ascii="Cambria Math" w:cs="Cambria Math" w:eastAsia="Cambria Math" w:hAnsi="Cambria Math"/>
          <w:rtl w:val="0"/>
        </w:rPr>
        <w:t xml:space="preserve">𝑇 </w:t>
      </w:r>
      <w:r>
        <w:rPr>
          <w:rtl w:val="0"/>
        </w:rPr>
        <w:t xml:space="preserve">is highly contextual. Different organizations, different risk types, and even different functional units within the same organization may adopt different cycle definitions. For example: </w:t>
      </w:r>
    </w:p>
    <w:p w:rsidR="00000000" w:rsidDel="00000000" w:rsidP="00000000" w:rsidRDefault="00000000" w:rsidRPr="00000000" w14:paraId="00000093">
      <w:pPr>
        <w:numPr>
          <w:ilvl w:val="0"/>
          <w:numId w:val="23"/>
        </w:numPr>
        <w:ind w:left="720" w:hanging="360"/>
        <w:jc w:val="both"/>
        <w:rPr/>
      </w:pPr>
      <w:r>
        <w:rPr>
          <w:b w:val="1"/>
          <w:bCs w:val="1"/>
          <w:rtl w:val="0"/>
        </w:rPr>
        <w:t xml:space="preserve">Cybersecurity risk</w:t>
      </w:r>
      <w:r>
        <w:rPr>
          <w:rtl w:val="0"/>
        </w:rPr>
        <w:t xml:space="preserve"> might use a "quarterly" cycle, corresponding to regular security testing and patching;</w:t>
      </w:r>
    </w:p>
    <w:p w:rsidR="00000000" w:rsidDel="00000000" w:rsidP="00000000" w:rsidRDefault="00000000" w:rsidRPr="00000000" w14:paraId="00000094">
      <w:pPr>
        <w:numPr>
          <w:ilvl w:val="0"/>
          <w:numId w:val="23"/>
        </w:numPr>
        <w:ind w:left="720" w:hanging="360"/>
        <w:jc w:val="both"/>
        <w:rPr/>
      </w:pPr>
      <w:r>
        <w:rPr>
          <w:b w:val="1"/>
          <w:bCs w:val="1"/>
          <w:rtl w:val="0"/>
        </w:rPr>
        <w:t xml:space="preserve">Project risk</w:t>
      </w:r>
      <w:r>
        <w:rPr>
          <w:rtl w:val="0"/>
        </w:rPr>
        <w:t xml:space="preserve"> might use a "monthly" cycle, corresponding to milestone reviews;</w:t>
      </w:r>
    </w:p>
    <w:p w:rsidR="00000000" w:rsidDel="00000000" w:rsidP="00000000" w:rsidRDefault="00000000" w:rsidRPr="00000000" w14:paraId="00000095">
      <w:pPr>
        <w:numPr>
          <w:ilvl w:val="0"/>
          <w:numId w:val="23"/>
        </w:numPr>
        <w:ind w:left="720" w:hanging="360"/>
        <w:jc w:val="both"/>
        <w:rPr/>
      </w:pPr>
      <w:r>
        <w:rPr>
          <w:b w:val="1"/>
          <w:bCs w:val="1"/>
          <w:rtl w:val="0"/>
        </w:rPr>
        <w:t xml:space="preserve">Regulatory compliance risk</w:t>
      </w:r>
      <w:r>
        <w:rPr>
          <w:rtl w:val="0"/>
        </w:rPr>
        <w:t xml:space="preserve"> often uses an "annual" cycle, corresponding to annual audit mechanisms. </w:t>
      </w:r>
    </w:p>
    <w:p w:rsidR="00000000" w:rsidDel="00000000" w:rsidP="00000000" w:rsidRDefault="00000000" w:rsidRPr="00000000" w14:paraId="00000096">
      <w:pPr>
        <w:jc w:val="both"/>
        <w:rPr/>
      </w:pPr>
      <w:r>
        <w:rPr>
          <w:rtl w:val="0"/>
        </w:rPr>
        <w:t xml:space="preserve">Therefore, </w:t>
      </w:r>
      <w:r>
        <w:rPr>
          <w:rFonts w:ascii="Cambria Math" w:cs="Cambria Math" w:eastAsia="Cambria Math" w:hAnsi="Cambria Math"/>
          <w:rtl w:val="0"/>
        </w:rPr>
        <w:t xml:space="preserve">𝑇 </w:t>
      </w:r>
      <w:r>
        <w:rPr>
          <w:rtl w:val="0"/>
        </w:rPr>
        <w:t xml:space="preserve">is not forcefully dictated by the model but is defined by the user based on actual governance mechanisms. As long as the cycle can clearly correspond to a repeatable governance action, the model can function. </w:t>
      </w:r>
    </w:p>
    <w:p w:rsidR="00000000" w:rsidDel="00000000" w:rsidP="00000000" w:rsidRDefault="00000000" w:rsidRPr="00000000" w14:paraId="00000097">
      <w:pPr>
        <w:jc w:val="both"/>
        <w:rPr/>
      </w:pPr>
      <w:r>
        <w:rPr>
          <w:rtl w:val="0"/>
        </w:rPr>
        <w:t xml:space="preserve">It must be emphasized that the setting of </w:t>
      </w:r>
      <w:r>
        <w:rPr>
          <w:rFonts w:ascii="Cambria Math" w:cs="Cambria Math" w:eastAsia="Cambria Math" w:hAnsi="Cambria Math"/>
          <w:rtl w:val="0"/>
        </w:rPr>
        <w:t xml:space="preserve">𝑇 </w:t>
      </w:r>
      <w:r>
        <w:rPr>
          <w:rtl w:val="0"/>
        </w:rPr>
        <w:t xml:space="preserve">directly impacts the meaning and numerical value of the single-period probability (</w:t>
      </w:r>
      <w:r>
        <w:rPr>
          <w:rFonts w:ascii="Cambria Math" w:cs="Cambria Math" w:eastAsia="Cambria Math" w:hAnsi="Cambria Math"/>
          <w:rtl w:val="0"/>
        </w:rPr>
        <w:t xml:space="preserve">𝑃</w:t>
      </w:r>
      <w:r>
        <w:rPr>
          <w:rtl w:val="0"/>
        </w:rPr>
        <w:t xml:space="preserve">). When the cycle scale changes, </w:t>
      </w:r>
      <w:r>
        <w:rPr>
          <w:rFonts w:ascii="Cambria Math" w:cs="Cambria Math" w:eastAsia="Cambria Math" w:hAnsi="Cambria Math"/>
          <w:rtl w:val="0"/>
        </w:rPr>
        <w:t xml:space="preserve">𝑃</w:t>
      </w:r>
      <w:r>
        <w:rPr>
          <w:rtl w:val="0"/>
        </w:rPr>
      </w:r>
    </w:p>
    <w:p w:rsidR="00000000" w:rsidDel="00000000" w:rsidP="00000000" w:rsidRDefault="00000000" w:rsidRPr="00000000" w14:paraId="00000098">
      <w:pPr>
        <w:jc w:val="both"/>
        <w:rPr/>
      </w:pPr>
      <w:r>
        <w:rPr>
          <w:rtl w:val="0"/>
        </w:rPr>
        <w:t xml:space="preserve">must be re-estimated; </w:t>
      </w:r>
      <w:r>
        <w:rPr>
          <w:rFonts w:ascii="Cambria Math" w:cs="Cambria Math" w:eastAsia="Cambria Math" w:hAnsi="Cambria Math"/>
          <w:rtl w:val="0"/>
        </w:rPr>
        <w:t xml:space="preserve">𝑃 </w:t>
      </w:r>
      <w:r>
        <w:rPr>
          <w:rtl w:val="0"/>
        </w:rPr>
        <w:t xml:space="preserve">values under different </w:t>
      </w:r>
      <w:r>
        <w:rPr>
          <w:rFonts w:ascii="Cambria Math" w:cs="Cambria Math" w:eastAsia="Cambria Math" w:hAnsi="Cambria Math"/>
          <w:rtl w:val="0"/>
        </w:rPr>
        <w:t xml:space="preserve">𝑇 </w:t>
      </w:r>
      <w:r>
        <w:rPr>
          <w:rtl w:val="0"/>
        </w:rPr>
        <w:t xml:space="preserve">values are not directly comparable or interchangeable. This dependency is a fundamental operational premise of the model. </w:t>
      </w:r>
    </w:p>
    <w:p w:rsidR="00000000" w:rsidDel="00000000" w:rsidP="00000000" w:rsidRDefault="00000000" w:rsidRPr="00000000" w14:paraId="00000099">
      <w:pPr>
        <w:jc w:val="both"/>
        <w:rPr/>
      </w:pPr>
      <w:r>
        <w:rPr>
          <w:rtl w:val="0"/>
        </w:rPr>
        <w:t xml:space="preserve">In practical application, three principles usually need to be considered when selecting </w:t>
      </w:r>
      <w:r>
        <w:rPr>
          <w:rFonts w:ascii="Cambria Math" w:cs="Cambria Math" w:eastAsia="Cambria Math" w:hAnsi="Cambria Math"/>
          <w:rtl w:val="0"/>
        </w:rPr>
        <w:t xml:space="preserve">𝑇</w:t>
      </w:r>
      <w:r>
        <w:rPr>
          <w:rtl w:val="0"/>
        </w:rPr>
        <w:t xml:space="preserve">: </w:t>
      </w:r>
    </w:p>
    <w:p w:rsidR="00000000" w:rsidDel="00000000" w:rsidP="00000000" w:rsidRDefault="00000000" w:rsidRPr="00000000" w14:paraId="0000009A">
      <w:pPr>
        <w:jc w:val="both"/>
        <w:rPr/>
      </w:pPr>
      <w:r>
        <w:rPr>
          <w:rtl w:val="0"/>
        </w:rPr>
        <w:t xml:space="preserve">(1) The cycle must align with the organization's existing decision-making rhythm;</w:t>
        <w:br w:type="textWrapping"/>
        <w:t xml:space="preserve">(2) There must be a mechanism within the cycle to implement feasible governance actions;</w:t>
        <w:br w:type="textWrapping"/>
        <w:t xml:space="preserve">(3) The cycle length should be sufficient to reflect changes in risk but not so long as to lose operational meaning. </w:t>
      </w:r>
    </w:p>
    <w:p w:rsidR="00000000" w:rsidDel="00000000" w:rsidP="00000000" w:rsidRDefault="00000000" w:rsidRPr="00000000" w14:paraId="0000009B">
      <w:pPr>
        <w:jc w:val="both"/>
        <w:rPr/>
      </w:pPr>
      <w:r>
        <w:rPr>
          <w:rtl w:val="0"/>
        </w:rPr>
        <w:t xml:space="preserve">Without a clear definition of the governance cycle </w:t>
      </w:r>
      <w:r>
        <w:rPr>
          <w:rFonts w:ascii="Cambria Math" w:cs="Cambria Math" w:eastAsia="Cambria Math" w:hAnsi="Cambria Math"/>
          <w:rtl w:val="0"/>
        </w:rPr>
        <w:t xml:space="preserve">𝑇</w:t>
      </w:r>
      <w:r>
        <w:rPr>
          <w:rtl w:val="0"/>
        </w:rPr>
        <w:t xml:space="preserve">, subsequent cumulative risk calculations and residual exposure assessments lose their foundation. Therefore, defining </w:t>
      </w:r>
      <w:r>
        <w:rPr>
          <w:rFonts w:ascii="Cambria Math" w:cs="Cambria Math" w:eastAsia="Cambria Math" w:hAnsi="Cambria Math"/>
          <w:rtl w:val="0"/>
        </w:rPr>
        <w:t xml:space="preserve">𝑇 </w:t>
      </w:r>
      <w:r>
        <w:rPr>
          <w:rtl w:val="0"/>
        </w:rPr>
        <w:t xml:space="preserve">is not merely a technical issue but the institutional prerequisite for the model to be functional.</w:t>
      </w:r>
    </w:p>
    <w:p w:rsidR="00000000" w:rsidDel="00000000" w:rsidP="00000000" w:rsidRDefault="00000000" w:rsidRPr="00000000" w14:paraId="0000009C">
      <w:pPr>
        <w:jc w:val="both"/>
        <w:rPr/>
      </w:pPr>
      <w:r>
        <w:rPr>
          <w:b w:val="1"/>
          <w:bCs w:val="1"/>
          <w:rtl w:val="0"/>
        </w:rPr>
        <w:t xml:space="preserve">Cumulative Risk Probability </w:t>
      </w:r>
      <w:r>
        <w:rPr>
          <w:rFonts w:ascii="Cambria Math" w:cs="Cambria Math" w:eastAsia="Cambria Math" w:hAnsi="Cambria Math"/>
          <w:rtl w:val="0"/>
        </w:rPr>
        <w:t xml:space="preserve">𝑃𝑐𝑢𝑚</w:t>
      </w:r>
      <w:r>
        <w:rPr>
          <w:rtl w:val="0"/>
        </w:rPr>
      </w:r>
    </w:p>
    <w:p w:rsidR="00000000" w:rsidDel="00000000" w:rsidP="00000000" w:rsidRDefault="00000000" w:rsidRPr="00000000" w14:paraId="0000009D">
      <w:pPr>
        <w:jc w:val="both"/>
        <w:rPr/>
      </w:pPr>
      <w:r>
        <w:rPr>
          <w:rtl w:val="0"/>
        </w:rPr>
        <w:t xml:space="preserve"> After defining the Single-Period Probability (</w:t>
      </w:r>
      <w:r>
        <w:rPr>
          <w:rFonts w:ascii="Cambria Math" w:cs="Cambria Math" w:eastAsia="Cambria Math" w:hAnsi="Cambria Math"/>
          <w:rtl w:val="0"/>
        </w:rPr>
        <w:t xml:space="preserve">𝑃</w:t>
      </w:r>
      <w:r>
        <w:rPr>
          <w:rtl w:val="0"/>
        </w:rPr>
        <w:t xml:space="preserve">) and the Decision Cycle (</w:t>
      </w:r>
      <w:r>
        <w:rPr>
          <w:rFonts w:ascii="Cambria Math" w:cs="Cambria Math" w:eastAsia="Cambria Math" w:hAnsi="Cambria Math"/>
          <w:rtl w:val="0"/>
        </w:rPr>
        <w:t xml:space="preserve">𝑇</w:t>
      </w:r>
      <w:r>
        <w:rPr>
          <w:rtl w:val="0"/>
        </w:rPr>
        <w:t xml:space="preserve">), the model must address a core question closer to governance practice: what is the overall possibility that an organization might actually encounter the risk over multiple continuous governance cycles? This question is handled by the </w:t>
      </w:r>
      <w:r>
        <w:rPr>
          <w:b w:val="1"/>
          <w:bCs w:val="1"/>
          <w:rtl w:val="0"/>
        </w:rPr>
        <w:t xml:space="preserve">Cumulative Risk Probability (</w:t>
      </w:r>
      <w:r>
        <w:rPr>
          <w:rFonts w:ascii="Cambria Math" w:cs="Cambria Math" w:eastAsia="Cambria Math" w:hAnsi="Cambria Math"/>
          <w:b w:val="1"/>
          <w:bCs w:val="1"/>
          <w:rtl w:val="0"/>
        </w:rPr>
        <w:t xml:space="preserve">𝑃𝑐𝑢𝑚</w:t>
      </w:r>
      <w:r>
        <w:rPr>
          <w:b w:val="1"/>
          <w:bCs w:val="1"/>
          <w:rtl w:val="0"/>
        </w:rPr>
        <w:t xml:space="preserve">)</w:t>
      </w:r>
      <w:r>
        <w:rPr>
          <w:rtl w:val="0"/>
        </w:rPr>
        <w:t xml:space="preserve">. </w:t>
      </w:r>
    </w:p>
    <w:p w:rsidR="00000000" w:rsidDel="00000000" w:rsidP="00000000" w:rsidRDefault="00000000" w:rsidRPr="00000000" w14:paraId="0000009E">
      <w:pPr>
        <w:jc w:val="both"/>
        <w:rPr/>
      </w:pPr>
      <w:r>
        <w:rPr>
          <w:rtl w:val="0"/>
        </w:rPr>
        <w:t xml:space="preserve">Traditional risk assessments often use single-period probabilities to describe risk. However, in a real decision-making environment, risk does not exist only at a single moment; it continuously accumulates over time. Even if the single-period probability is low, as long as the risk persists over the long term and governance cycles are repeated, the overall exposure may be substantial. Therefore, this model introduces 𝑃𝑐𝑢𝑚 to reflect the probability of encountering the risk event at least once over 𝑁 consecutive decision cycles. Mathematically, 𝑃𝑐𝑢𝑚 is calculated using the following formula: 𝑃𝑐𝑢𝑚=1−(1−𝑃)</w:t>
      </w:r>
      <w:r>
        <w:rPr>
          <w:rtl w:val="0"/>
          <w:vertAlign w:val="superscript"/>
        </w:rPr>
        <w:t xml:space="preserve">𝑁</w:t>
      </w:r>
    </w:p>
    <w:p w:rsidR="00000000" w:rsidDel="00000000" w:rsidP="00000000" w:rsidRDefault="00000000" w:rsidRPr="00000000" w14:paraId="0000009F">
      <w:pPr>
        <w:jc w:val="both"/>
        <w:rPr/>
      </w:pPr>
      <w:r>
        <w:rPr>
          <w:rtl w:val="0"/>
        </w:rPr>
        <w:t xml:space="preserve">This formula is not just a statistical technique; it carries explicit governance implications. It reflects an important reality: as long as the risk persists in every cycle, the potential for the organization to face a material risk impact gradually increases with the accumulation of decision rounds, even if the single-period probability remains constant. This characteristic is the source of many governance failures: seemingly acceptable single-period risks can accumulate over the long term into high exposure. </w:t>
      </w:r>
    </w:p>
    <w:p w:rsidR="00000000" w:rsidDel="00000000" w:rsidP="00000000" w:rsidRDefault="00000000" w:rsidRPr="00000000" w14:paraId="000000A0">
      <w:pPr>
        <w:jc w:val="both"/>
        <w:rPr/>
      </w:pPr>
      <w:r>
        <w:rPr>
          <w:rtl w:val="0"/>
        </w:rPr>
        <w:t xml:space="preserve">It should be noted that the calculation of </w:t>
      </w:r>
      <w:r>
        <w:rPr>
          <w:rFonts w:ascii="Cambria Math" w:cs="Cambria Math" w:eastAsia="Cambria Math" w:hAnsi="Cambria Math"/>
          <w:rtl w:val="0"/>
        </w:rPr>
        <w:t xml:space="preserve">𝑃𝑐𝑢𝑚 </w:t>
      </w:r>
      <w:r>
        <w:rPr>
          <w:rtl w:val="0"/>
        </w:rPr>
        <w:t xml:space="preserve">is based on the operational assumption of "approximate independence between cycles." This assumption is not a strict description of the real world but a reasonable approximation that allows governance decisions to be quantified and compared. In most governance contexts, while some correlation might exist between cycles, using the independence approximation effectively reflects the trend and relative differences in long-term exposure, sufficient to support resource allocation decisions. </w:t>
      </w:r>
    </w:p>
    <w:p w:rsidR="00000000" w:rsidDel="00000000" w:rsidP="00000000" w:rsidRDefault="00000000" w:rsidRPr="00000000" w14:paraId="000000A1">
      <w:pPr>
        <w:jc w:val="both"/>
        <w:rPr/>
      </w:pPr>
      <w:r>
        <w:rPr>
          <w:rtl w:val="0"/>
        </w:rPr>
        <w:t xml:space="preserve">Through </w:t>
      </w:r>
      <w:r>
        <w:rPr/>
        <w:drawing>
          <wp:inline distB="0" distT="0" distL="0" distR="0">
            <wp:extent cx="9525" cy="9525"/>
            <wp:effectExtent b="0" l="0" r="0" t="0"/>
            <wp:docPr id="2052077872"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Fonts w:ascii="Cambria Math" w:cs="Cambria Math" w:eastAsia="Cambria Math" w:hAnsi="Cambria Math"/>
          <w:rtl w:val="0"/>
        </w:rPr>
        <w:t xml:space="preserve">𝑃𝑐𝑢𝑚 </w:t>
      </w:r>
      <w:r>
        <w:rPr>
          <w:rtl w:val="0"/>
        </w:rPr>
        <w:t xml:space="preserve">, the model integrates risk exposure, which was originally distributed across various cycles, into a single overall metric with temporal significance. This allows decision-makers to understand: </w:t>
      </w:r>
    </w:p>
    <w:p w:rsidR="00000000" w:rsidDel="00000000" w:rsidP="00000000" w:rsidRDefault="00000000" w:rsidRPr="00000000" w14:paraId="000000A2">
      <w:pPr>
        <w:numPr>
          <w:ilvl w:val="0"/>
          <w:numId w:val="24"/>
        </w:numPr>
        <w:ind w:left="720" w:hanging="360"/>
        <w:jc w:val="both"/>
        <w:rPr/>
      </w:pPr>
      <w:r>
        <w:rPr>
          <w:rtl w:val="0"/>
        </w:rPr>
        <w:t xml:space="preserve">Why long-term negligence of a low-probability risk can still lead to significant consequences;</w:t>
      </w:r>
    </w:p>
    <w:p w:rsidR="00000000" w:rsidDel="00000000" w:rsidP="00000000" w:rsidRDefault="00000000" w:rsidRPr="00000000" w14:paraId="000000A3">
      <w:pPr>
        <w:numPr>
          <w:ilvl w:val="0"/>
          <w:numId w:val="24"/>
        </w:numPr>
        <w:ind w:left="720" w:hanging="360"/>
        <w:jc w:val="both"/>
        <w:rPr/>
      </w:pPr>
      <w:r>
        <w:rPr>
          <w:rtl w:val="0"/>
        </w:rPr>
        <w:t xml:space="preserve">Why shortening the governance cycle alone does not reduce cumulative exposure (𝑃 must be re-estimated for the new cycle), whereas strengthening the governance actions taken at each decision node can reduce it;</w:t>
      </w:r>
    </w:p>
    <w:p w:rsidR="00000000" w:rsidDel="00000000" w:rsidP="00000000" w:rsidRDefault="00000000" w:rsidRPr="00000000" w14:paraId="000000A4">
      <w:pPr>
        <w:numPr>
          <w:ilvl w:val="0"/>
          <w:numId w:val="24"/>
        </w:numPr>
        <w:ind w:left="720" w:hanging="360"/>
        <w:jc w:val="both"/>
        <w:rPr/>
      </w:pPr>
      <w:r>
        <w:rPr>
          <w:rtl w:val="0"/>
        </w:rPr>
        <w:t xml:space="preserve">Why risk governance must be planned from the perspective of continuous decision-making rather than as a single event. </w:t>
      </w:r>
    </w:p>
    <w:p w:rsidR="00000000" w:rsidDel="00000000" w:rsidP="00000000" w:rsidRDefault="00000000" w:rsidRPr="00000000" w14:paraId="000000A5">
      <w:pPr>
        <w:jc w:val="both"/>
        <w:rPr/>
      </w:pPr>
      <w:r>
        <w:rPr>
          <w:rtl w:val="0"/>
        </w:rPr>
        <w:t xml:space="preserve">In practical application, </w:t>
      </w:r>
      <w:r>
        <w:rPr>
          <w:rFonts w:ascii="Cambria Math" w:cs="Cambria Math" w:eastAsia="Cambria Math" w:hAnsi="Cambria Math"/>
          <w:rtl w:val="0"/>
        </w:rPr>
        <w:t xml:space="preserve">𝑃𝑐𝑢𝑚 </w:t>
      </w:r>
      <w:r>
        <w:rPr>
          <w:rtl w:val="0"/>
        </w:rPr>
        <w:t xml:space="preserve">is not used to "predict whether an event will definitely happen in the future," but rather as a benchmark for comparing exposure levels under different governance strategies. When </w:t>
      </w:r>
      <w:r>
        <w:rPr/>
        <w:drawing>
          <wp:inline distB="0" distT="0" distL="0" distR="0">
            <wp:extent cx="9525" cy="9525"/>
            <wp:effectExtent b="0" l="0" r="0" t="0"/>
            <wp:docPr id="2052077875"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Fonts w:ascii="Cambria Math" w:cs="Cambria Math" w:eastAsia="Cambria Math" w:hAnsi="Cambria Math"/>
          <w:rtl w:val="0"/>
        </w:rPr>
        <w:t xml:space="preserve">𝑃 </w:t>
      </w:r>
      <w:r>
        <w:rPr>
          <w:rtl w:val="0"/>
        </w:rPr>
        <w:t xml:space="preserve">or </w:t>
      </w:r>
      <w:r>
        <w:rPr/>
        <w:drawing>
          <wp:inline distB="0" distT="0" distL="0" distR="0">
            <wp:extent cx="9525" cy="9525"/>
            <wp:effectExtent b="0" l="0" r="0" t="0"/>
            <wp:docPr id="2052077874"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Fonts w:ascii="Cambria Math" w:cs="Cambria Math" w:eastAsia="Cambria Math" w:hAnsi="Cambria Math"/>
          <w:rtl w:val="0"/>
        </w:rPr>
        <w:t xml:space="preserve">𝑇 </w:t>
      </w:r>
      <w:r>
        <w:rPr>
          <w:rtl w:val="0"/>
        </w:rPr>
        <w:t xml:space="preserve">changes, </w:t>
      </w:r>
      <w:r>
        <w:rPr>
          <w:rFonts w:ascii="Cambria Math" w:cs="Cambria Math" w:eastAsia="Cambria Math" w:hAnsi="Cambria Math"/>
          <w:rtl w:val="0"/>
        </w:rPr>
        <w:t xml:space="preserve">𝑃𝑐𝑢𝑚 </w:t>
      </w:r>
      <w:r>
        <w:rPr>
          <w:rtl w:val="0"/>
        </w:rPr>
        <w:t xml:space="preserve">reflects the corresponding impact on the long-term risk posture, thereby supporting decision-making with greater temporal depth. </w:t>
      </w:r>
    </w:p>
    <w:p w:rsidR="00000000" w:rsidDel="00000000" w:rsidP="00000000" w:rsidRDefault="00000000" w:rsidRPr="00000000" w14:paraId="000000A6">
      <w:pPr>
        <w:jc w:val="both"/>
        <w:rPr/>
      </w:pPr>
      <w:r>
        <w:rPr>
          <w:rtl w:val="0"/>
        </w:rPr>
        <w:t xml:space="preserve">Therefore, the introduction of </w:t>
      </w:r>
      <w:r>
        <w:rPr>
          <w:rFonts w:ascii="Cambria Math" w:cs="Cambria Math" w:eastAsia="Cambria Math" w:hAnsi="Cambria Math"/>
          <w:rtl w:val="0"/>
        </w:rPr>
        <w:t xml:space="preserve">𝑃𝑐𝑢𝑚 </w:t>
      </w:r>
      <w:r>
        <w:rPr>
          <w:rtl w:val="0"/>
        </w:rPr>
        <w:t xml:space="preserve">allows the model to transcend the limitations of traditional event-oriented risk assessment and truly enter a time-cumulative governance analysis framework, laying the foundation for subsequent expected loss calculation and residual exposure assessment.</w:t>
      </w:r>
    </w:p>
    <w:p w:rsidR="00000000" w:rsidDel="00000000" w:rsidP="00000000" w:rsidRDefault="00000000" w:rsidRPr="00000000" w14:paraId="000000A7">
      <w:pPr>
        <w:jc w:val="both"/>
        <w:rPr>
          <w:b w:val="1"/>
          <w:bCs w:val="1"/>
        </w:rPr>
      </w:pPr>
      <w:r>
        <w:rPr>
          <w:b w:val="1"/>
          <w:bCs w:val="1"/>
          <w:rtl w:val="0"/>
        </w:rPr>
        <w:t xml:space="preserve">Impact Severity </w:t>
      </w:r>
      <w:r>
        <w:rPr>
          <w:rFonts w:ascii="Cambria Math" w:cs="Cambria Math" w:eastAsia="Cambria Math" w:hAnsi="Cambria Math"/>
          <w:b w:val="1"/>
          <w:bCs w:val="1"/>
          <w:rtl w:val="0"/>
        </w:rPr>
        <w:t xml:space="preserve">𝐼</w:t>
      </w:r>
      <w:r>
        <w:rPr>
          <w:rtl w:val="0"/>
        </w:rPr>
      </w:r>
    </w:p>
    <w:p w:rsidR="00000000" w:rsidDel="00000000" w:rsidP="00000000" w:rsidRDefault="00000000" w:rsidRPr="00000000" w14:paraId="000000A8">
      <w:pPr>
        <w:jc w:val="both"/>
        <w:rPr/>
      </w:pPr>
      <w:r>
        <w:rPr>
          <w:rtl w:val="0"/>
        </w:rPr>
        <w:t xml:space="preserve"> The model further addresses another equally critical question: if a risk event actually occurs, how much damage will it cause to the organization? This aspect is expressed by the </w:t>
      </w:r>
      <w:r>
        <w:rPr>
          <w:b w:val="1"/>
          <w:bCs w:val="1"/>
          <w:rtl w:val="0"/>
        </w:rPr>
        <w:t xml:space="preserve">Impact Severity (</w:t>
      </w:r>
      <w:r>
        <w:rPr>
          <w:b w:val="1"/>
          <w:bCs w:val="1"/>
        </w:rPr>
        <w:drawing>
          <wp:inline distB="0" distT="0" distL="0" distR="0">
            <wp:extent cx="9525" cy="9525"/>
            <wp:effectExtent b="0" l="0" r="0" t="0"/>
            <wp:docPr id="2052077878"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Fonts w:ascii="Cambria Math" w:cs="Cambria Math" w:eastAsia="Cambria Math" w:hAnsi="Cambria Math"/>
          <w:b w:val="1"/>
          <w:bCs w:val="1"/>
          <w:rtl w:val="0"/>
        </w:rPr>
        <w:t xml:space="preserve">𝐼</w:t>
      </w:r>
      <w:r>
        <w:rPr>
          <w:b w:val="1"/>
          <w:bCs w:val="1"/>
          <w:rtl w:val="0"/>
        </w:rPr>
        <w:t xml:space="preserve">)</w:t>
      </w:r>
      <w:r>
        <w:rPr>
          <w:rtl w:val="0"/>
        </w:rPr>
        <w:t xml:space="preserve">. </w:t>
      </w:r>
    </w:p>
    <w:p w:rsidR="00000000" w:rsidDel="00000000" w:rsidP="00000000" w:rsidRDefault="00000000" w:rsidRPr="00000000" w14:paraId="000000A9">
      <w:pPr>
        <w:jc w:val="both"/>
        <w:rPr/>
      </w:pPr>
      <w:r>
        <w:rPr>
          <w:rtl w:val="0"/>
        </w:rPr>
        <w:t xml:space="preserve">Unlike the probability parameter </w:t>
      </w:r>
      <w:r>
        <w:rPr>
          <w:rFonts w:ascii="Cambria Math" w:cs="Cambria Math" w:eastAsia="Cambria Math" w:hAnsi="Cambria Math"/>
          <w:rtl w:val="0"/>
        </w:rPr>
        <w:t xml:space="preserve">𝑃</w:t>
      </w:r>
      <w:r>
        <w:rPr>
          <w:rtl w:val="0"/>
        </w:rPr>
        <w:t xml:space="preserve">, </w:t>
      </w:r>
      <w:r>
        <w:rPr>
          <w:rFonts w:ascii="Cambria Math" w:cs="Cambria Math" w:eastAsia="Cambria Math" w:hAnsi="Cambria Math"/>
          <w:rtl w:val="0"/>
        </w:rPr>
        <w:t xml:space="preserve">𝐼 </w:t>
      </w:r>
      <w:r>
        <w:rPr>
          <w:rtl w:val="0"/>
        </w:rPr>
        <w:t xml:space="preserve">focuses not on the likelihood of the event occurring, but on the intensity of the consequences once the event happens. These consequences can manifest in various forms, such as financial loss, operational disruption, regulatory liability, reputational impact, or the failure of strategic objectives. Since different organizations prioritize different values and objectives, this model does not mandate a specific unit for </w:t>
      </w:r>
      <w:r>
        <w:rPr>
          <w:rFonts w:ascii="Cambria Math" w:cs="Cambria Math" w:eastAsia="Cambria Math" w:hAnsi="Cambria Math"/>
          <w:rtl w:val="0"/>
        </w:rPr>
        <w:t xml:space="preserve">𝐼 </w:t>
      </w:r>
      <w:r>
        <w:rPr>
          <w:rtl w:val="0"/>
        </w:rPr>
        <w:t xml:space="preserve">, but rather designs it as an impact assessment scale that organizations can define themselves. </w:t>
      </w:r>
    </w:p>
    <w:p w:rsidR="00000000" w:rsidDel="00000000" w:rsidP="00000000" w:rsidRDefault="00000000" w:rsidRPr="00000000" w14:paraId="000000AA">
      <w:pPr>
        <w:jc w:val="both"/>
        <w:rPr/>
      </w:pPr>
      <w:r>
        <w:rPr>
          <w:rtl w:val="0"/>
        </w:rPr>
        <w:t xml:space="preserve">Within the governance-oriented framework, the core function of </w:t>
      </w:r>
      <w:r>
        <w:rPr>
          <w:rFonts w:ascii="Cambria Math" w:cs="Cambria Math" w:eastAsia="Cambria Math" w:hAnsi="Cambria Math"/>
          <w:rtl w:val="0"/>
        </w:rPr>
        <w:t xml:space="preserve">𝐼 </w:t>
      </w:r>
      <w:r>
        <w:rPr>
          <w:rtl w:val="0"/>
        </w:rPr>
        <w:t xml:space="preserve">is not to precisely estimate the "actual amount of loss," but to provide a stable, comparable relative measure. As long as this measure can reflect the organization's relative emphasis on different risk consequences and remains consistent within internal decision-making, it is sufficient to support subsequent governance calculations. In other words, </w:t>
      </w:r>
      <w:r>
        <w:rPr>
          <w:rFonts w:ascii="Cambria Math" w:cs="Cambria Math" w:eastAsia="Cambria Math" w:hAnsi="Cambria Math"/>
          <w:rtl w:val="0"/>
        </w:rPr>
        <w:t xml:space="preserve">𝐼 </w:t>
      </w:r>
      <w:r>
        <w:rPr>
          <w:rtl w:val="0"/>
        </w:rPr>
        <w:t xml:space="preserve">functions more like a "decision evaluation tool" than a financial forecast value used in actuarial models. </w:t>
      </w:r>
    </w:p>
    <w:p w:rsidR="00000000" w:rsidDel="00000000" w:rsidP="00000000" w:rsidRDefault="00000000" w:rsidRPr="00000000" w14:paraId="000000AB">
      <w:pPr>
        <w:jc w:val="both"/>
        <w:rPr/>
      </w:pPr>
      <w:r>
        <w:rPr>
          <w:rtl w:val="0"/>
        </w:rPr>
        <w:t xml:space="preserve">In practice, the setting of </w:t>
      </w:r>
      <w:r>
        <w:rPr>
          <w:rFonts w:ascii="Cambria Math" w:cs="Cambria Math" w:eastAsia="Cambria Math" w:hAnsi="Cambria Math"/>
          <w:rtl w:val="0"/>
        </w:rPr>
        <w:t xml:space="preserve">𝐼 </w:t>
      </w:r>
      <w:r>
        <w:rPr>
          <w:rtl w:val="0"/>
        </w:rPr>
        <w:t xml:space="preserve">can typically be categorized into different tiers based on organizational maturity: </w:t>
      </w:r>
    </w:p>
    <w:p w:rsidR="00000000" w:rsidDel="00000000" w:rsidP="00000000" w:rsidRDefault="00000000" w:rsidRPr="00000000" w14:paraId="000000AC">
      <w:pPr>
        <w:numPr>
          <w:ilvl w:val="0"/>
          <w:numId w:val="25"/>
        </w:numPr>
        <w:ind w:left="720" w:hanging="360"/>
        <w:jc w:val="both"/>
        <w:rPr/>
      </w:pPr>
      <w:r>
        <w:rPr>
          <w:b w:val="1"/>
          <w:bCs w:val="1"/>
          <w:rtl w:val="0"/>
        </w:rPr>
        <w:t xml:space="preserve">Basic Tier:</w:t>
      </w:r>
      <w:r>
        <w:rPr>
          <w:rtl w:val="0"/>
        </w:rPr>
        <w:t xml:space="preserve"> A simplified rating scale (e.g., 1–5 or 1–10) can be used, with decision-makers using experiential judgment to assess severity.</w:t>
      </w:r>
    </w:p>
    <w:p w:rsidR="00000000" w:rsidDel="00000000" w:rsidP="00000000" w:rsidRDefault="00000000" w:rsidRPr="00000000" w14:paraId="000000AD">
      <w:pPr>
        <w:numPr>
          <w:ilvl w:val="0"/>
          <w:numId w:val="25"/>
        </w:numPr>
        <w:ind w:left="720" w:hanging="360"/>
        <w:jc w:val="both"/>
        <w:rPr/>
      </w:pPr>
      <w:r>
        <w:rPr>
          <w:b w:val="1"/>
          <w:bCs w:val="1"/>
          <w:rtl w:val="0"/>
        </w:rPr>
        <w:t xml:space="preserve">Advanced Tier:</w:t>
      </w:r>
      <w:r>
        <w:rPr>
          <w:rtl w:val="0"/>
        </w:rPr>
        <w:t xml:space="preserve"> Multiple indicators can be combined, such as financial impact, operational impact, and reputational impact, integrated through weighting to form a composite score.</w:t>
      </w:r>
    </w:p>
    <w:p w:rsidR="00000000" w:rsidDel="00000000" w:rsidP="00000000" w:rsidRDefault="00000000" w:rsidRPr="00000000" w14:paraId="000000AE">
      <w:pPr>
        <w:numPr>
          <w:ilvl w:val="0"/>
          <w:numId w:val="25"/>
        </w:numPr>
        <w:ind w:left="720" w:hanging="360"/>
        <w:jc w:val="both"/>
        <w:rPr/>
      </w:pPr>
      <w:r>
        <w:rPr>
          <w:b w:val="1"/>
          <w:bCs w:val="1"/>
          <w:rtl w:val="0"/>
        </w:rPr>
        <w:t xml:space="preserve">Highly Mature Organizations:</w:t>
      </w:r>
      <w:r>
        <w:rPr>
          <w:rtl w:val="0"/>
        </w:rPr>
        <w:t xml:space="preserve"> Quantitative metrics (e.g., expected loss amount or service interruption time) can be directly used as the basis for measuring </w:t>
      </w:r>
      <w:r>
        <w:rPr>
          <w:rFonts w:ascii="Cambria Math" w:cs="Cambria Math" w:eastAsia="Cambria Math" w:hAnsi="Cambria Math"/>
          <w:rtl w:val="0"/>
        </w:rPr>
        <w:t xml:space="preserve">𝐼</w:t>
      </w:r>
      <w:r>
        <w:rPr>
          <w:rtl w:val="0"/>
        </w:rPr>
        <w:t xml:space="preserve">. </w:t>
      </w:r>
    </w:p>
    <w:p w:rsidR="00000000" w:rsidDel="00000000" w:rsidP="00000000" w:rsidRDefault="00000000" w:rsidRPr="00000000" w14:paraId="000000AF">
      <w:pPr>
        <w:jc w:val="both"/>
        <w:rPr/>
      </w:pPr>
      <w:r>
        <w:rPr>
          <w:rtl w:val="0"/>
        </w:rPr>
        <w:t xml:space="preserve">Regardless of the approach taken, the model's requirements for </w:t>
      </w:r>
      <w:r>
        <w:rPr>
          <w:rFonts w:ascii="Cambria Math" w:cs="Cambria Math" w:eastAsia="Cambria Math" w:hAnsi="Cambria Math"/>
          <w:rtl w:val="0"/>
        </w:rPr>
        <w:t xml:space="preserve">𝐼 </w:t>
      </w:r>
      <w:r>
        <w:rPr>
          <w:rtl w:val="0"/>
        </w:rPr>
        <w:t xml:space="preserve">are not absolute precision, but rather three basic characteristics: </w:t>
      </w:r>
    </w:p>
    <w:p w:rsidR="00000000" w:rsidDel="00000000" w:rsidP="00000000" w:rsidRDefault="00000000" w:rsidRPr="00000000" w14:paraId="000000B0">
      <w:pPr>
        <w:numPr>
          <w:ilvl w:val="0"/>
          <w:numId w:val="26"/>
        </w:numPr>
        <w:ind w:left="720" w:hanging="360"/>
        <w:jc w:val="both"/>
        <w:rPr/>
      </w:pPr>
      <w:r>
        <w:rPr>
          <w:rtl w:val="0"/>
        </w:rPr>
        <w:t xml:space="preserve">It must reflect the consequences that genuinely matter to the organization;</w:t>
      </w:r>
    </w:p>
    <w:p w:rsidR="00000000" w:rsidDel="00000000" w:rsidP="00000000" w:rsidRDefault="00000000" w:rsidRPr="00000000" w14:paraId="000000B1">
      <w:pPr>
        <w:numPr>
          <w:ilvl w:val="0"/>
          <w:numId w:val="26"/>
        </w:numPr>
        <w:ind w:left="720" w:hanging="360"/>
        <w:jc w:val="both"/>
        <w:rPr/>
      </w:pPr>
      <w:r>
        <w:rPr>
          <w:rtl w:val="0"/>
        </w:rPr>
        <w:t xml:space="preserve">It must possess comparability across different risks;</w:t>
      </w:r>
    </w:p>
    <w:p w:rsidR="00000000" w:rsidDel="00000000" w:rsidP="00000000" w:rsidRDefault="00000000" w:rsidRPr="00000000" w14:paraId="000000B2">
      <w:pPr>
        <w:numPr>
          <w:ilvl w:val="0"/>
          <w:numId w:val="26"/>
        </w:numPr>
        <w:ind w:left="720" w:hanging="360"/>
        <w:jc w:val="both"/>
        <w:rPr/>
      </w:pPr>
      <w:r>
        <w:rPr>
          <w:rtl w:val="0"/>
        </w:rPr>
        <w:t xml:space="preserve">It must be adjustable and updateable as situations change. </w:t>
      </w:r>
    </w:p>
    <w:p w:rsidR="00000000" w:rsidDel="00000000" w:rsidP="00000000" w:rsidRDefault="00000000" w:rsidRPr="00000000" w14:paraId="000000B3">
      <w:pPr>
        <w:jc w:val="both"/>
        <w:rPr/>
      </w:pPr>
      <w:r>
        <w:rPr>
          <w:rtl w:val="0"/>
        </w:rPr>
        <w:t xml:space="preserve">It is necessary to clarify that </w:t>
      </w:r>
      <w:r>
        <w:rPr>
          <w:rFonts w:ascii="Cambria Math" w:cs="Cambria Math" w:eastAsia="Cambria Math" w:hAnsi="Cambria Math"/>
          <w:rtl w:val="0"/>
        </w:rPr>
        <w:t xml:space="preserve">𝐼 </w:t>
      </w:r>
      <w:r>
        <w:rPr>
          <w:rtl w:val="0"/>
        </w:rPr>
        <w:t xml:space="preserve">is not a fixed constant. With changes in the external environment, institutional conditions, or organizational strategy, the impact of the same risk event may increase or decrease significantly. For example, new regulations coming into effect may raise the impact level of compliance risk, while the establishment of alternative production capacity may reduce the actual impact of operational disruption. Therefore, </w:t>
      </w:r>
      <w:r>
        <w:rPr>
          <w:rFonts w:ascii="Cambria Math" w:cs="Cambria Math" w:eastAsia="Cambria Math" w:hAnsi="Cambria Math"/>
          <w:rtl w:val="0"/>
        </w:rPr>
        <w:t xml:space="preserve">𝐼</w:t>
      </w:r>
      <w:r>
        <w:rPr>
          <w:rtl w:val="0"/>
        </w:rPr>
        <w:t xml:space="preserve">, like </w:t>
      </w:r>
      <w:r>
        <w:rPr>
          <w:rFonts w:ascii="Cambria Math" w:cs="Cambria Math" w:eastAsia="Cambria Math" w:hAnsi="Cambria Math"/>
          <w:rtl w:val="0"/>
        </w:rPr>
        <w:t xml:space="preserve">𝑃</w:t>
      </w:r>
      <w:r>
        <w:rPr>
          <w:rtl w:val="0"/>
        </w:rPr>
        <w:t xml:space="preserve">, needs to be regularly reviewed and calibrated to maintain the governance effectiveness of the model. (Adjusting </w:t>
      </w:r>
      <w:r>
        <w:rPr>
          <w:rFonts w:ascii="Cambria Math" w:cs="Cambria Math" w:eastAsia="Cambria Math" w:hAnsi="Cambria Math"/>
          <w:rtl w:val="0"/>
        </w:rPr>
        <w:t xml:space="preserve">𝐼 </w:t>
      </w:r>
      <w:r>
        <w:rPr>
          <w:rtl w:val="0"/>
        </w:rPr>
        <w:t xml:space="preserve">does not affect the structural meaning of </w:t>
      </w:r>
      <w:r>
        <w:rPr>
          <w:rFonts w:ascii="Cambria Math" w:cs="Cambria Math" w:eastAsia="Cambria Math" w:hAnsi="Cambria Math"/>
          <w:rtl w:val="0"/>
        </w:rPr>
        <w:t xml:space="preserve">𝑃 </w:t>
      </w:r>
      <w:r>
        <w:rPr>
          <w:rtl w:val="0"/>
        </w:rPr>
        <w:t xml:space="preserve">and </w:t>
      </w:r>
      <w:r>
        <w:rPr>
          <w:rFonts w:ascii="Cambria Math" w:cs="Cambria Math" w:eastAsia="Cambria Math" w:hAnsi="Cambria Math"/>
          <w:rtl w:val="0"/>
        </w:rPr>
        <w:t xml:space="preserve">𝑇</w:t>
      </w:r>
      <w:r>
        <w:rPr>
          <w:rtl w:val="0"/>
        </w:rPr>
        <w:t xml:space="preserve">.) In subsequent calculations, </w:t>
      </w:r>
      <w:r>
        <w:rPr>
          <w:rFonts w:ascii="Cambria Math" w:cs="Cambria Math" w:eastAsia="Cambria Math" w:hAnsi="Cambria Math"/>
          <w:rtl w:val="0"/>
        </w:rPr>
        <w:t xml:space="preserve">𝐼 </w:t>
      </w:r>
      <w:r>
        <w:rPr>
          <w:rtl w:val="0"/>
        </w:rPr>
        <w:t xml:space="preserve">will be combined with the cumulative risk probability </w:t>
      </w:r>
      <w:r>
        <w:rPr>
          <w:rFonts w:ascii="Cambria Math" w:cs="Cambria Math" w:eastAsia="Cambria Math" w:hAnsi="Cambria Math"/>
          <w:rtl w:val="0"/>
        </w:rPr>
        <w:t xml:space="preserve">𝑃𝑐𝑢𝑚 </w:t>
      </w:r>
      <w:r>
        <w:rPr>
          <w:rtl w:val="0"/>
        </w:rPr>
        <w:t xml:space="preserve">to form the expected loss: </w:t>
      </w:r>
    </w:p>
    <w:p w:rsidR="00000000" w:rsidDel="00000000" w:rsidP="00000000" w:rsidRDefault="00000000" w:rsidRPr="00000000" w14:paraId="000000B4">
      <w:pPr>
        <w:jc w:val="center"/>
        <w:rPr/>
      </w:pPr>
      <w:r>
        <w:rPr/>
        <w:drawing>
          <wp:inline distB="0" distT="0" distL="0" distR="0">
            <wp:extent cx="9525" cy="9525"/>
            <wp:effectExtent b="0" l="0" r="0" t="0"/>
            <wp:docPr id="2052077876"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Fonts w:ascii="Cambria Math" w:cs="Cambria Math" w:eastAsia="Cambria Math" w:hAnsi="Cambria Math"/>
          <w:rtl w:val="0"/>
        </w:rPr>
        <w:t xml:space="preserve">𝐿𝑒𝑥𝑝</w:t>
      </w:r>
      <w:r>
        <w:rPr>
          <w:rtl w:val="0"/>
        </w:rPr>
        <w:t xml:space="preserve">=</w:t>
      </w:r>
      <w:r>
        <w:rPr>
          <w:rFonts w:ascii="Cambria Math" w:cs="Cambria Math" w:eastAsia="Cambria Math" w:hAnsi="Cambria Math"/>
          <w:rtl w:val="0"/>
        </w:rPr>
        <w:t xml:space="preserve">𝐼</w:t>
      </w:r>
      <w:r>
        <w:rPr>
          <w:rtl w:val="0"/>
        </w:rPr>
        <w:t xml:space="preserve">×</w:t>
      </w:r>
      <w:r>
        <w:rPr>
          <w:rFonts w:ascii="Cambria Math" w:cs="Cambria Math" w:eastAsia="Cambria Math" w:hAnsi="Cambria Math"/>
          <w:rtl w:val="0"/>
        </w:rPr>
        <w:t xml:space="preserve">𝑃𝑐𝑢𝑚</w:t>
      </w:r>
      <w:r>
        <w:rPr>
          <w:rtl w:val="0"/>
        </w:rPr>
      </w:r>
    </w:p>
    <w:p w:rsidR="00000000" w:rsidDel="00000000" w:rsidP="00000000" w:rsidRDefault="00000000" w:rsidRPr="00000000" w14:paraId="000000B5">
      <w:pPr>
        <w:jc w:val="both"/>
        <w:rPr/>
      </w:pPr>
      <w:r>
        <w:rPr>
          <w:rtl w:val="0"/>
        </w:rPr>
        <w:t xml:space="preserve">This step signifies the model's transition from "probability space" into "consequence space," making risk not merely an abstract chance of occurrence, but a quantifiable object that can be incorporated into resource allocation and governance accountability. Thus, the meaning of </w:t>
      </w:r>
      <w:r>
        <w:rPr>
          <w:rFonts w:ascii="Cambria Math" w:cs="Cambria Math" w:eastAsia="Cambria Math" w:hAnsi="Cambria Math"/>
          <w:rtl w:val="0"/>
        </w:rPr>
        <w:t xml:space="preserve">𝐼 </w:t>
      </w:r>
      <w:r>
        <w:rPr>
          <w:rtl w:val="0"/>
        </w:rPr>
        <w:t xml:space="preserve">is to link organizational values with risk consequences, becoming a crucial component of overall governance decisions.</w:t>
      </w:r>
    </w:p>
    <w:p w:rsidR="00000000" w:rsidDel="00000000" w:rsidP="00000000" w:rsidRDefault="00000000" w:rsidRPr="00000000" w14:paraId="000000B6">
      <w:pPr>
        <w:jc w:val="both"/>
        <w:rPr/>
      </w:pPr>
      <w:r>
        <w:rPr>
          <w:rtl w:val="0"/>
        </w:rPr>
        <w:t xml:space="preserve">Expected Loss </w:t>
      </w:r>
      <w:r>
        <w:rPr>
          <w:rFonts w:ascii="Cambria Math" w:cs="Cambria Math" w:eastAsia="Cambria Math" w:hAnsi="Cambria Math"/>
          <w:rtl w:val="0"/>
        </w:rPr>
        <w:t xml:space="preserve">𝐿𝑒𝑥𝑝</w:t>
      </w:r>
      <w:r>
        <w:rPr>
          <w:rtl w:val="0"/>
        </w:rPr>
      </w:r>
    </w:p>
    <w:p w:rsidR="00000000" w:rsidDel="00000000" w:rsidP="00000000" w:rsidRDefault="00000000" w:rsidRPr="00000000" w14:paraId="000000B7">
      <w:pPr>
        <w:tabs>
          <w:tab w:val="center" w:leader="none" w:pos="4153"/>
        </w:tabs>
        <w:jc w:val="both"/>
        <w:rPr/>
      </w:pPr>
      <w:r>
        <w:rPr>
          <w:rtl w:val="0"/>
        </w:rPr>
        <w:t xml:space="preserve"> The cumulative risk probability (</w:t>
      </w:r>
      <w:r>
        <w:rPr>
          <w:rFonts w:ascii="Cambria Math" w:cs="Cambria Math" w:eastAsia="Cambria Math" w:hAnsi="Cambria Math"/>
          <w:rtl w:val="0"/>
        </w:rPr>
        <w:t xml:space="preserve">𝑃𝑐𝑢𝑚</w:t>
      </w:r>
      <w:r>
        <w:rPr>
          <w:rtl w:val="0"/>
        </w:rPr>
        <w:t xml:space="preserve">) describes risk exposure along the time dimension, while impact severity (</w:t>
      </w:r>
      <w:r>
        <w:rPr>
          <w:rFonts w:ascii="Cambria Math" w:cs="Cambria Math" w:eastAsia="Cambria Math" w:hAnsi="Cambria Math"/>
          <w:rtl w:val="0"/>
        </w:rPr>
        <w:t xml:space="preserve">𝐼</w:t>
      </w:r>
      <w:r>
        <w:rPr>
          <w:rtl w:val="0"/>
        </w:rPr>
        <w:t xml:space="preserve">) characterizes the intensity of consequences if a risk event occurs. However, governance decision-makers truly need not just to understand "possibility" and "consequence" separately, but to comprehensively measure the overall risk burden that combines both. This integration task is completed by the </w:t>
      </w:r>
      <w:r>
        <w:rPr>
          <w:b w:val="1"/>
          <w:bCs w:val="1"/>
          <w:rtl w:val="0"/>
        </w:rPr>
        <w:t xml:space="preserve">Expected Loss (</w:t>
      </w:r>
      <w:r>
        <w:rPr>
          <w:rFonts w:ascii="Cambria Math" w:cs="Cambria Math" w:eastAsia="Cambria Math" w:hAnsi="Cambria Math"/>
          <w:b w:val="1"/>
          <w:bCs w:val="1"/>
          <w:rtl w:val="0"/>
        </w:rPr>
        <w:t xml:space="preserve">𝐿𝑒𝑥𝑝</w:t>
      </w:r>
      <w:r>
        <w:rPr>
          <w:b w:val="1"/>
          <w:bCs w:val="1"/>
          <w:rtl w:val="0"/>
        </w:rPr>
        <w:t xml:space="preserve">)</w:t>
      </w:r>
      <w:r>
        <w:rPr>
          <w:rtl w:val="0"/>
        </w:rPr>
        <w:t xml:space="preserve">. The expected loss is calculated as: </w:t>
      </w:r>
    </w:p>
    <w:p w:rsidR="00000000" w:rsidDel="00000000" w:rsidP="00000000" w:rsidRDefault="00000000" w:rsidRPr="00000000" w14:paraId="000000B8">
      <w:pPr>
        <w:jc w:val="center"/>
        <w:rPr/>
      </w:pPr>
      <w:r>
        <w:rPr>
          <w:rFonts w:ascii="Cambria Math" w:cs="Cambria Math" w:eastAsia="Cambria Math" w:hAnsi="Cambria Math"/>
          <w:rtl w:val="0"/>
        </w:rPr>
        <w:t xml:space="preserve">𝐿𝑒𝑥𝑝</w:t>
      </w:r>
      <w:r>
        <w:rPr>
          <w:rtl w:val="0"/>
        </w:rPr>
        <w:t xml:space="preserve">=</w:t>
      </w:r>
      <w:r>
        <w:rPr>
          <w:rFonts w:ascii="Cambria Math" w:cs="Cambria Math" w:eastAsia="Cambria Math" w:hAnsi="Cambria Math"/>
          <w:rtl w:val="0"/>
        </w:rPr>
        <w:t xml:space="preserve">𝐼</w:t>
      </w:r>
      <w:r>
        <w:rPr>
          <w:rtl w:val="0"/>
        </w:rPr>
        <w:t xml:space="preserve">×</w:t>
      </w:r>
      <w:r>
        <w:rPr>
          <w:rFonts w:ascii="Cambria Math" w:cs="Cambria Math" w:eastAsia="Cambria Math" w:hAnsi="Cambria Math"/>
          <w:rtl w:val="0"/>
        </w:rPr>
        <w:t xml:space="preserve">𝑃𝑐𝑢𝑚</w:t>
      </w:r>
      <w:r>
        <w:rPr>
          <w:rtl w:val="0"/>
        </w:rPr>
      </w:r>
    </w:p>
    <w:p w:rsidR="00000000" w:rsidDel="00000000" w:rsidP="00000000" w:rsidRDefault="00000000" w:rsidRPr="00000000" w14:paraId="000000B9">
      <w:pPr>
        <w:jc w:val="both"/>
        <w:rPr/>
      </w:pPr>
      <w:r>
        <w:rPr>
          <w:rtl w:val="0"/>
        </w:rPr>
        <w:t xml:space="preserve">This formula multiplies the time-cumulative probability by the event impact severity, forming a comprehensive metric that incorporates both "likelihood of occurrence" and "severity of consequences." In governance semantics, </w:t>
      </w:r>
      <w:r>
        <w:rPr>
          <w:rFonts w:ascii="Cambria Math" w:cs="Cambria Math" w:eastAsia="Cambria Math" w:hAnsi="Cambria Math"/>
          <w:rtl w:val="0"/>
        </w:rPr>
        <w:t xml:space="preserve">𝐿𝑒𝑥𝑝 </w:t>
      </w:r>
      <w:r>
        <w:rPr>
          <w:rtl w:val="0"/>
        </w:rPr>
        <w:t xml:space="preserve">represents the overall, pre-governance risk burden imposed on the organization by that risk, given the defined set of decision cycles. </w:t>
      </w:r>
    </w:p>
    <w:p w:rsidR="00000000" w:rsidDel="00000000" w:rsidP="00000000" w:rsidRDefault="00000000" w:rsidRPr="00000000" w14:paraId="000000BA">
      <w:pPr>
        <w:jc w:val="both"/>
        <w:rPr/>
      </w:pPr>
      <w:r>
        <w:rPr>
          <w:rtl w:val="0"/>
        </w:rPr>
        <w:t xml:space="preserve">Similar to the common "probability × impact" concept found in traditional risk matrices, </w:t>
      </w:r>
      <w:r>
        <w:rPr>
          <w:rFonts w:ascii="Cambria Math" w:cs="Cambria Math" w:eastAsia="Cambria Math" w:hAnsi="Cambria Math"/>
          <w:rtl w:val="0"/>
        </w:rPr>
        <w:t xml:space="preserve">𝐿𝑒𝑥𝑝 </w:t>
      </w:r>
      <w:r>
        <w:rPr>
          <w:rtl w:val="0"/>
        </w:rPr>
        <w:t xml:space="preserve">is a composite risk measure. The key difference in this model is that </w:t>
      </w:r>
      <w:r>
        <w:rPr>
          <w:rFonts w:ascii="Cambria Math" w:cs="Cambria Math" w:eastAsia="Cambria Math" w:hAnsi="Cambria Math"/>
          <w:rtl w:val="0"/>
        </w:rPr>
        <w:t xml:space="preserve">𝑃𝑐𝑢𝑚 </w:t>
      </w:r>
      <w:r>
        <w:rPr>
          <w:rtl w:val="0"/>
        </w:rPr>
        <w:t xml:space="preserve">already incorporates the time-cumulative effect, meaning </w:t>
      </w:r>
      <w:r>
        <w:rPr>
          <w:rFonts w:ascii="Cambria Math" w:cs="Cambria Math" w:eastAsia="Cambria Math" w:hAnsi="Cambria Math"/>
          <w:rtl w:val="0"/>
        </w:rPr>
        <w:t xml:space="preserve">𝐿𝑒𝑥𝑝 </w:t>
      </w:r>
      <w:r>
        <w:rPr>
          <w:rtl w:val="0"/>
        </w:rPr>
        <w:t xml:space="preserve">is no longer just a single-period risk score but reflects the substantial potential loss that can accumulate over multiple governance rounds. Therefore, </w:t>
      </w:r>
      <w:r>
        <w:rPr>
          <w:rFonts w:ascii="Cambria Math" w:cs="Cambria Math" w:eastAsia="Cambria Math" w:hAnsi="Cambria Math"/>
          <w:rtl w:val="0"/>
        </w:rPr>
        <w:t xml:space="preserve">𝐿𝑒𝑥𝑝 </w:t>
      </w:r>
      <w:r>
        <w:rPr>
          <w:rtl w:val="0"/>
        </w:rPr>
        <w:t xml:space="preserve">is more closely aligned with the needs of long-term governance decisions than traditional single-period risk scores. </w:t>
      </w:r>
    </w:p>
    <w:p w:rsidR="00000000" w:rsidDel="00000000" w:rsidP="00000000" w:rsidRDefault="00000000" w:rsidRPr="00000000" w14:paraId="000000BB">
      <w:pPr>
        <w:jc w:val="both"/>
        <w:rPr/>
      </w:pPr>
      <w:r>
        <w:rPr>
          <w:rtl w:val="0"/>
        </w:rPr>
        <w:t xml:space="preserve">It must be emphasized that </w:t>
      </w:r>
      <w:r>
        <w:rPr>
          <w:rFonts w:ascii="Cambria Math" w:cs="Cambria Math" w:eastAsia="Cambria Math" w:hAnsi="Cambria Math"/>
          <w:rtl w:val="0"/>
        </w:rPr>
        <w:t xml:space="preserve">𝐿𝑒𝑥𝑝 </w:t>
      </w:r>
      <w:r>
        <w:rPr>
          <w:rtl w:val="0"/>
        </w:rPr>
        <w:t xml:space="preserve">is not a precise financial amount in the accounting sense, nor is it a forecast of future losses. It is a comparable governance risk measure. As long as the setting of </w:t>
      </w:r>
      <w:r>
        <w:rPr>
          <w:rFonts w:ascii="Cambria Math" w:cs="Cambria Math" w:eastAsia="Cambria Math" w:hAnsi="Cambria Math"/>
          <w:rtl w:val="0"/>
        </w:rPr>
        <w:t xml:space="preserve">𝐼 </w:t>
      </w:r>
      <w:r>
        <w:rPr>
          <w:rtl w:val="0"/>
        </w:rPr>
        <w:t xml:space="preserve">remains consistent within the organization, </w:t>
      </w:r>
      <w:r>
        <w:rPr>
          <w:rFonts w:ascii="Cambria Math" w:cs="Cambria Math" w:eastAsia="Cambria Math" w:hAnsi="Cambria Math"/>
          <w:rtl w:val="0"/>
        </w:rPr>
        <w:t xml:space="preserve">𝐿𝑒𝑥𝑝 </w:t>
      </w:r>
      <w:r>
        <w:rPr>
          <w:rtl w:val="0"/>
        </w:rPr>
        <w:t xml:space="preserve">is sufficient for comparing priorities between different risks and for serving as a baseline for resource allocation judgments. </w:t>
      </w:r>
    </w:p>
    <w:p w:rsidR="00000000" w:rsidDel="00000000" w:rsidP="00000000" w:rsidRDefault="00000000" w:rsidRPr="00000000" w14:paraId="000000BC">
      <w:pPr>
        <w:jc w:val="both"/>
        <w:rPr/>
      </w:pPr>
      <w:r>
        <w:rPr>
          <w:rtl w:val="0"/>
        </w:rPr>
        <w:t xml:space="preserve">In practical application, </w:t>
      </w:r>
      <w:r>
        <w:rPr>
          <w:rFonts w:ascii="Cambria Math" w:cs="Cambria Math" w:eastAsia="Cambria Math" w:hAnsi="Cambria Math"/>
          <w:rtl w:val="0"/>
        </w:rPr>
        <w:t xml:space="preserve">𝐿𝑒𝑥𝑝 </w:t>
      </w:r>
      <w:r>
        <w:rPr>
          <w:rtl w:val="0"/>
        </w:rPr>
        <w:t xml:space="preserve">plays three important roles: </w:t>
      </w:r>
    </w:p>
    <w:p w:rsidR="00000000" w:rsidDel="00000000" w:rsidP="00000000" w:rsidRDefault="00000000" w:rsidRPr="00000000" w14:paraId="000000BD">
      <w:pPr>
        <w:numPr>
          <w:ilvl w:val="0"/>
          <w:numId w:val="27"/>
        </w:numPr>
        <w:ind w:left="720" w:hanging="360"/>
        <w:jc w:val="both"/>
        <w:rPr/>
      </w:pPr>
      <w:r>
        <w:rPr>
          <w:rtl w:val="0"/>
        </w:rPr>
        <w:t xml:space="preserve">It serves as a baseline for measuring the "pre-intervention" risk posture, allowing decision-makers to understand the potential pressure the organization faces in the absence of governance action.</w:t>
      </w:r>
    </w:p>
    <w:p w:rsidR="00000000" w:rsidDel="00000000" w:rsidP="00000000" w:rsidRDefault="00000000" w:rsidRPr="00000000" w14:paraId="000000BE">
      <w:pPr>
        <w:numPr>
          <w:ilvl w:val="0"/>
          <w:numId w:val="27"/>
        </w:numPr>
        <w:ind w:left="720" w:hanging="360"/>
        <w:jc w:val="both"/>
        <w:rPr/>
      </w:pPr>
      <w:r>
        <w:rPr>
          <w:rtl w:val="0"/>
        </w:rPr>
        <w:t xml:space="preserve">It provides a common metric across different risks, enabling multi-risk governance to be built upon the same assessment scale.</w:t>
      </w:r>
    </w:p>
    <w:p w:rsidR="00000000" w:rsidDel="00000000" w:rsidP="00000000" w:rsidRDefault="00000000" w:rsidRPr="00000000" w14:paraId="000000BF">
      <w:pPr>
        <w:numPr>
          <w:ilvl w:val="0"/>
          <w:numId w:val="27"/>
        </w:numPr>
        <w:ind w:left="720" w:hanging="360"/>
        <w:jc w:val="both"/>
        <w:rPr/>
      </w:pPr>
      <w:r>
        <w:rPr>
          <w:rtl w:val="0"/>
        </w:rPr>
        <w:t xml:space="preserve">It establishes the benchmark for subsequent governance intervention calculations, laying the foundation for assessing total risk pressure (TP) and residual exposure (RE). </w:t>
      </w:r>
    </w:p>
    <w:p w:rsidR="00000000" w:rsidDel="00000000" w:rsidP="00000000" w:rsidRDefault="00000000" w:rsidRPr="00000000" w14:paraId="000000C0">
      <w:pPr>
        <w:jc w:val="both"/>
        <w:rPr/>
      </w:pPr>
      <w:r>
        <w:rPr>
          <w:rtl w:val="0"/>
        </w:rPr>
        <w:t xml:space="preserve">However, </w:t>
      </w:r>
      <w:r>
        <w:rPr>
          <w:rFonts w:ascii="Cambria Math" w:cs="Cambria Math" w:eastAsia="Cambria Math" w:hAnsi="Cambria Math"/>
          <w:rtl w:val="0"/>
        </w:rPr>
        <w:t xml:space="preserve">𝐿𝑒𝑥𝑝 </w:t>
      </w:r>
      <w:r>
        <w:rPr>
          <w:rtl w:val="0"/>
        </w:rPr>
        <w:t xml:space="preserve">also has clear limitations. Since it is built upon the estimations of </w:t>
      </w:r>
      <w:r>
        <w:rPr>
          <w:rFonts w:ascii="Cambria Math" w:cs="Cambria Math" w:eastAsia="Cambria Math" w:hAnsi="Cambria Math"/>
          <w:rtl w:val="0"/>
        </w:rPr>
        <w:t xml:space="preserve">𝑃</w:t>
      </w:r>
      <w:r>
        <w:rPr>
          <w:rtl w:val="0"/>
        </w:rPr>
        <w:t xml:space="preserve">, </w:t>
      </w:r>
      <w:r>
        <w:rPr>
          <w:rFonts w:ascii="Cambria Math" w:cs="Cambria Math" w:eastAsia="Cambria Math" w:hAnsi="Cambria Math"/>
          <w:rtl w:val="0"/>
        </w:rPr>
        <w:t xml:space="preserve">𝑇</w:t>
      </w:r>
      <w:r>
        <w:rPr>
          <w:rtl w:val="0"/>
        </w:rPr>
        <w:t xml:space="preserve">, and </w:t>
      </w:r>
      <w:r>
        <w:rPr>
          <w:rFonts w:ascii="Cambria Math" w:cs="Cambria Math" w:eastAsia="Cambria Math" w:hAnsi="Cambria Math"/>
          <w:rtl w:val="0"/>
        </w:rPr>
        <w:t xml:space="preserve">𝐼</w:t>
      </w:r>
      <w:r>
        <w:rPr>
          <w:rtl w:val="0"/>
        </w:rPr>
        <w:t xml:space="preserve">, any parameter uncertainty will be reflected in the value of </w:t>
      </w:r>
      <w:r>
        <w:rPr>
          <w:rFonts w:ascii="Cambria Math" w:cs="Cambria Math" w:eastAsia="Cambria Math" w:hAnsi="Cambria Math"/>
          <w:rtl w:val="0"/>
        </w:rPr>
        <w:t xml:space="preserve">𝐿𝑒𝑥𝑝</w:t>
      </w:r>
      <w:r>
        <w:rPr>
          <w:rtl w:val="0"/>
        </w:rPr>
        <w:t xml:space="preserve">. Therefore, this model treats </w:t>
      </w:r>
      <w:r>
        <w:rPr>
          <w:rFonts w:ascii="Cambria Math" w:cs="Cambria Math" w:eastAsia="Cambria Math" w:hAnsi="Cambria Math"/>
          <w:rtl w:val="0"/>
        </w:rPr>
        <w:t xml:space="preserve">𝐿𝑒𝑥𝑝 </w:t>
      </w:r>
      <w:r>
        <w:rPr>
          <w:rtl w:val="0"/>
        </w:rPr>
        <w:t xml:space="preserve">not as an absolute truth value, but as an instrumental indicator for relative comparison and decision support. When input parameters are updated, </w:t>
      </w:r>
      <w:r>
        <w:rPr>
          <w:rFonts w:ascii="Cambria Math" w:cs="Cambria Math" w:eastAsia="Cambria Math" w:hAnsi="Cambria Math"/>
          <w:rtl w:val="0"/>
        </w:rPr>
        <w:t xml:space="preserve">𝐿𝑒𝑥𝑝 </w:t>
      </w:r>
      <w:r>
        <w:rPr>
          <w:rtl w:val="0"/>
        </w:rPr>
        <w:t xml:space="preserve">must be recalculated accordingly to maintain its governance meaning. </w:t>
      </w:r>
    </w:p>
    <w:p w:rsidR="00000000" w:rsidDel="00000000" w:rsidP="00000000" w:rsidRDefault="00000000" w:rsidRPr="00000000" w14:paraId="000000C1">
      <w:pPr>
        <w:jc w:val="both"/>
        <w:rPr/>
      </w:pPr>
      <w:r>
        <w:rPr>
          <w:rtl w:val="0"/>
        </w:rPr>
        <w:t xml:space="preserve">Through the introduction of </w:t>
      </w:r>
      <w:r>
        <w:rPr>
          <w:rFonts w:ascii="Cambria Math" w:cs="Cambria Math" w:eastAsia="Cambria Math" w:hAnsi="Cambria Math"/>
          <w:rtl w:val="0"/>
        </w:rPr>
        <w:t xml:space="preserve">𝐿𝑒𝑥𝑝</w:t>
      </w:r>
      <w:r>
        <w:rPr>
          <w:rtl w:val="0"/>
        </w:rPr>
        <w:t xml:space="preserve">, the model achieves the conversion from "separated probability and consequences" to a "comprehensive risk burden," truly making risk a quantifiable, comparable, and decision-ready object that can enter the logic of governance resource allocation.</w:t>
      </w:r>
    </w:p>
    <w:p w:rsidR="00000000" w:rsidDel="00000000" w:rsidP="00000000" w:rsidRDefault="00000000" w:rsidRPr="00000000" w14:paraId="000000C2">
      <w:pPr>
        <w:jc w:val="both"/>
        <w:rPr/>
      </w:pPr>
      <w:r>
        <w:rPr>
          <w:rtl w:val="0"/>
        </w:rPr>
        <w:t xml:space="preserve">Governance Coverage </w:t>
      </w:r>
      <w:r>
        <w:rPr>
          <w:rFonts w:ascii="Cambria Math" w:cs="Cambria Math" w:eastAsia="Cambria Math" w:hAnsi="Cambria Math"/>
          <w:rtl w:val="0"/>
        </w:rPr>
        <w:t xml:space="preserve">𝐶</w:t>
      </w:r>
      <w:r>
        <w:rPr>
          <w:rtl w:val="0"/>
        </w:rPr>
      </w:r>
    </w:p>
    <w:p w:rsidR="00000000" w:rsidDel="00000000" w:rsidP="00000000" w:rsidRDefault="00000000" w:rsidRPr="00000000" w14:paraId="000000C3">
      <w:pPr>
        <w:jc w:val="both"/>
        <w:rPr/>
      </w:pPr>
      <w:r>
        <w:rPr>
          <w:rtl w:val="0"/>
        </w:rPr>
        <w:t xml:space="preserve"> After completing the calculation of Expected Loss (</w:t>
      </w:r>
      <w:r>
        <w:rPr>
          <w:rFonts w:ascii="Cambria Math" w:cs="Cambria Math" w:eastAsia="Cambria Math" w:hAnsi="Cambria Math"/>
          <w:rtl w:val="0"/>
        </w:rPr>
        <w:t xml:space="preserve">𝐿𝑒𝑥𝑝</w:t>
      </w:r>
      <w:r>
        <w:rPr>
          <w:rtl w:val="0"/>
        </w:rPr>
        <w:t xml:space="preserve">), the model truly enters the core of governance decision-making: how many actions has the organization actually taken in response to the risk? This question is expressed by </w:t>
      </w:r>
      <w:r>
        <w:rPr>
          <w:b w:val="1"/>
          <w:bCs w:val="1"/>
          <w:rtl w:val="0"/>
        </w:rPr>
        <w:t xml:space="preserve">Governance Coverage (</w:t>
      </w:r>
      <w:r>
        <w:rPr>
          <w:rFonts w:ascii="Cambria Math" w:cs="Cambria Math" w:eastAsia="Cambria Math" w:hAnsi="Cambria Math"/>
          <w:b w:val="1"/>
          <w:bCs w:val="1"/>
          <w:rtl w:val="0"/>
        </w:rPr>
        <w:t xml:space="preserve">𝐶</w:t>
      </w:r>
      <w:r>
        <w:rPr>
          <w:b w:val="1"/>
          <w:bCs w:val="1"/>
          <w:rtl w:val="0"/>
        </w:rPr>
        <w:t xml:space="preserve">)</w:t>
      </w:r>
      <w:r>
        <w:rPr>
          <w:rtl w:val="0"/>
        </w:rPr>
        <w:t xml:space="preserve">. </w:t>
      </w:r>
    </w:p>
    <w:p w:rsidR="00000000" w:rsidDel="00000000" w:rsidP="00000000" w:rsidRDefault="00000000" w:rsidRPr="00000000" w14:paraId="000000C4">
      <w:pPr>
        <w:jc w:val="both"/>
        <w:rPr/>
      </w:pPr>
      <w:r>
        <w:rPr>
          <w:rtl w:val="0"/>
        </w:rPr>
        <w:t xml:space="preserve">If the previous parameters 𝑃, 𝑇, 𝐼, and 𝐿𝑒𝑥𝑝 describe the structure and potential burden of the risk itself, then 𝐶 represents the effectiveness of the governance effort the organization has invested in that risk. In this model, 𝐶 is represented on a continuous scale with an upper bound of 1: </w:t>
      </w:r>
    </w:p>
    <w:p w:rsidR="00000000" w:rsidDel="00000000" w:rsidP="00000000" w:rsidRDefault="00000000" w:rsidRPr="00000000" w14:paraId="000000C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480" w:right="0" w:hanging="480"/>
        <w:jc w:val="both"/>
        <w:rPr/>
      </w:pPr>
      <w:r>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𝐶</w:t>
      </w: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 represents completely zero governance action taken;</w:t>
      </w:r>
    </w:p>
    <w:p w:rsidR="00000000" w:rsidDel="00000000" w:rsidP="00000000" w:rsidRDefault="00000000" w:rsidRPr="00000000" w14:paraId="000000C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480" w:right="0" w:hanging="480"/>
        <w:jc w:val="both"/>
        <w:rPr/>
      </w:pPr>
      <w:r>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𝐶=1 represents achieving the maximum feasible governance effect possible under realistic conditions, which lowers the single-period probability to the irreducible floor 𝑃𝑓𝑙𝑜𝑜𝑟 rather than to zero;</w:t>
      </w:r>
    </w:p>
    <w:p w:rsidR="00000000" w:rsidDel="00000000" w:rsidP="00000000" w:rsidRDefault="00000000" w:rsidRPr="0000000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480" w:right="0" w:hanging="480"/>
        <w:jc w:val="both"/>
        <w:rPr/>
      </w:pPr>
      <w:r>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𝐶&lt;0 represents governance that worsens the risk, raising the single-period probability above its ungoverned level. </w:t>
      </w:r>
    </w:p>
    <w:p w:rsidR="00000000" w:rsidDel="00000000" w:rsidP="00000000" w:rsidRDefault="00000000" w:rsidRPr="00000000" w14:paraId="000000C7">
      <w:pPr>
        <w:jc w:val="both"/>
        <w:rPr/>
      </w:pPr>
      <w:r>
        <w:rPr>
          <w:rtl w:val="0"/>
        </w:rPr>
        <w:t xml:space="preserve">It must be emphasized that </w:t>
      </w:r>
      <w:r>
        <w:rPr>
          <w:rFonts w:ascii="Cambria Math" w:cs="Cambria Math" w:eastAsia="Cambria Math" w:hAnsi="Cambria Math"/>
          <w:rtl w:val="0"/>
        </w:rPr>
        <w:t xml:space="preserve">𝐶 </w:t>
      </w:r>
      <w:r>
        <w:rPr>
          <w:rtl w:val="0"/>
        </w:rPr>
        <w:t xml:space="preserve">is not merely the "proportion of resources invested," but a resulting parameter reflecting how resource investment translates into actual governance outcomes. The same funding or manpower might yield vastly different governance effects in different risk scenarios. Therefore, </w:t>
      </w:r>
      <w:r>
        <w:rPr>
          <w:rFonts w:ascii="Cambria Math" w:cs="Cambria Math" w:eastAsia="Cambria Math" w:hAnsi="Cambria Math"/>
          <w:rtl w:val="0"/>
        </w:rPr>
        <w:t xml:space="preserve">𝐶 </w:t>
      </w:r>
      <w:r>
        <w:rPr>
          <w:rtl w:val="0"/>
        </w:rPr>
        <w:t xml:space="preserve">measures not the input itself, but the actual degree of risk suppression after the input has been applied. </w:t>
      </w:r>
    </w:p>
    <w:p w:rsidR="00000000" w:rsidDel="00000000" w:rsidP="00000000" w:rsidRDefault="00000000" w:rsidRPr="00000000" w14:paraId="000000C8">
      <w:pPr>
        <w:jc w:val="both"/>
        <w:rPr/>
      </w:pPr>
      <w:r>
        <w:rPr>
          <w:rtl w:val="0"/>
        </w:rPr>
        <w:t xml:space="preserve">In governance semantics, </w:t>
      </w:r>
      <w:r>
        <w:rPr>
          <w:rFonts w:ascii="Cambria Math" w:cs="Cambria Math" w:eastAsia="Cambria Math" w:hAnsi="Cambria Math"/>
          <w:rtl w:val="0"/>
        </w:rPr>
        <w:t xml:space="preserve">𝐶 </w:t>
      </w:r>
      <w:r>
        <w:rPr>
          <w:rtl w:val="0"/>
        </w:rPr>
        <w:t xml:space="preserve">fulfills three functions: </w:t>
      </w:r>
    </w:p>
    <w:p w:rsidR="00000000" w:rsidDel="00000000" w:rsidP="00000000" w:rsidRDefault="00000000" w:rsidRPr="00000000" w14:paraId="000000C9">
      <w:pPr>
        <w:numPr>
          <w:ilvl w:val="0"/>
          <w:numId w:val="2"/>
        </w:numPr>
        <w:ind w:left="720" w:hanging="360"/>
        <w:jc w:val="both"/>
        <w:rPr/>
      </w:pPr>
      <w:r>
        <w:rPr>
          <w:rtl w:val="0"/>
        </w:rPr>
        <w:t xml:space="preserve">It is the only variable in the model that directly reflects "governance actions," linking strategic choices to quantitative results.</w:t>
      </w:r>
    </w:p>
    <w:p w:rsidR="00000000" w:rsidDel="00000000" w:rsidP="00000000" w:rsidRDefault="00000000" w:rsidRPr="00000000" w14:paraId="000000CA">
      <w:pPr>
        <w:numPr>
          <w:ilvl w:val="0"/>
          <w:numId w:val="2"/>
        </w:numPr>
        <w:ind w:left="720" w:hanging="360"/>
        <w:jc w:val="both"/>
        <w:rPr/>
      </w:pPr>
      <w:r>
        <w:rPr>
          <w:rtl w:val="0"/>
        </w:rPr>
        <w:t xml:space="preserve">It provides a unified scale, allowing different forms of governance measures to be compared within the same framework.</w:t>
      </w:r>
    </w:p>
    <w:p w:rsidR="00000000" w:rsidDel="00000000" w:rsidP="00000000" w:rsidRDefault="00000000" w:rsidRPr="00000000" w14:paraId="000000CB">
      <w:pPr>
        <w:numPr>
          <w:ilvl w:val="0"/>
          <w:numId w:val="2"/>
        </w:numPr>
        <w:ind w:left="720" w:hanging="360"/>
        <w:jc w:val="both"/>
        <w:rPr/>
      </w:pPr>
      <w:r>
        <w:rPr>
          <w:rtl w:val="0"/>
        </w:rPr>
        <w:t xml:space="preserve">It serves as the core regulator in the residual exposure calculation, determining how far the single-period probability is reduced toward its floor. </w:t>
      </w:r>
    </w:p>
    <w:p w:rsidR="00000000" w:rsidDel="00000000" w:rsidP="00000000" w:rsidRDefault="00000000" w:rsidRPr="00000000" w14:paraId="000000CC">
      <w:pPr>
        <w:jc w:val="both"/>
        <w:rPr/>
      </w:pPr>
      <w:r>
        <w:rPr>
          <w:rtl w:val="0"/>
        </w:rPr>
        <w:t xml:space="preserve">In practical assessment, the estimation of </w:t>
      </w:r>
      <w:r>
        <w:rPr>
          <w:rFonts w:ascii="Cambria Math" w:cs="Cambria Math" w:eastAsia="Cambria Math" w:hAnsi="Cambria Math"/>
          <w:rtl w:val="0"/>
        </w:rPr>
        <w:t xml:space="preserve">𝐶 </w:t>
      </w:r>
      <w:r>
        <w:rPr>
          <w:rtl w:val="0"/>
        </w:rPr>
        <w:t xml:space="preserve">is highly flexible. Organizations can adopt different approaches based on their maturity: </w:t>
      </w:r>
    </w:p>
    <w:p w:rsidR="00000000" w:rsidDel="00000000" w:rsidP="00000000" w:rsidRDefault="00000000" w:rsidRPr="00000000" w14:paraId="000000CD">
      <w:pPr>
        <w:numPr>
          <w:ilvl w:val="0"/>
          <w:numId w:val="3"/>
        </w:numPr>
        <w:ind w:left="720" w:hanging="360"/>
        <w:jc w:val="both"/>
        <w:rPr/>
      </w:pPr>
      <w:r>
        <w:rPr>
          <w:rtl w:val="0"/>
        </w:rPr>
        <w:t xml:space="preserve">In initial stages, it can be a subjective assessment based on the experience of decision-makers or experts;</w:t>
      </w:r>
    </w:p>
    <w:p w:rsidR="00000000" w:rsidDel="00000000" w:rsidP="00000000" w:rsidRDefault="00000000" w:rsidRPr="00000000" w14:paraId="000000CE">
      <w:pPr>
        <w:numPr>
          <w:ilvl w:val="0"/>
          <w:numId w:val="3"/>
        </w:numPr>
        <w:ind w:left="720" w:hanging="360"/>
        <w:jc w:val="both"/>
        <w:rPr/>
      </w:pPr>
      <w:r>
        <w:rPr>
          <w:rtl w:val="0"/>
        </w:rPr>
        <w:t xml:space="preserve">In institutionally mature stages, it can be quantified based on the coverage rate or achievement rate of existing control measures;</w:t>
      </w:r>
    </w:p>
    <w:p w:rsidR="00000000" w:rsidDel="00000000" w:rsidP="00000000" w:rsidRDefault="00000000" w:rsidRPr="00000000" w14:paraId="000000CF">
      <w:pPr>
        <w:numPr>
          <w:ilvl w:val="0"/>
          <w:numId w:val="3"/>
        </w:numPr>
        <w:ind w:left="720" w:hanging="360"/>
        <w:jc w:val="both"/>
        <w:rPr/>
      </w:pPr>
      <w:r>
        <w:rPr>
          <w:rtl w:val="0"/>
        </w:rPr>
        <w:t xml:space="preserve">In highly mature environments, governance effects can be reverse-engineered through performance indicators or empirical data. </w:t>
      </w:r>
    </w:p>
    <w:p w:rsidR="00000000" w:rsidDel="00000000" w:rsidP="00000000" w:rsidRDefault="00000000" w:rsidRPr="00000000" w14:paraId="000000D0">
      <w:pPr>
        <w:jc w:val="both"/>
        <w:rPr/>
      </w:pPr>
      <w:r>
        <w:rPr>
          <w:rtl w:val="0"/>
        </w:rPr>
        <w:t xml:space="preserve">Regardless of the method used, the core spirit of </w:t>
      </w:r>
      <w:r>
        <w:rPr>
          <w:rFonts w:ascii="Cambria Math" w:cs="Cambria Math" w:eastAsia="Cambria Math" w:hAnsi="Cambria Math"/>
          <w:rtl w:val="0"/>
        </w:rPr>
        <w:t xml:space="preserve">𝐶 </w:t>
      </w:r>
      <w:r>
        <w:rPr>
          <w:rtl w:val="0"/>
        </w:rPr>
        <w:t xml:space="preserve">is to translate complex and diverse governance actions into an effective proportion that can be incorporated into calculations. It is crucial to clarify that </w:t>
      </w:r>
      <w:r>
        <w:rPr>
          <w:rFonts w:ascii="Cambria Math" w:cs="Cambria Math" w:eastAsia="Cambria Math" w:hAnsi="Cambria Math"/>
          <w:rtl w:val="0"/>
        </w:rPr>
        <w:t xml:space="preserve">𝐶 </w:t>
      </w:r>
      <w:r>
        <w:rPr>
          <w:rtl w:val="0"/>
        </w:rPr>
        <w:t xml:space="preserve">does not presuppose that governance actions can completely eliminate risk. Even with significant resources invested, most risks are likely to retain some level of residual exposure. Therefore, </w:t>
      </w:r>
      <w:r>
        <w:rPr>
          <w:rFonts w:ascii="Cambria Math" w:cs="Cambria Math" w:eastAsia="Cambria Math" w:hAnsi="Cambria Math"/>
          <w:rtl w:val="0"/>
        </w:rPr>
        <w:t xml:space="preserve">𝐶</w:t>
      </w:r>
      <w:r>
        <w:rPr>
          <w:rtl w:val="0"/>
        </w:rPr>
        <w:t xml:space="preserve">=1 represents the "highest feasible degree of governance under existing conditions," not the absolute elimination of risk to zero. </w:t>
      </w:r>
    </w:p>
    <w:p w:rsidR="00000000" w:rsidDel="00000000" w:rsidP="00000000" w:rsidRDefault="00000000" w:rsidRPr="00000000">
      <w:pPr>
        <w:jc w:val="both"/>
        <w:rPr/>
      </w:pPr>
      <w:r>
        <w:rPr>
          <w:rtl w:val="0"/>
        </w:rPr>
        <w:t xml:space="preserve">Governance acts on the single-period probability of each decision cycle: 𝑃𝑔𝑜𝑣=𝑃𝑓𝑙𝑜𝑜𝑟+(𝑃−𝑃𝑓𝑙𝑜𝑜𝑟)(1−𝐶), where 𝑃𝑓𝑙𝑜𝑜𝑟 is the probability that cannot be removed as long as the activity continues. The governed cumulative probability is 𝑃𝑐𝑢𝑚,𝑔𝑜𝑣=1−(1−𝑃𝑔𝑜𝑣)</w:t>
      </w:r>
      <w:r>
        <w:rPr>
          <w:rtl w:val="0"/>
          <w:vertAlign w:val="superscript"/>
        </w:rPr>
        <w:t xml:space="preserve">𝑁</w:t>
      </w:r>
      <w:r>
        <w:rPr>
          <w:rtl w:val="0"/>
        </w:rPr>
        <w:t xml:space="preserve">. Because the reduction applies cycle by cycle, its effect on cumulative exposure is diluted over long horizons. For example, with 𝑃=0.2, 𝑃𝑓𝑙𝑜𝑜𝑟=0.02 and 𝑁=10, governance with 𝐶=0.5 lowers the cumulative probability from about 0.89 to about 0.69, not by half. </w:t>
      </w:r>
    </w:p>
    <w:p w:rsidR="00000000" w:rsidDel="00000000" w:rsidP="00000000" w:rsidRDefault="00000000" w:rsidRPr="00000000" w14:paraId="000000D1">
      <w:pPr>
        <w:jc w:val="both"/>
        <w:rPr/>
      </w:pPr>
      <w:r>
        <w:rPr>
          <w:rtl w:val="0"/>
        </w:rPr>
        <w:t xml:space="preserve">Furthermore, </w:t>
      </w:r>
      <w:r>
        <w:rPr>
          <w:rFonts w:ascii="Cambria Math" w:cs="Cambria Math" w:eastAsia="Cambria Math" w:hAnsi="Cambria Math"/>
          <w:rtl w:val="0"/>
        </w:rPr>
        <w:t xml:space="preserve">𝐶 </w:t>
      </w:r>
      <w:r>
        <w:rPr>
          <w:rtl w:val="0"/>
        </w:rPr>
        <w:t xml:space="preserve">is dynamic. With increased organizational resources, technological advancements, or improved governance processes, the same risk might achieve higher governance coverage in the future. Conversely, if resources are cut or the environment deteriorates, </w:t>
      </w:r>
      <w:r>
        <w:rPr>
          <w:rFonts w:ascii="Cambria Math" w:cs="Cambria Math" w:eastAsia="Cambria Math" w:hAnsi="Cambria Math"/>
          <w:rtl w:val="0"/>
        </w:rPr>
        <w:t xml:space="preserve">𝐶 </w:t>
      </w:r>
      <w:r>
        <w:rPr>
          <w:rtl w:val="0"/>
        </w:rPr>
        <w:t xml:space="preserve">might decrease. Thus, </w:t>
      </w:r>
      <w:r>
        <w:rPr>
          <w:rFonts w:ascii="Cambria Math" w:cs="Cambria Math" w:eastAsia="Cambria Math" w:hAnsi="Cambria Math"/>
          <w:rtl w:val="0"/>
        </w:rPr>
        <w:t xml:space="preserve">𝐶 </w:t>
      </w:r>
      <w:r>
        <w:rPr>
          <w:rtl w:val="0"/>
        </w:rPr>
        <w:t xml:space="preserve">should be treated as a governance parameter that requires regular review and updates, rather than a fixed constant. </w:t>
      </w:r>
    </w:p>
    <w:p w:rsidR="00000000" w:rsidDel="00000000" w:rsidP="00000000" w:rsidRDefault="00000000" w:rsidRPr="00000000" w14:paraId="000000D2">
      <w:pPr>
        <w:jc w:val="both"/>
        <w:rPr/>
      </w:pPr>
      <w:r>
        <w:rPr/>
        <w:drawing>
          <wp:inline distB="0" distT="0" distL="0" distR="0">
            <wp:extent cx="9525" cy="9525"/>
            <wp:effectExtent b="0" l="0" r="0" t="0"/>
            <wp:docPr id="2052077879"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Fonts w:ascii="Cambria Math" w:cs="Cambria Math" w:eastAsia="Cambria Math" w:hAnsi="Cambria Math"/>
          <w:rtl w:val="0"/>
        </w:rPr>
        <w:t xml:space="preserve">𝐶 </w:t>
      </w:r>
      <w:r>
        <w:rPr>
          <w:rtl w:val="0"/>
        </w:rPr>
        <w:t xml:space="preserve">will be used in subsequent residual exposure calculations. Through the introduction of </w:t>
      </w:r>
      <w:r>
        <w:rPr>
          <w:rFonts w:ascii="Cambria Math" w:cs="Cambria Math" w:eastAsia="Cambria Math" w:hAnsi="Cambria Math"/>
          <w:rtl w:val="0"/>
        </w:rPr>
        <w:t xml:space="preserve">𝐶 </w:t>
      </w:r>
      <w:r>
        <w:rPr>
          <w:rtl w:val="0"/>
        </w:rPr>
        <w:t xml:space="preserve">, the model clearly quantifies the relationship between "how much governance effort was made" and "how much risk burden remains," providing a truly quantifiable basis for governance decisions.</w:t>
      </w:r>
    </w:p>
    <w:p w:rsidR="00000000" w:rsidDel="00000000" w:rsidP="00000000" w:rsidRDefault="00000000" w:rsidRPr="00000000" w14:paraId="000000D3">
      <w:pPr>
        <w:jc w:val="both"/>
        <w:rPr>
          <w:b w:val="1"/>
          <w:bCs w:val="1"/>
        </w:rPr>
      </w:pPr>
      <w:r>
        <w:rPr>
          <w:b w:val="1"/>
          <w:bCs w:val="1"/>
          <w:rtl w:val="0"/>
        </w:rPr>
        <w:t xml:space="preserve">Time Pressure Coefficient </w:t>
      </w:r>
      <w:r>
        <w:rPr>
          <w:rFonts w:ascii="Cambria Math" w:cs="Cambria Math" w:eastAsia="Cambria Math" w:hAnsi="Cambria Math"/>
          <w:b w:val="1"/>
          <w:bCs w:val="1"/>
          <w:rtl w:val="0"/>
        </w:rPr>
        <w:t xml:space="preserve">𝜏</w:t>
      </w:r>
      <w:r>
        <w:rPr>
          <w:rtl w:val="0"/>
        </w:rPr>
      </w:r>
    </w:p>
    <w:p w:rsidR="00000000" w:rsidDel="00000000" w:rsidP="00000000" w:rsidRDefault="00000000" w:rsidRPr="00000000" w14:paraId="000000D4">
      <w:pPr>
        <w:jc w:val="both"/>
        <w:rPr/>
      </w:pPr>
      <w:r>
        <w:rPr>
          <w:rtl w:val="0"/>
        </w:rPr>
        <w:t xml:space="preserve"> After understanding Governance Coverage (</w:t>
      </w:r>
      <w:r>
        <w:rPr>
          <w:rFonts w:ascii="Cambria Math" w:cs="Cambria Math" w:eastAsia="Cambria Math" w:hAnsi="Cambria Math"/>
          <w:rtl w:val="0"/>
        </w:rPr>
        <w:t xml:space="preserve">𝐶</w:t>
      </w:r>
      <w:r>
        <w:rPr>
          <w:rtl w:val="0"/>
        </w:rPr>
        <w:t xml:space="preserve">), the model still needs to address a crucial factor in real-world decision-making often ignored by traditional risk models: the duration of available decision time fundamentally changes the difficulty and effectiveness of governance. This impact is characterized by the </w:t>
      </w:r>
      <w:r>
        <w:rPr>
          <w:b w:val="1"/>
          <w:bCs w:val="1"/>
          <w:rtl w:val="0"/>
        </w:rPr>
        <w:t xml:space="preserve">Time Pressure Coefficient (</w:t>
      </w:r>
      <w:r>
        <w:rPr>
          <w:rFonts w:ascii="Cambria Math" w:cs="Cambria Math" w:eastAsia="Cambria Math" w:hAnsi="Cambria Math"/>
          <w:b w:val="1"/>
          <w:bCs w:val="1"/>
          <w:rtl w:val="0"/>
        </w:rPr>
        <w:t xml:space="preserve">𝜏</w:t>
      </w:r>
      <w:r>
        <w:rPr>
          <w:b w:val="1"/>
          <w:bCs w:val="1"/>
          <w:rtl w:val="0"/>
        </w:rPr>
        <w:t xml:space="preserve">)</w:t>
      </w:r>
      <w:r>
        <w:rPr>
          <w:rtl w:val="0"/>
        </w:rPr>
        <w:t xml:space="preserve">. </w:t>
      </w:r>
    </w:p>
    <w:p w:rsidR="00000000" w:rsidDel="00000000" w:rsidP="00000000" w:rsidRDefault="00000000" w:rsidRPr="00000000" w14:paraId="000000D5">
      <w:pPr>
        <w:jc w:val="both"/>
        <w:rPr/>
      </w:pPr>
      <w:r>
        <w:rPr>
          <w:rtl w:val="0"/>
        </w:rPr>
        <w:t xml:space="preserve">Most traditional risk assessment models assume that governance actions are rationally planned and executed with ample time. In practice, however, risk governance is often constrained by tight decision tempos. The same risk and the same governance resources may yield completely different outcomes under different levels of time pressure. When the available time for action shortens, organizations usually must intervene at higher cost, with higher intensity, or in a cruder manner, thus decreasing governance efficiency. The introduction of </w:t>
      </w:r>
      <w:r>
        <w:rPr>
          <w:rFonts w:ascii="Cambria Math" w:cs="Cambria Math" w:eastAsia="Cambria Math" w:hAnsi="Cambria Math"/>
          <w:rtl w:val="0"/>
        </w:rPr>
        <w:t xml:space="preserve">𝜏 </w:t>
      </w:r>
      <w:r>
        <w:rPr>
          <w:rtl w:val="0"/>
        </w:rPr>
        <w:t xml:space="preserve">is intended to incorporate this phenomenon into the model structure. </w:t>
      </w:r>
    </w:p>
    <w:p w:rsidR="00000000" w:rsidDel="00000000" w:rsidP="00000000" w:rsidRDefault="00000000" w:rsidRPr="00000000" w14:paraId="000000D6">
      <w:pPr>
        <w:jc w:val="both"/>
        <w:rPr/>
      </w:pPr>
      <w:r>
        <w:rPr>
          <w:rtl w:val="0"/>
        </w:rPr>
        <w:t xml:space="preserve">In this model, </w:t>
      </w:r>
      <w:r>
        <w:rPr>
          <w:rFonts w:ascii="Cambria Math" w:cs="Cambria Math" w:eastAsia="Cambria Math" w:hAnsi="Cambria Math"/>
          <w:rtl w:val="0"/>
        </w:rPr>
        <w:t xml:space="preserve">𝜏 </w:t>
      </w:r>
      <w:r>
        <w:rPr>
          <w:rtl w:val="0"/>
        </w:rPr>
        <w:t xml:space="preserve">is defined as the time pressure mapping factor that translates the "decision cycle length" into a "governance difficulty adjustment." Its basic governance semantics can be summarized as: </w:t>
      </w:r>
    </w:p>
    <w:p w:rsidR="00000000" w:rsidDel="00000000" w:rsidP="00000000" w:rsidRDefault="00000000" w:rsidRPr="00000000" w14:paraId="000000D7">
      <w:pPr>
        <w:numPr>
          <w:ilvl w:val="0"/>
          <w:numId w:val="5"/>
        </w:numPr>
        <w:ind w:left="720" w:hanging="360"/>
        <w:jc w:val="both"/>
        <w:rPr/>
      </w:pPr>
      <w:r>
        <w:rPr>
          <w:rtl w:val="0"/>
        </w:rPr>
        <w:t xml:space="preserve">The shorter the decision cycle (</w:t>
      </w:r>
      <w:r>
        <w:rPr>
          <w:rFonts w:ascii="Cambria Math" w:cs="Cambria Math" w:eastAsia="Cambria Math" w:hAnsi="Cambria Math"/>
          <w:rtl w:val="0"/>
        </w:rPr>
        <w:t xml:space="preserve">𝑇</w:t>
      </w:r>
      <w:r>
        <w:rPr>
          <w:rtl w:val="0"/>
        </w:rPr>
        <w:t xml:space="preserve">), the greater the time pressure and the higher the governance difficulty;</w:t>
      </w:r>
    </w:p>
    <w:p w:rsidR="00000000" w:rsidDel="00000000" w:rsidP="00000000" w:rsidRDefault="00000000" w:rsidRPr="00000000" w14:paraId="000000D8">
      <w:pPr>
        <w:numPr>
          <w:ilvl w:val="0"/>
          <w:numId w:val="5"/>
        </w:numPr>
        <w:ind w:left="720" w:hanging="360"/>
        <w:jc w:val="both"/>
        <w:rPr/>
      </w:pPr>
      <w:r>
        <w:rPr>
          <w:rtl w:val="0"/>
        </w:rPr>
        <w:t xml:space="preserve">The longer the decision cycle (</w:t>
      </w:r>
      <w:r>
        <w:rPr>
          <w:rFonts w:ascii="Cambria Math" w:cs="Cambria Math" w:eastAsia="Cambria Math" w:hAnsi="Cambria Math"/>
          <w:rtl w:val="0"/>
        </w:rPr>
        <w:t xml:space="preserve">𝑇</w:t>
      </w:r>
      <w:r>
        <w:rPr>
          <w:rtl w:val="0"/>
        </w:rPr>
        <w:t xml:space="preserve">), the more room for planning and intervention, and the relatively lower the governance difficulty. </w:t>
      </w:r>
    </w:p>
    <w:p w:rsidR="00000000" w:rsidDel="00000000" w:rsidP="00000000" w:rsidRDefault="00000000" w:rsidRPr="00000000" w14:paraId="000000D9">
      <w:pPr>
        <w:jc w:val="both"/>
        <w:rPr/>
      </w:pPr>
      <w:r>
        <w:rPr>
          <w:rtl w:val="0"/>
        </w:rPr>
        <w:t xml:space="preserve">Therefore, the numerical design of </w:t>
      </w:r>
      <w:r>
        <w:rPr>
          <w:rFonts w:ascii="Cambria Math" w:cs="Cambria Math" w:eastAsia="Cambria Math" w:hAnsi="Cambria Math"/>
          <w:rtl w:val="0"/>
        </w:rPr>
        <w:t xml:space="preserve">𝜏 </w:t>
      </w:r>
      <w:r>
        <w:rPr>
          <w:rtl w:val="0"/>
        </w:rPr>
        <w:t xml:space="preserve">has a clear direction: </w:t>
      </w:r>
    </w:p>
    <w:p w:rsidR="00000000" w:rsidDel="00000000" w:rsidP="00000000" w:rsidRDefault="00000000" w:rsidRPr="00000000" w14:paraId="000000DA">
      <w:pPr>
        <w:jc w:val="both"/>
        <w:rPr/>
      </w:pPr>
      <w:r>
        <w:rPr/>
        <w:drawing>
          <wp:inline distB="0" distT="0" distL="0" distR="0">
            <wp:extent cx="9525" cy="9525"/>
            <wp:effectExtent b="0" l="0" r="0" t="0"/>
            <wp:docPr id="2052077880"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Fonts w:ascii="Cambria Math" w:cs="Cambria Math" w:eastAsia="Cambria Math" w:hAnsi="Cambria Math"/>
          <w:rtl w:val="0"/>
        </w:rPr>
        <w:t xml:space="preserve">𝜏</w:t>
      </w:r>
      <w:r>
        <w:rPr>
          <w:rtl w:val="0"/>
        </w:rPr>
        <w:t xml:space="preserve">≥1, and </w:t>
      </w:r>
      <w:r>
        <w:rPr>
          <w:i w:val="1"/>
          <w:iCs w:val="1"/>
          <w:rtl w:val="0"/>
        </w:rPr>
        <w:t xml:space="preserve">ceteris paribus</w:t>
      </w:r>
      <w:r>
        <w:rPr>
          <w:rtl w:val="0"/>
        </w:rPr>
        <w:t xml:space="preserve">, the smaller </w:t>
      </w:r>
      <w:r>
        <w:rPr>
          <w:rFonts w:ascii="Cambria Math" w:cs="Cambria Math" w:eastAsia="Cambria Math" w:hAnsi="Cambria Math"/>
          <w:rtl w:val="0"/>
        </w:rPr>
        <w:t xml:space="preserve">𝑇 </w:t>
      </w:r>
      <w:r>
        <w:rPr>
          <w:rtl w:val="0"/>
        </w:rPr>
        <w:t xml:space="preserve">is, the larger </w:t>
      </w:r>
      <w:r>
        <w:rPr>
          <w:rFonts w:ascii="Cambria Math" w:cs="Cambria Math" w:eastAsia="Cambria Math" w:hAnsi="Cambria Math"/>
          <w:rtl w:val="0"/>
        </w:rPr>
        <w:t xml:space="preserve">𝜏 </w:t>
      </w:r>
      <w:r>
        <w:rPr>
          <w:rtl w:val="0"/>
        </w:rPr>
        <w:t xml:space="preserve">becomes. It must be emphasized that </w:t>
      </w:r>
      <w:r>
        <w:rPr>
          <w:rFonts w:ascii="Cambria Math" w:cs="Cambria Math" w:eastAsia="Cambria Math" w:hAnsi="Cambria Math"/>
          <w:rtl w:val="0"/>
        </w:rPr>
        <w:t xml:space="preserve">𝜏 </w:t>
      </w:r>
      <w:r>
        <w:rPr>
          <w:rtl w:val="0"/>
        </w:rPr>
        <w:t xml:space="preserve">is not a description of the risk itself, but an adjustment to the governance environment. Even if two risks are identical in probability and impact, if one must be addressed within a shorter decision cycle, its actual governance burden will be higher. Through </w:t>
      </w:r>
      <w:r>
        <w:rPr>
          <w:rFonts w:ascii="Cambria Math" w:cs="Cambria Math" w:eastAsia="Cambria Math" w:hAnsi="Cambria Math"/>
          <w:rtl w:val="0"/>
        </w:rPr>
        <w:t xml:space="preserve">𝜏 </w:t>
      </w:r>
      <w:r>
        <w:rPr>
          <w:rtl w:val="0"/>
        </w:rPr>
        <w:t xml:space="preserve">, the model clearly quantifies the "governance difficulty of the time dimension." </w:t>
      </w:r>
    </w:p>
    <w:p w:rsidR="00000000" w:rsidDel="00000000" w:rsidP="00000000" w:rsidRDefault="00000000" w:rsidRPr="00000000" w14:paraId="000000DB">
      <w:pPr>
        <w:jc w:val="both"/>
        <w:rPr/>
      </w:pPr>
      <w:r>
        <w:rPr>
          <w:rtl w:val="0"/>
        </w:rPr>
        <w:t xml:space="preserve">In practical application, the calculation method for </w:t>
      </w:r>
      <w:r>
        <w:rPr>
          <w:rFonts w:ascii="Cambria Math" w:cs="Cambria Math" w:eastAsia="Cambria Math" w:hAnsi="Cambria Math"/>
          <w:rtl w:val="0"/>
        </w:rPr>
        <w:t xml:space="preserve">𝜏 </w:t>
      </w:r>
      <w:r>
        <w:rPr>
          <w:rtl w:val="0"/>
        </w:rPr>
        <w:t xml:space="preserve">is not strictly mandated by the model. Organizations are permitted to establish mapping rules based on their own institutional designs. Common approaches include: </w:t>
      </w:r>
    </w:p>
    <w:p w:rsidR="00000000" w:rsidDel="00000000" w:rsidP="00000000" w:rsidRDefault="00000000" w:rsidRPr="00000000" w14:paraId="000000DC">
      <w:pPr>
        <w:numPr>
          <w:ilvl w:val="0"/>
          <w:numId w:val="6"/>
        </w:numPr>
        <w:ind w:left="720" w:hanging="360"/>
        <w:jc w:val="both"/>
        <w:rPr/>
      </w:pPr>
      <w:r>
        <w:rPr>
          <w:b w:val="1"/>
          <w:bCs w:val="1"/>
          <w:rtl w:val="0"/>
        </w:rPr>
        <w:t xml:space="preserve">Proportional Conversion:</w:t>
      </w:r>
      <w:r>
        <w:rPr>
          <w:rtl w:val="0"/>
        </w:rPr>
        <w:t xml:space="preserve"> Using a reference cycle (e.g., an annual governance tempo) as a baseline for calculation;</w:t>
      </w:r>
    </w:p>
    <w:p w:rsidR="00000000" w:rsidDel="00000000" w:rsidP="00000000" w:rsidRDefault="00000000" w:rsidRPr="00000000" w14:paraId="000000DD">
      <w:pPr>
        <w:numPr>
          <w:ilvl w:val="0"/>
          <w:numId w:val="6"/>
        </w:numPr>
        <w:ind w:left="720" w:hanging="360"/>
        <w:jc w:val="both"/>
        <w:rPr/>
      </w:pPr>
      <w:r>
        <w:rPr>
          <w:b w:val="1"/>
          <w:bCs w:val="1"/>
          <w:rtl w:val="0"/>
        </w:rPr>
        <w:t xml:space="preserve">Graded Mapping Table:</w:t>
      </w:r>
      <w:r>
        <w:rPr>
          <w:rtl w:val="0"/>
        </w:rPr>
        <w:t xml:space="preserve"> Translating cycle lengths into different pressure levels via a lookup table;</w:t>
      </w:r>
    </w:p>
    <w:p w:rsidR="00000000" w:rsidDel="00000000" w:rsidP="00000000" w:rsidRDefault="00000000" w:rsidRPr="00000000" w14:paraId="000000DE">
      <w:pPr>
        <w:numPr>
          <w:ilvl w:val="0"/>
          <w:numId w:val="6"/>
        </w:numPr>
        <w:ind w:left="720" w:hanging="360"/>
        <w:jc w:val="both"/>
        <w:rPr/>
      </w:pPr>
      <w:r>
        <w:rPr>
          <w:b w:val="1"/>
          <w:bCs w:val="1"/>
          <w:rtl w:val="0"/>
        </w:rPr>
        <w:t xml:space="preserve">Parameterized Function:</w:t>
      </w:r>
      <w:r>
        <w:rPr>
          <w:rtl w:val="0"/>
        </w:rPr>
        <w:t xml:space="preserve"> Converting </w:t>
      </w:r>
      <w:r>
        <w:rPr>
          <w:rFonts w:ascii="Cambria Math" w:cs="Cambria Math" w:eastAsia="Cambria Math" w:hAnsi="Cambria Math"/>
          <w:rtl w:val="0"/>
        </w:rPr>
        <w:t xml:space="preserve">𝑇 </w:t>
      </w:r>
      <w:r>
        <w:rPr>
          <w:rtl w:val="0"/>
        </w:rPr>
        <w:t xml:space="preserve">into a continuous correction factor using a specific function. </w:t>
      </w:r>
    </w:p>
    <w:p w:rsidR="00000000" w:rsidDel="00000000" w:rsidP="00000000" w:rsidRDefault="00000000" w:rsidRPr="00000000" w14:paraId="000000DF">
      <w:pPr>
        <w:jc w:val="both"/>
        <w:rPr/>
      </w:pPr>
      <w:r>
        <w:rPr>
          <w:rtl w:val="0"/>
        </w:rPr>
        <w:t xml:space="preserve">Regardless of the format used, the core spirit is to translate the "governance difficulty caused by insufficient time" into a numerical correction that can be processed by the model. In subsequent calculations, </w:t>
      </w:r>
      <w:r>
        <w:rPr>
          <w:rFonts w:ascii="Cambria Math" w:cs="Cambria Math" w:eastAsia="Cambria Math" w:hAnsi="Cambria Math"/>
          <w:rtl w:val="0"/>
        </w:rPr>
        <w:t xml:space="preserve">𝜏 </w:t>
      </w:r>
      <w:r>
        <w:rPr>
          <w:rtl w:val="0"/>
        </w:rPr>
        <w:t xml:space="preserve">directly affects the amplification or reduction of the risk burden. When decision time is sufficient, </w:t>
      </w:r>
      <w:r>
        <w:rPr>
          <w:rFonts w:ascii="Cambria Math" w:cs="Cambria Math" w:eastAsia="Cambria Math" w:hAnsi="Cambria Math"/>
          <w:rtl w:val="0"/>
        </w:rPr>
        <w:t xml:space="preserve">𝜏 </w:t>
      </w:r>
      <w:r>
        <w:rPr>
          <w:rtl w:val="0"/>
        </w:rPr>
        <w:t xml:space="preserve">approaches 1, indicating that time conditions have limited impact on governance outcomes. When action must be taken in an extremely short timeframe, </w:t>
      </w:r>
      <w:r>
        <w:rPr>
          <w:rFonts w:ascii="Cambria Math" w:cs="Cambria Math" w:eastAsia="Cambria Math" w:hAnsi="Cambria Math"/>
          <w:rtl w:val="0"/>
        </w:rPr>
        <w:t xml:space="preserve">𝜏 </w:t>
      </w:r>
      <w:r>
        <w:rPr>
          <w:rtl w:val="0"/>
        </w:rPr>
        <w:t xml:space="preserve">will be greater than 1, reflecting the additional increase in governance load. </w:t>
      </w:r>
    </w:p>
    <w:p w:rsidR="00000000" w:rsidDel="00000000" w:rsidP="00000000" w:rsidRDefault="00000000" w:rsidRPr="00000000" w14:paraId="000000E0">
      <w:pPr>
        <w:jc w:val="both"/>
        <w:rPr/>
      </w:pPr>
      <w:r>
        <w:rPr>
          <w:rtl w:val="0"/>
        </w:rPr>
        <w:t xml:space="preserve">It is important to note that </w:t>
      </w:r>
      <w:r>
        <w:rPr>
          <w:rFonts w:ascii="Cambria Math" w:cs="Cambria Math" w:eastAsia="Cambria Math" w:hAnsi="Cambria Math"/>
          <w:rtl w:val="0"/>
        </w:rPr>
        <w:t xml:space="preserve">𝜏 </w:t>
      </w:r>
      <w:r>
        <w:rPr>
          <w:rtl w:val="0"/>
        </w:rPr>
        <w:t xml:space="preserve">itself is not a fixed constant. With improvements in organizational processes, emergency mechanisms, or the introduction of technology tools, the same cycle length might generate lower time pressure in the future. Thus, like other parameters, </w:t>
      </w:r>
      <w:r>
        <w:rPr>
          <w:rFonts w:ascii="Cambria Math" w:cs="Cambria Math" w:eastAsia="Cambria Math" w:hAnsi="Cambria Math"/>
          <w:rtl w:val="0"/>
        </w:rPr>
        <w:t xml:space="preserve">𝜏 </w:t>
      </w:r>
      <w:r>
        <w:rPr>
          <w:rtl w:val="0"/>
        </w:rPr>
        <w:t xml:space="preserve">should be treated as a governance parameter that can be periodically calibrated, not a static setting. </w:t>
      </w:r>
    </w:p>
    <w:p w:rsidR="00000000" w:rsidDel="00000000" w:rsidP="00000000" w:rsidRDefault="00000000" w:rsidRPr="00000000" w14:paraId="000000E1">
      <w:pPr>
        <w:jc w:val="both"/>
        <w:rPr/>
      </w:pPr>
      <w:r>
        <w:rPr>
          <w:rtl w:val="0"/>
        </w:rPr>
        <w:t xml:space="preserve">The introduction of </w:t>
      </w:r>
      <w:r>
        <w:rPr>
          <w:rFonts w:ascii="Cambria Math" w:cs="Cambria Math" w:eastAsia="Cambria Math" w:hAnsi="Cambria Math"/>
          <w:rtl w:val="0"/>
        </w:rPr>
        <w:t xml:space="preserve">𝜏 </w:t>
      </w:r>
      <w:r>
        <w:rPr>
          <w:rtl w:val="0"/>
        </w:rPr>
        <w:t xml:space="preserve">allows the model to break through the limitation of "focusing only on the risk entity and ignoring the governance tempo," formally incorporating the constraint of decision time into the quantitative framework of risk governance.</w:t>
      </w:r>
    </w:p>
    <w:p w:rsidR="00000000" w:rsidDel="00000000" w:rsidP="00000000" w:rsidRDefault="00000000" w:rsidRPr="00000000" w14:paraId="000000E2">
      <w:pPr>
        <w:jc w:val="both"/>
        <w:rPr>
          <w:b w:val="1"/>
          <w:bCs w:val="1"/>
        </w:rPr>
      </w:pPr>
      <w:r>
        <w:rPr>
          <w:b w:val="1"/>
          <w:bCs w:val="1"/>
          <w:rtl w:val="0"/>
        </w:rPr>
        <w:t xml:space="preserve">Typology Factor </w:t>
      </w:r>
      <w:r>
        <w:rPr>
          <w:rFonts w:ascii="Cambria Math" w:cs="Cambria Math" w:eastAsia="Cambria Math" w:hAnsi="Cambria Math"/>
          <w:b w:val="1"/>
          <w:bCs w:val="1"/>
          <w:rtl w:val="0"/>
        </w:rPr>
        <w:t xml:space="preserve">𝑇𝐹𝑖</w:t>
      </w:r>
      <w:r>
        <w:rPr>
          <w:rtl w:val="0"/>
        </w:rPr>
      </w:r>
    </w:p>
    <w:p w:rsidR="00000000" w:rsidDel="00000000" w:rsidP="00000000" w:rsidRDefault="00000000" w:rsidRPr="00000000" w14:paraId="000000E3">
      <w:pPr>
        <w:jc w:val="both"/>
        <w:rPr/>
      </w:pPr>
      <w:r>
        <w:rPr>
          <w:rtl w:val="0"/>
        </w:rPr>
        <w:t xml:space="preserve"> After incorporating Expected Loss (</w:t>
      </w:r>
      <w:r>
        <w:rPr>
          <w:rFonts w:ascii="Cambria Math" w:cs="Cambria Math" w:eastAsia="Cambria Math" w:hAnsi="Cambria Math"/>
          <w:rtl w:val="0"/>
        </w:rPr>
        <w:t xml:space="preserve">𝐿𝑒𝑥𝑝</w:t>
      </w:r>
      <w:r>
        <w:rPr>
          <w:rtl w:val="0"/>
        </w:rPr>
        <w:t xml:space="preserve">) and the Time Pressure Coefficient (</w:t>
      </w:r>
      <w:r>
        <w:rPr>
          <w:rFonts w:ascii="Cambria Math" w:cs="Cambria Math" w:eastAsia="Cambria Math" w:hAnsi="Cambria Math"/>
          <w:rtl w:val="0"/>
        </w:rPr>
        <w:t xml:space="preserve">𝜏</w:t>
      </w:r>
      <w:r>
        <w:rPr>
          <w:rtl w:val="0"/>
        </w:rPr>
        <w:t xml:space="preserve">) into the model, an important difference remains that cannot be simply explained by probability, impact, or time duration: different types of risk inherently possess different degrees of governance difficulty. This difference is expressed by the </w:t>
      </w:r>
      <w:r>
        <w:rPr>
          <w:b w:val="1"/>
          <w:bCs w:val="1"/>
          <w:rtl w:val="0"/>
        </w:rPr>
        <w:t xml:space="preserve">Typology Factor (</w:t>
      </w:r>
      <w:r>
        <w:rPr>
          <w:rFonts w:ascii="Cambria Math" w:cs="Cambria Math" w:eastAsia="Cambria Math" w:hAnsi="Cambria Math"/>
          <w:b w:val="1"/>
          <w:bCs w:val="1"/>
          <w:rtl w:val="0"/>
        </w:rPr>
        <w:t xml:space="preserve">𝑇𝐹𝑖 </w:t>
      </w:r>
      <w:r>
        <w:rPr>
          <w:b w:val="1"/>
          <w:bCs w:val="1"/>
          <w:rtl w:val="0"/>
        </w:rPr>
        <w:t xml:space="preserve">)</w:t>
      </w:r>
      <w:r>
        <w:rPr>
          <w:rtl w:val="0"/>
        </w:rPr>
        <w:t xml:space="preserve">. </w:t>
      </w:r>
    </w:p>
    <w:p w:rsidR="00000000" w:rsidDel="00000000" w:rsidP="00000000" w:rsidRDefault="00000000" w:rsidRPr="00000000" w14:paraId="000000E4">
      <w:pPr>
        <w:jc w:val="both"/>
        <w:rPr/>
      </w:pPr>
      <w:r>
        <w:rPr>
          <w:rtl w:val="0"/>
        </w:rPr>
        <w:t xml:space="preserve">Most traditional risk assessments assume that the same level of risk can be handled in the same way, but this is not the case in governance practice. Some risks, even with similar probabilities and impacts, may require vastly different governance costs and institutional arrangements due to differences in their externality, irreversibility, or controllability. For example, internal operational errors are generally easier to control through process improvements; in contrast, geopolitical conflicts or major public health events are often difficult for a single organization to manage directly. If these differences are not included in the model, it will lead to systematic biases in governance resource allocation. </w:t>
      </w:r>
    </w:p>
    <w:p w:rsidR="00000000" w:rsidDel="00000000" w:rsidP="00000000" w:rsidRDefault="00000000" w:rsidRPr="00000000" w14:paraId="000000E5">
      <w:pPr>
        <w:jc w:val="both"/>
        <w:rPr/>
      </w:pPr>
      <w:r>
        <w:rPr>
          <w:rtl w:val="0"/>
        </w:rPr>
        <w:t xml:space="preserve">Therefore, the core function of </w:t>
      </w:r>
      <w:r>
        <w:rPr>
          <w:rFonts w:ascii="Cambria Math" w:cs="Cambria Math" w:eastAsia="Cambria Math" w:hAnsi="Cambria Math"/>
          <w:rtl w:val="0"/>
        </w:rPr>
        <w:t xml:space="preserve">𝑇𝐹𝑖 </w:t>
      </w:r>
      <w:r>
        <w:rPr>
          <w:rtl w:val="0"/>
        </w:rPr>
        <w:t xml:space="preserve">is to transform the differences in the inherent governance difficulty of risks into a quantitative correction factor. In this model, </w:t>
      </w:r>
      <w:r>
        <w:rPr>
          <w:rFonts w:ascii="Cambria Math" w:cs="Cambria Math" w:eastAsia="Cambria Math" w:hAnsi="Cambria Math"/>
          <w:rtl w:val="0"/>
        </w:rPr>
        <w:t xml:space="preserve">𝑇𝐹𝑖 </w:t>
      </w:r>
      <w:r>
        <w:rPr>
          <w:rtl w:val="0"/>
        </w:rPr>
        <w:t xml:space="preserve">does not describe the effect of governance actions but characterizes the structural properties of the risk. Its assessment relies primarily on three governance dimensions: </w:t>
      </w:r>
    </w:p>
    <w:p w:rsidR="00000000" w:rsidDel="00000000" w:rsidP="00000000" w:rsidRDefault="00000000" w:rsidRPr="00000000" w14:paraId="000000E6">
      <w:pPr>
        <w:numPr>
          <w:ilvl w:val="0"/>
          <w:numId w:val="7"/>
        </w:numPr>
        <w:ind w:left="720" w:hanging="360"/>
        <w:jc w:val="both"/>
        <w:rPr/>
      </w:pPr>
      <w:r>
        <w:rPr>
          <w:b w:val="1"/>
          <w:bCs w:val="1"/>
          <w:rtl w:val="0"/>
        </w:rPr>
        <w:t xml:space="preserve">Controllability:</w:t>
      </w:r>
      <w:r>
        <w:rPr>
          <w:rtl w:val="0"/>
        </w:rPr>
        <w:t xml:space="preserve"> Whether the organization possesses sufficient tools and authority to directly influence the risk outcome;</w:t>
      </w:r>
    </w:p>
    <w:p w:rsidR="00000000" w:rsidDel="00000000" w:rsidP="00000000" w:rsidRDefault="00000000" w:rsidRPr="00000000" w14:paraId="000000E7">
      <w:pPr>
        <w:numPr>
          <w:ilvl w:val="0"/>
          <w:numId w:val="7"/>
        </w:numPr>
        <w:ind w:left="720" w:hanging="360"/>
        <w:jc w:val="both"/>
        <w:rPr/>
      </w:pPr>
      <w:r>
        <w:rPr>
          <w:b w:val="1"/>
          <w:bCs w:val="1"/>
          <w:rtl w:val="0"/>
        </w:rPr>
        <w:t xml:space="preserve">Externality:</w:t>
      </w:r>
      <w:r>
        <w:rPr>
          <w:rtl w:val="0"/>
        </w:rPr>
        <w:t xml:space="preserve"> Whether the risk is highly dependent on the external environment or actions of other parties;</w:t>
      </w:r>
    </w:p>
    <w:p w:rsidR="00000000" w:rsidDel="00000000" w:rsidP="00000000" w:rsidRDefault="00000000" w:rsidRPr="00000000" w14:paraId="000000E8">
      <w:pPr>
        <w:numPr>
          <w:ilvl w:val="0"/>
          <w:numId w:val="7"/>
        </w:numPr>
        <w:ind w:left="720" w:hanging="360"/>
        <w:jc w:val="both"/>
        <w:rPr/>
      </w:pPr>
      <w:r>
        <w:rPr>
          <w:b w:val="1"/>
          <w:bCs w:val="1"/>
          <w:rtl w:val="0"/>
        </w:rPr>
        <w:t xml:space="preserve">Irreversibility:</w:t>
      </w:r>
      <w:r>
        <w:rPr>
          <w:rtl w:val="0"/>
        </w:rPr>
        <w:t xml:space="preserve"> Once the event occurs, are the consequences difficult to repair or revert to the original state? </w:t>
      </w:r>
    </w:p>
    <w:p w:rsidR="00000000" w:rsidDel="00000000" w:rsidP="00000000" w:rsidRDefault="00000000" w:rsidRPr="00000000" w14:paraId="000000E9">
      <w:pPr>
        <w:jc w:val="both"/>
        <w:rPr/>
      </w:pPr>
      <w:r>
        <w:rPr>
          <w:rtl w:val="0"/>
        </w:rPr>
        <w:t xml:space="preserve">Through a comprehensive judgment of these dimensions, users can assign a correction value to each risk that reflects its governance difficulty. In general, the numerical design of </w:t>
      </w:r>
      <w:r>
        <w:rPr>
          <w:rFonts w:ascii="Cambria Math" w:cs="Cambria Math" w:eastAsia="Cambria Math" w:hAnsi="Cambria Math"/>
          <w:rtl w:val="0"/>
        </w:rPr>
        <w:t xml:space="preserve">𝑇𝐹𝑖 </w:t>
      </w:r>
      <w:r>
        <w:rPr>
          <w:rtl w:val="0"/>
        </w:rPr>
        <w:t xml:space="preserve">satisfies the following principles: </w:t>
      </w:r>
    </w:p>
    <w:p w:rsidR="00000000" w:rsidDel="00000000" w:rsidP="00000000" w:rsidRDefault="00000000" w:rsidRPr="00000000" w14:paraId="000000EA">
      <w:pPr>
        <w:numPr>
          <w:ilvl w:val="0"/>
          <w:numId w:val="8"/>
        </w:numPr>
        <w:ind w:left="720" w:hanging="360"/>
        <w:jc w:val="both"/>
        <w:rPr/>
      </w:pPr>
      <w:r>
        <w:rPr/>
        <w:drawing>
          <wp:inline distB="0" distT="0" distL="0" distR="0">
            <wp:extent cx="9525" cy="9525"/>
            <wp:effectExtent b="0" l="0" r="0" t="0"/>
            <wp:docPr id="2052077881"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Fonts w:ascii="Cambria Math" w:cs="Cambria Math" w:eastAsia="Cambria Math" w:hAnsi="Cambria Math"/>
          <w:rtl w:val="0"/>
        </w:rPr>
        <w:t xml:space="preserve">𝑇𝐹𝑖</w:t>
      </w:r>
      <w:r>
        <w:rPr>
          <w:rtl w:val="0"/>
        </w:rPr>
        <w:t xml:space="preserve">≥1; A higher value indicates that the risk is inherently harder to govern;</w:t>
      </w:r>
    </w:p>
    <w:p w:rsidR="00000000" w:rsidDel="00000000" w:rsidP="00000000" w:rsidRDefault="00000000" w:rsidRPr="00000000" w14:paraId="000000EB">
      <w:pPr>
        <w:numPr>
          <w:ilvl w:val="0"/>
          <w:numId w:val="8"/>
        </w:numPr>
        <w:ind w:left="720" w:hanging="360"/>
        <w:jc w:val="both"/>
        <w:rPr/>
      </w:pPr>
      <w:r>
        <w:rPr>
          <w:rtl w:val="0"/>
        </w:rPr>
        <w:t xml:space="preserve">Given the same governance effort, a higher 𝑇𝐹𝑖 will result in higher typology-adjusted residual exposure (𝑇𝑅𝐸𝑖). </w:t>
      </w:r>
    </w:p>
    <w:p w:rsidR="00000000" w:rsidDel="00000000" w:rsidP="00000000" w:rsidRDefault="00000000" w:rsidRPr="00000000" w14:paraId="000000EC">
      <w:pPr>
        <w:jc w:val="both"/>
        <w:rPr/>
      </w:pPr>
      <w:r>
        <w:rPr>
          <w:rtl w:val="0"/>
        </w:rPr>
        <w:t xml:space="preserve">It needs to be clarified that </w:t>
      </w:r>
      <w:r>
        <w:rPr>
          <w:rFonts w:ascii="Cambria Math" w:cs="Cambria Math" w:eastAsia="Cambria Math" w:hAnsi="Cambria Math"/>
          <w:rtl w:val="0"/>
        </w:rPr>
        <w:t xml:space="preserve">𝑇𝐹𝑖 </w:t>
      </w:r>
      <w:r>
        <w:rPr>
          <w:rtl w:val="0"/>
        </w:rPr>
        <w:t xml:space="preserve">does not include an evaluation of specific governance actions. Governance Coverage (</w:t>
      </w:r>
      <w:r>
        <w:rPr>
          <w:rFonts w:ascii="Cambria Math" w:cs="Cambria Math" w:eastAsia="Cambria Math" w:hAnsi="Cambria Math"/>
          <w:rtl w:val="0"/>
        </w:rPr>
        <w:t xml:space="preserve">𝐶</w:t>
      </w:r>
      <w:r>
        <w:rPr>
          <w:rtl w:val="0"/>
        </w:rPr>
        <w:t xml:space="preserve">) measures "how much was done," while </w:t>
      </w:r>
      <w:r>
        <w:rPr>
          <w:rFonts w:ascii="Cambria Math" w:cs="Cambria Math" w:eastAsia="Cambria Math" w:hAnsi="Cambria Math"/>
          <w:rtl w:val="0"/>
        </w:rPr>
        <w:t xml:space="preserve">𝑇𝐹𝑖 </w:t>
      </w:r>
      <w:r>
        <w:rPr>
          <w:rtl w:val="0"/>
        </w:rPr>
        <w:t xml:space="preserve">measures "how hard this thing inherently was." The two are semantically and functionally independent: even if the same degree of governance coverage is applied to two risks, the one with a higher </w:t>
      </w:r>
      <w:r>
        <w:rPr>
          <w:rFonts w:ascii="Cambria Math" w:cs="Cambria Math" w:eastAsia="Cambria Math" w:hAnsi="Cambria Math"/>
          <w:rtl w:val="0"/>
        </w:rPr>
        <w:t xml:space="preserve">𝑇𝐹𝑖 </w:t>
      </w:r>
      <w:r>
        <w:rPr>
          <w:rtl w:val="0"/>
        </w:rPr>
        <w:t xml:space="preserve">will still have higher final residual exposure. This design ensures the model reflects the common phenomenon in governance practice that some risks are naturally harder to manage than others. </w:t>
      </w:r>
    </w:p>
    <w:p w:rsidR="00000000" w:rsidDel="00000000" w:rsidP="00000000" w:rsidRDefault="00000000" w:rsidRPr="00000000" w14:paraId="000000ED">
      <w:pPr>
        <w:jc w:val="both"/>
        <w:rPr/>
      </w:pPr>
      <w:r>
        <w:rPr>
          <w:rtl w:val="0"/>
        </w:rPr>
        <w:t xml:space="preserve">In practical operation, obtaining </w:t>
      </w:r>
      <w:r>
        <w:rPr>
          <w:rFonts w:ascii="Cambria Math" w:cs="Cambria Math" w:eastAsia="Cambria Math" w:hAnsi="Cambria Math"/>
          <w:rtl w:val="0"/>
        </w:rPr>
        <w:t xml:space="preserve">𝑇𝐹𝑖 </w:t>
      </w:r>
      <w:r>
        <w:rPr>
          <w:rtl w:val="0"/>
        </w:rPr>
        <w:t xml:space="preserve">is flexible. Organizations can use expert scoring, policy grading, or historical governance experience as a basis to establish scoring rules suitable for their own context. The important aspect is not pursuing absolute precision, but ensuring a consistent and comparable scale of difficulty across different risks within the same organization. </w:t>
      </w:r>
    </w:p>
    <w:p w:rsidR="00000000" w:rsidDel="00000000" w:rsidP="00000000" w:rsidRDefault="00000000" w:rsidRPr="00000000" w14:paraId="000000EE">
      <w:pPr>
        <w:jc w:val="both"/>
        <w:rPr/>
      </w:pPr>
      <w:r>
        <w:rPr>
          <w:rtl w:val="0"/>
        </w:rPr>
        <w:t xml:space="preserve">Furthermore, </w:t>
      </w:r>
      <w:r>
        <w:rPr>
          <w:rFonts w:ascii="Cambria Math" w:cs="Cambria Math" w:eastAsia="Cambria Math" w:hAnsi="Cambria Math"/>
          <w:rtl w:val="0"/>
        </w:rPr>
        <w:t xml:space="preserve">𝑇𝐹𝑖 </w:t>
      </w:r>
      <w:r>
        <w:rPr>
          <w:rtl w:val="0"/>
        </w:rPr>
        <w:t xml:space="preserve">should also be considered a parameter that requires periodic calibration. With technological advancements, regulatory changes, or improvements in organizational capability, a previously highly difficult risk might gradually become more controllable, and vice versa. Therefore, </w:t>
      </w:r>
      <w:r>
        <w:rPr>
          <w:rFonts w:ascii="Cambria Math" w:cs="Cambria Math" w:eastAsia="Cambria Math" w:hAnsi="Cambria Math"/>
          <w:rtl w:val="0"/>
        </w:rPr>
        <w:t xml:space="preserve">𝑇𝐹𝑖 </w:t>
      </w:r>
      <w:r>
        <w:rPr>
          <w:rtl w:val="0"/>
        </w:rPr>
        <w:t xml:space="preserve">should not be seen as a permanently fixed attribute but a relative difficulty assessment that reflects current governance conditions. </w:t>
      </w:r>
    </w:p>
    <w:p w:rsidR="00000000" w:rsidDel="00000000" w:rsidP="00000000" w:rsidRDefault="00000000" w:rsidRPr="00000000" w14:paraId="000000EF">
      <w:pPr>
        <w:jc w:val="both"/>
        <w:rPr/>
      </w:pPr>
      <w:r>
        <w:rPr>
          <w:rtl w:val="0"/>
        </w:rPr>
        <w:t xml:space="preserve">In subsequent calculations, 𝑇𝐹𝑖 is applied once, to the residual exposure (𝑅𝐸), to form the typology-adjusted residual exposure (𝑇𝑅𝐸𝑖). Through this mechanism, the model can incorporate risk typology differences into quantitative analysis without changing the core risk parameters, making resource allocation in a multi-risk environment more aligned with governance reality.</w:t>
      </w:r>
    </w:p>
    <w:p w:rsidR="00000000" w:rsidDel="00000000" w:rsidP="00000000" w:rsidRDefault="00000000" w:rsidRPr="00000000" w14:paraId="000000F0">
      <w:pPr>
        <w:jc w:val="both"/>
        <w:rPr>
          <w:b w:val="1"/>
          <w:bCs w:val="1"/>
        </w:rPr>
      </w:pPr>
      <w:r>
        <w:rPr>
          <w:b w:val="1"/>
          <w:bCs w:val="1"/>
          <w:rtl w:val="0"/>
        </w:rPr>
        <w:t xml:space="preserve">Calculation and Translation of the Typology Factor </w:t>
      </w:r>
      <w:r>
        <w:rPr>
          <w:rFonts w:ascii="Cambria Math" w:cs="Cambria Math" w:eastAsia="Cambria Math" w:hAnsi="Cambria Math"/>
          <w:b w:val="1"/>
          <w:bCs w:val="1"/>
          <w:rtl w:val="0"/>
        </w:rPr>
        <w:t xml:space="preserve">𝑇𝐹𝑖</w:t>
      </w:r>
      <w:r>
        <w:rPr>
          <w:rtl w:val="0"/>
        </w:rPr>
      </w:r>
    </w:p>
    <w:p w:rsidR="00000000" w:rsidDel="00000000" w:rsidP="00000000" w:rsidRDefault="00000000" w:rsidRPr="00000000" w14:paraId="000000F1">
      <w:pPr>
        <w:jc w:val="both"/>
        <w:rPr/>
      </w:pPr>
      <w:r>
        <w:rPr>
          <w:rtl w:val="0"/>
        </w:rPr>
        <w:t xml:space="preserve"> The three dimensions of controllability, externality, and irreversibility mentioned previously are not merely for describing risk characteristics. They are used to translate the "structural difficulty of risk in governance" into a quantifiable correction factor </w:t>
      </w:r>
      <w:r>
        <w:rPr>
          <w:rFonts w:ascii="Cambria Math" w:cs="Cambria Math" w:eastAsia="Cambria Math" w:hAnsi="Cambria Math"/>
          <w:rtl w:val="0"/>
        </w:rPr>
        <w:t xml:space="preserve">𝑇𝐹𝑖</w:t>
      </w:r>
      <w:r>
        <w:rPr>
          <w:rtl w:val="0"/>
        </w:rPr>
        <w:t xml:space="preserve">. In other words, the purpose of </w:t>
      </w:r>
      <w:r>
        <w:rPr>
          <w:rFonts w:ascii="Cambria Math" w:cs="Cambria Math" w:eastAsia="Cambria Math" w:hAnsi="Cambria Math"/>
          <w:rtl w:val="0"/>
        </w:rPr>
        <w:t xml:space="preserve">𝑇𝐹𝑖 </w:t>
      </w:r>
      <w:r>
        <w:rPr>
          <w:rtl w:val="0"/>
        </w:rPr>
        <w:t xml:space="preserve">is not to precisely characterize the real world, but to provide a scalable metric of governance difficulty that is reusable, comparable, and updateable within an organization. </w:t>
      </w:r>
    </w:p>
    <w:p w:rsidR="00000000" w:rsidDel="00000000" w:rsidP="00000000" w:rsidRDefault="00000000" w:rsidRPr="00000000" w14:paraId="000000F2">
      <w:pPr>
        <w:jc w:val="both"/>
        <w:rPr/>
      </w:pPr>
      <w:r>
        <w:rPr>
          <w:rtl w:val="0"/>
        </w:rPr>
        <w:t xml:space="preserve">1) Define Three Scoring Variables for a Single Risk </w:t>
      </w:r>
      <w:r>
        <w:rPr/>
        <w:drawing>
          <wp:inline distB="0" distT="0" distL="0" distR="0">
            <wp:extent cx="9525" cy="9525"/>
            <wp:effectExtent b="0" l="0" r="0" t="0"/>
            <wp:docPr id="2052077882"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Fonts w:ascii="Cambria Math" w:cs="Cambria Math" w:eastAsia="Cambria Math" w:hAnsi="Cambria Math"/>
          <w:rtl w:val="0"/>
        </w:rPr>
        <w:t xml:space="preserve">𝑖 </w:t>
      </w:r>
      <w:r>
        <w:rPr>
          <w:rtl w:val="0"/>
        </w:rPr>
        <w:t xml:space="preserve">(Suggested Scale: 1–5): </w:t>
      </w:r>
    </w:p>
    <w:p w:rsidR="00000000" w:rsidDel="00000000" w:rsidP="00000000" w:rsidRDefault="00000000" w:rsidRPr="00000000" w14:paraId="000000F3">
      <w:pPr>
        <w:numPr>
          <w:ilvl w:val="0"/>
          <w:numId w:val="9"/>
        </w:numPr>
        <w:ind w:left="720" w:hanging="360"/>
        <w:jc w:val="both"/>
        <w:rPr/>
      </w:pPr>
      <w:r>
        <w:rPr>
          <w:b w:val="1"/>
          <w:bCs w:val="1"/>
          <w:rtl w:val="0"/>
        </w:rPr>
        <w:t xml:space="preserve">Controllability (</w:t>
      </w:r>
      <w:r>
        <w:rPr>
          <w:rFonts w:ascii="Cambria Math" w:cs="Cambria Math" w:eastAsia="Cambria Math" w:hAnsi="Cambria Math"/>
          <w:b w:val="1"/>
          <w:bCs w:val="1"/>
          <w:rtl w:val="0"/>
        </w:rPr>
        <w:t xml:space="preserve">𝐶</w:t>
      </w:r>
      <w:r>
        <w:rPr>
          <w:rFonts w:ascii="Cambria Math" w:cs="Cambria Math" w:eastAsia="Cambria Math" w:hAnsi="Cambria Math"/>
          <w:b w:val="1"/>
          <w:bCs w:val="1"/>
          <w:vertAlign w:val="superscript"/>
          <w:rtl w:val="0"/>
        </w:rPr>
        <w:t xml:space="preserve">𝑐𝑡𝑟𝑙𝑖</w:t>
      </w:r>
      <w:r>
        <w:rPr>
          <w:b w:val="1"/>
          <w:bCs w:val="1"/>
          <w:rtl w:val="0"/>
        </w:rPr>
        <w:t xml:space="preserve">):</w:t>
      </w:r>
      <w:r>
        <w:rPr>
          <w:rtl w:val="0"/>
        </w:rPr>
        <w:t xml:space="preserve"> The degree to which the risk can be directly influenced by the organization (1 = almost uncontrollable; 5 = highly controllable).</w:t>
      </w:r>
    </w:p>
    <w:p w:rsidR="00000000" w:rsidDel="00000000" w:rsidP="00000000" w:rsidRDefault="00000000" w:rsidRPr="00000000" w14:paraId="000000F4">
      <w:pPr>
        <w:numPr>
          <w:ilvl w:val="0"/>
          <w:numId w:val="9"/>
        </w:numPr>
        <w:ind w:left="720" w:hanging="360"/>
        <w:jc w:val="both"/>
        <w:rPr/>
      </w:pPr>
      <w:r>
        <w:rPr>
          <w:b w:val="1"/>
          <w:bCs w:val="1"/>
          <w:rtl w:val="0"/>
        </w:rPr>
        <w:t xml:space="preserve">Externality (</w:t>
      </w:r>
      <w:r>
        <w:rPr>
          <w:rFonts w:ascii="Cambria Math" w:cs="Cambria Math" w:eastAsia="Cambria Math" w:hAnsi="Cambria Math"/>
          <w:b w:val="1"/>
          <w:bCs w:val="1"/>
          <w:rtl w:val="0"/>
        </w:rPr>
        <w:t xml:space="preserve">𝐶</w:t>
      </w:r>
      <w:r>
        <w:rPr>
          <w:rFonts w:ascii="Cambria Math" w:cs="Cambria Math" w:eastAsia="Cambria Math" w:hAnsi="Cambria Math"/>
          <w:b w:val="1"/>
          <w:bCs w:val="1"/>
          <w:vertAlign w:val="superscript"/>
          <w:rtl w:val="0"/>
        </w:rPr>
        <w:t xml:space="preserve">𝑒𝑥𝑡𝑖</w:t>
      </w:r>
      <w:r>
        <w:rPr>
          <w:b w:val="1"/>
          <w:bCs w:val="1"/>
          <w:rtl w:val="0"/>
        </w:rPr>
        <w:t xml:space="preserve">):</w:t>
      </w:r>
      <w:r>
        <w:rPr>
          <w:rtl w:val="0"/>
        </w:rPr>
        <w:t xml:space="preserve"> The degree to which the risk is influenced by the external environment/actions of other parties (1 = low externality; 5 = high externality).</w:t>
      </w:r>
    </w:p>
    <w:p w:rsidR="00000000" w:rsidDel="00000000" w:rsidP="00000000" w:rsidRDefault="00000000" w:rsidRPr="00000000" w14:paraId="000000F5">
      <w:pPr>
        <w:numPr>
          <w:ilvl w:val="0"/>
          <w:numId w:val="9"/>
        </w:numPr>
        <w:ind w:left="720" w:hanging="360"/>
        <w:jc w:val="both"/>
        <w:rPr/>
      </w:pPr>
      <w:r>
        <w:rPr>
          <w:b w:val="1"/>
          <w:bCs w:val="1"/>
          <w:rtl w:val="0"/>
        </w:rPr>
        <w:t xml:space="preserve">Irreversibility (</w:t>
      </w:r>
      <w:r>
        <w:rPr>
          <w:b w:val="1"/>
          <w:bCs w:val="1"/>
        </w:rPr>
        <w:drawing>
          <wp:inline distB="0" distT="0" distL="0" distR="0">
            <wp:extent cx="9525" cy="9525"/>
            <wp:effectExtent b="0" l="0" r="0" t="0"/>
            <wp:docPr id="2052077883"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Fonts w:ascii="Cambria Math" w:cs="Cambria Math" w:eastAsia="Cambria Math" w:hAnsi="Cambria Math"/>
          <w:b w:val="1"/>
          <w:bCs w:val="1"/>
          <w:rtl w:val="0"/>
        </w:rPr>
        <w:t xml:space="preserve">𝐶</w:t>
      </w:r>
      <w:r>
        <w:rPr>
          <w:rFonts w:ascii="Cambria Math" w:cs="Cambria Math" w:eastAsia="Cambria Math" w:hAnsi="Cambria Math"/>
          <w:b w:val="1"/>
          <w:bCs w:val="1"/>
          <w:vertAlign w:val="superscript"/>
          <w:rtl w:val="0"/>
        </w:rPr>
        <w:t xml:space="preserve">𝑖𝑟𝑟𝑖</w:t>
      </w:r>
      <w:r>
        <w:rPr>
          <w:b w:val="1"/>
          <w:bCs w:val="1"/>
          <w:rtl w:val="0"/>
        </w:rPr>
        <w:t xml:space="preserve">):</w:t>
      </w:r>
      <w:r>
        <w:rPr>
          <w:rtl w:val="0"/>
        </w:rPr>
        <w:t xml:space="preserve"> The degree to which consequences are difficult to repair or revert once they occur (1 = reversible; 5 = highly irreversible). </w:t>
      </w:r>
    </w:p>
    <w:p w:rsidR="00000000" w:rsidDel="00000000" w:rsidP="00000000" w:rsidRDefault="00000000" w:rsidRPr="00000000" w14:paraId="000000F6">
      <w:pPr>
        <w:jc w:val="both"/>
        <w:rPr/>
      </w:pPr>
      <w:r>
        <w:rPr>
          <w:i w:val="1"/>
          <w:iCs w:val="1"/>
          <w:rtl w:val="0"/>
        </w:rPr>
        <w:t xml:space="preserve">Note: The direction of these three metrics is not uniform. Higher controllability means "easier to govern," while higher externality and irreversibility mean "harder to govern." Therefore, before forming </w:t>
      </w:r>
      <w:r>
        <w:rPr>
          <w:rFonts w:ascii="Cambria Math" w:cs="Cambria Math" w:eastAsia="Cambria Math" w:hAnsi="Cambria Math"/>
          <w:i w:val="1"/>
          <w:iCs w:val="1"/>
          <w:rtl w:val="0"/>
        </w:rPr>
        <w:t xml:space="preserve">𝑇𝐹𝑖 </w:t>
      </w:r>
      <w:r>
        <w:rPr>
          <w:i w:val="1"/>
          <w:iCs w:val="1"/>
          <w:rtl w:val="0"/>
        </w:rPr>
        <w:t xml:space="preserve">, the direction must be unified to represent "harder to govern equals a higher value."</w:t>
      </w:r>
      <w:r>
        <w:rPr>
          <w:rtl w:val="0"/>
        </w:rPr>
        <w:t xml:space="preserve"> </w:t>
      </w:r>
    </w:p>
    <w:p w:rsidR="00000000" w:rsidDel="00000000" w:rsidP="00000000" w:rsidRDefault="00000000" w:rsidRPr="00000000" w14:paraId="000000F7">
      <w:pPr>
        <w:jc w:val="both"/>
        <w:rPr/>
      </w:pPr>
      <w:r>
        <w:rPr>
          <w:rtl w:val="0"/>
        </w:rPr>
        <w:t xml:space="preserve">2) Unify Direction (Convert Controllability to "Uncontrollability") </w:t>
      </w:r>
    </w:p>
    <w:p w:rsidR="00000000" w:rsidDel="00000000" w:rsidP="00000000" w:rsidRDefault="00000000" w:rsidRPr="00000000" w14:paraId="000000F8">
      <w:pPr>
        <w:jc w:val="both"/>
        <w:rPr/>
      </w:pPr>
      <w:r>
        <w:rPr>
          <w:rtl w:val="0"/>
        </w:rPr>
        <w:t xml:space="preserve">The most intuitive way to reverse controllability is: </w:t>
      </w:r>
    </w:p>
    <w:p w:rsidR="00000000" w:rsidDel="00000000" w:rsidP="00000000" w:rsidRDefault="00000000" w:rsidRPr="00000000" w14:paraId="000000F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i</m:t>
            </m:r>
          </m:sub>
        </m:sSub>
        <m:r>
          <w:rPr>
            <w:rFonts w:ascii="Cambria Math" w:cs="Cambria Math" w:eastAsia="Cambria Math" w:hAnsi="Cambria Math"/>
          </w:rPr>
          <m:t xml:space="preserve">=6-</m:t>
        </m:r>
        <m:sSubSup>
          <m:sSubSupPr>
            <m:ctrlPr>
              <w:rPr>
                <w:rFonts w:ascii="Cambria Math" w:cs="Cambria Math" w:eastAsia="Cambria Math" w:hAnsi="Cambria Math"/>
              </w:rPr>
            </m:ctrlPr>
          </m:sSubSupPr>
          <m:e>
            <m:r>
              <w:rPr>
                <w:rFonts w:ascii="Cambria Math" w:cs="Cambria Math" w:eastAsia="Cambria Math" w:hAnsi="Cambria Math"/>
              </w:rPr>
              <m:t xml:space="preserve">Ｃ</m:t>
            </m:r>
          </m:e>
          <m:sub>
            <m:r>
              <w:rPr>
                <w:rFonts w:ascii="Cambria Math" w:cs="Cambria Math" w:eastAsia="Cambria Math" w:hAnsi="Cambria Math"/>
              </w:rPr>
              <m:t xml:space="preserve">i</m:t>
            </m:r>
          </m:sub>
          <m:sup>
            <m:r>
              <w:rPr>
                <w:rFonts w:ascii="Cambria Math" w:cs="Cambria Math" w:eastAsia="Cambria Math" w:hAnsi="Cambria Math"/>
              </w:rPr>
              <m:t xml:space="preserve">ctrl</m:t>
            </m:r>
          </m:sup>
        </m:sSubSup>
      </m:oMath>
      <w:r>
        <w:rPr>
          <w:rtl w:val="0"/>
        </w:rPr>
      </w:r>
    </w:p>
    <w:p w:rsidR="00000000" w:rsidDel="00000000" w:rsidP="00000000" w:rsidRDefault="00000000" w:rsidRPr="00000000" w14:paraId="000000FA">
      <w:pPr>
        <w:jc w:val="both"/>
        <w:rPr/>
      </w:pPr>
      <w:r>
        <w:rPr>
          <w:rtl w:val="0"/>
        </w:rPr>
        <w:t xml:space="preserve">Where </w:t>
      </w:r>
      <w:r>
        <w:rPr/>
        <w:drawing>
          <wp:inline distB="0" distT="0" distL="0" distR="0">
            <wp:extent cx="9525" cy="9525"/>
            <wp:effectExtent b="0" l="0" r="0" t="0"/>
            <wp:docPr id="2052077884"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Fonts w:ascii="Cambria Math" w:cs="Cambria Math" w:eastAsia="Cambria Math" w:hAnsi="Cambria Math"/>
          <w:rtl w:val="0"/>
        </w:rPr>
        <w:t xml:space="preserve">𝑈𝑖 </w:t>
      </w:r>
      <w:r>
        <w:rPr>
          <w:rtl w:val="0"/>
        </w:rPr>
        <w:t xml:space="preserve">represents "Uncontrollability" (1–5 scale); a higher value indicates greater governance difficulty. </w:t>
      </w:r>
    </w:p>
    <w:p w:rsidR="00000000" w:rsidDel="00000000" w:rsidP="00000000" w:rsidRDefault="00000000" w:rsidRPr="00000000" w14:paraId="000000FB">
      <w:pPr>
        <w:jc w:val="both"/>
        <w:rPr/>
      </w:pPr>
      <w:r>
        <w:rPr>
          <w:rtl w:val="0"/>
        </w:rPr>
        <w:t xml:space="preserve">3) Weighted Integration of Three Dimensions (Form the Difficulty Score) </w:t>
      </w:r>
    </w:p>
    <w:p w:rsidR="00000000" w:rsidDel="00000000" w:rsidP="00000000" w:rsidRDefault="00000000" w:rsidRPr="00000000" w14:paraId="000000FC">
      <w:pPr>
        <w:jc w:val="both"/>
        <w:rPr/>
      </w:pPr>
      <w:r>
        <w:rPr>
          <w:rtl w:val="0"/>
        </w:rPr>
        <w:t xml:space="preserve">Next, synthesize the three difficulty dimensions into a single "governance difficulty score" </w:t>
      </w:r>
      <w:r>
        <w:rPr>
          <w:rFonts w:ascii="Cambria Math" w:cs="Cambria Math" w:eastAsia="Cambria Math" w:hAnsi="Cambria Math"/>
          <w:rtl w:val="0"/>
        </w:rPr>
        <w:t xml:space="preserve">𝑆𝑖</w:t>
      </w:r>
      <w:r>
        <w:rPr>
          <w:rtl w:val="0"/>
        </w:rPr>
        <w:t xml:space="preserve">: </w:t>
      </w:r>
    </w:p>
    <w:p w:rsidR="00000000" w:rsidDel="00000000" w:rsidP="00000000" w:rsidRDefault="00000000" w:rsidRPr="00000000" w14:paraId="000000FD">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2</m:t>
            </m:r>
          </m:sub>
        </m:sSub>
        <m:sSubSup>
          <m:sSubSupPr>
            <m:ctrlPr>
              <w:rPr>
                <w:rFonts w:ascii="Cambria Math" w:cs="Cambria Math" w:eastAsia="Cambria Math" w:hAnsi="Cambria Math"/>
              </w:rPr>
            </m:ctrlPr>
          </m:sSubSupPr>
          <m:e>
            <m:r>
              <w:rPr>
                <w:rFonts w:ascii="Cambria Math" w:cs="Cambria Math" w:eastAsia="Cambria Math" w:hAnsi="Cambria Math"/>
              </w:rPr>
              <m:t xml:space="preserve">Ｃ</m:t>
            </m:r>
          </m:e>
          <m:sub>
            <m:r>
              <w:rPr>
                <w:rFonts w:ascii="Cambria Math" w:cs="Cambria Math" w:eastAsia="Cambria Math" w:hAnsi="Cambria Math"/>
              </w:rPr>
              <m:t xml:space="preserve">i</m:t>
            </m:r>
          </m:sub>
          <m:sup>
            <m:r>
              <w:rPr>
                <w:rFonts w:ascii="Cambria Math" w:cs="Cambria Math" w:eastAsia="Cambria Math" w:hAnsi="Cambria Math"/>
              </w:rPr>
              <m:t xml:space="preserve">ext</m:t>
            </m:r>
          </m:sup>
        </m:sSub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3</m:t>
            </m:r>
          </m:sub>
        </m:sSub>
        <m:sSubSup>
          <m:sSubSupPr>
            <m:ctrlPr>
              <w:rPr>
                <w:rFonts w:ascii="Cambria Math" w:cs="Cambria Math" w:eastAsia="Cambria Math" w:hAnsi="Cambria Math"/>
              </w:rPr>
            </m:ctrlPr>
          </m:sSubSupPr>
          <m:e>
            <m:r>
              <w:rPr>
                <w:rFonts w:ascii="Cambria Math" w:cs="Cambria Math" w:eastAsia="Cambria Math" w:hAnsi="Cambria Math"/>
              </w:rPr>
              <m:t xml:space="preserve">Ｃ</m:t>
            </m:r>
          </m:e>
          <m:sub>
            <m:r>
              <w:rPr>
                <w:rFonts w:ascii="Cambria Math" w:cs="Cambria Math" w:eastAsia="Cambria Math" w:hAnsi="Cambria Math"/>
              </w:rPr>
              <m:t xml:space="preserve">i</m:t>
            </m:r>
          </m:sub>
          <m:sup>
            <m:r>
              <w:rPr>
                <w:rFonts w:ascii="Cambria Math" w:cs="Cambria Math" w:eastAsia="Cambria Math" w:hAnsi="Cambria Math"/>
              </w:rPr>
              <m:t xml:space="preserve">irr</m:t>
            </m:r>
          </m:sup>
        </m:sSubSup>
      </m:oMath>
      <w:r>
        <w:rPr>
          <w:rtl w:val="0"/>
        </w:rPr>
      </w:r>
    </w:p>
    <w:p w:rsidR="00000000" w:rsidDel="00000000" w:rsidP="00000000" w:rsidRDefault="00000000" w:rsidRPr="00000000" w14:paraId="000000FE">
      <w:pPr>
        <w:jc w:val="both"/>
        <w:rPr/>
      </w:pPr>
      <w:r>
        <w:rPr>
          <w:rtl w:val="0"/>
        </w:rPr>
        <w:t xml:space="preserve">Where </w:t>
      </w:r>
      <w:r>
        <w:rPr/>
        <w:drawing>
          <wp:inline distB="0" distT="0" distL="0" distR="0">
            <wp:extent cx="9525" cy="9525"/>
            <wp:effectExtent b="0" l="0" r="0" t="0"/>
            <wp:docPr id="2052077885"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Fonts w:ascii="Times New Roman" w:cs="Times New Roman" w:eastAsia="Times New Roman" w:hAnsi="Times New Roman"/>
          <w:rtl w:val="0"/>
        </w:rPr>
        <w:t xml:space="preserve"> </w:t>
      </w:r>
      <m:oMath>
        <m:sSub>
          <m:sSubPr>
            <m:ctrlPr>
              <w:rPr>
                <w:rFonts w:ascii="Cambria Math" w:cs="Cambria Math" w:eastAsia="Cambria Math" w:hAnsi="Cambria Math"/>
              </w:rPr>
            </m:ctrlPr>
          </m:sSubPr>
          <m:e>
            <m:r>
              <m:t>ω</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3</m:t>
            </m:r>
          </m:sub>
        </m:sSub>
        <m:r>
          <w:rPr>
            <w:rFonts w:ascii="Cambria Math" w:cs="Cambria Math" w:eastAsia="Cambria Math" w:hAnsi="Cambria Math"/>
          </w:rPr>
          <m:t xml:space="preserve">=1</m:t>
        </m:r>
      </m:oMath>
      <w:r>
        <w:rPr>
          <w:rtl w:val="0"/>
        </w:rPr>
        <w:t xml:space="preserve">. If you wish to avoid the debate over weighting for now, equal weights can be used: </w:t>
      </w:r>
    </w:p>
    <w:p w:rsidR="00000000" w:rsidDel="00000000" w:rsidP="00000000" w:rsidRDefault="00000000" w:rsidRPr="00000000" w14:paraId="000000FF">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i</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i</m:t>
                </m:r>
              </m:sub>
            </m:sSub>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Ｃ</m:t>
                </m:r>
              </m:e>
              <m:sub>
                <m:r>
                  <w:rPr>
                    <w:rFonts w:ascii="Cambria Math" w:cs="Cambria Math" w:eastAsia="Cambria Math" w:hAnsi="Cambria Math"/>
                  </w:rPr>
                  <m:t xml:space="preserve">i</m:t>
                </m:r>
              </m:sub>
              <m:sup>
                <m:r>
                  <w:rPr>
                    <w:rFonts w:ascii="Cambria Math" w:cs="Cambria Math" w:eastAsia="Cambria Math" w:hAnsi="Cambria Math"/>
                  </w:rPr>
                  <m:t xml:space="preserve">ext</m:t>
                </m:r>
              </m:sup>
            </m:sSubSup>
            <m:r>
              <w:rPr>
                <w:rFonts w:ascii="Cambria Math" w:cs="Cambria Math" w:eastAsia="Cambria Math" w:hAnsi="Cambria Math"/>
              </w:rPr>
              <m:t xml:space="preserve">+</m:t>
            </m:r>
            <m:sSubSup>
              <m:sSubSupPr>
                <m:ctrlPr>
                  <w:rPr>
                    <w:rFonts w:ascii="Cambria Math" w:cs="Cambria Math" w:eastAsia="Cambria Math" w:hAnsi="Cambria Math"/>
                  </w:rPr>
                </m:ctrlPr>
              </m:sSubSupPr>
              <m:e>
                <m:r>
                  <w:rPr>
                    <w:rFonts w:ascii="Cambria Math" w:cs="Cambria Math" w:eastAsia="Cambria Math" w:hAnsi="Cambria Math"/>
                  </w:rPr>
                  <m:t xml:space="preserve">Ｃ</m:t>
                </m:r>
              </m:e>
              <m:sub>
                <m:r>
                  <w:rPr>
                    <w:rFonts w:ascii="Cambria Math" w:cs="Cambria Math" w:eastAsia="Cambria Math" w:hAnsi="Cambria Math"/>
                  </w:rPr>
                  <m:t xml:space="preserve">i</m:t>
                </m:r>
              </m:sub>
              <m:sup>
                <m:r>
                  <w:rPr>
                    <w:rFonts w:ascii="Cambria Math" w:cs="Cambria Math" w:eastAsia="Cambria Math" w:hAnsi="Cambria Math"/>
                  </w:rPr>
                  <m:t xml:space="preserve">irr</m:t>
                </m:r>
              </m:sup>
            </m:sSubSup>
          </m:num>
          <m:den>
            <m:r>
              <w:rPr>
                <w:rFonts w:ascii="Cambria Math" w:cs="Cambria Math" w:eastAsia="Cambria Math" w:hAnsi="Cambria Math"/>
              </w:rPr>
              <m:t xml:space="preserve">3</m:t>
            </m:r>
          </m:den>
        </m:f>
      </m:oMath>
      <w:r>
        <w:rPr>
          <w:rtl w:val="0"/>
        </w:rPr>
      </w:r>
    </w:p>
    <w:p w:rsidR="00000000" w:rsidDel="00000000" w:rsidP="00000000" w:rsidRDefault="00000000" w:rsidRPr="00000000" w14:paraId="00000100">
      <w:pPr>
        <w:jc w:val="both"/>
        <w:rPr/>
      </w:pPr>
      <w:r>
        <w:rPr>
          <w:rtl w:val="0"/>
        </w:rPr>
        <w:t xml:space="preserve">The governance semantics of this step are: for the same risk burden, the higher the uncontrollability, externality, and irreversibility, the higher the governance difficulty. </w:t>
      </w:r>
    </w:p>
    <w:p w:rsidR="00000000" w:rsidDel="00000000" w:rsidP="00000000" w:rsidRDefault="00000000" w:rsidRPr="00000000" w14:paraId="00000101">
      <w:pPr>
        <w:jc w:val="both"/>
        <w:rPr/>
      </w:pPr>
      <w:r>
        <w:rPr>
          <w:rtl w:val="0"/>
        </w:rPr>
        <w:t xml:space="preserve">4) Translate from Score to "Correction Factor" </w:t>
      </w:r>
      <w:r>
        <w:rPr>
          <w:rFonts w:ascii="Cambria Math" w:cs="Cambria Math" w:eastAsia="Cambria Math" w:hAnsi="Cambria Math"/>
          <w:rtl w:val="0"/>
        </w:rPr>
        <w:t xml:space="preserve">𝑇𝐹𝑖 </w:t>
      </w:r>
      <w:r>
        <w:rPr>
          <w:rtl w:val="0"/>
        </w:rPr>
        <w:t xml:space="preserve"> Finally, translate </w:t>
      </w:r>
      <w:r>
        <w:rPr>
          <w:rFonts w:ascii="Cambria Math" w:cs="Cambria Math" w:eastAsia="Cambria Math" w:hAnsi="Cambria Math"/>
          <w:rtl w:val="0"/>
        </w:rPr>
        <w:t xml:space="preserve">𝑆𝑖 </w:t>
      </w:r>
      <w:r>
        <w:rPr>
          <w:rtl w:val="0"/>
        </w:rPr>
        <w:t xml:space="preserve">into a coefficient </w:t>
      </w:r>
      <w:r>
        <w:rPr>
          <w:rFonts w:ascii="Cambria Math" w:cs="Cambria Math" w:eastAsia="Cambria Math" w:hAnsi="Cambria Math"/>
          <w:rtl w:val="0"/>
        </w:rPr>
        <w:t xml:space="preserve">𝑇𝐹𝑖 </w:t>
      </w:r>
      <w:r>
        <w:rPr>
          <w:rtl w:val="0"/>
        </w:rPr>
        <w:t xml:space="preserve">that can be used for multiplicative correction. There are two methods to choose from; Method A is generally recommended first: </w:t>
      </w:r>
    </w:p>
    <w:p w:rsidR="00000000" w:rsidDel="00000000" w:rsidP="00000000" w:rsidRDefault="00000000" w:rsidRPr="00000000" w14:paraId="00000102">
      <w:pPr>
        <w:jc w:val="both"/>
        <w:rPr/>
      </w:pPr>
      <w:r>
        <w:rPr>
          <w:b w:val="1"/>
          <w:bCs w:val="1"/>
          <w:rtl w:val="0"/>
        </w:rPr>
        <w:t xml:space="preserve">Option A: Linear Mapping</w:t>
      </w:r>
      <w:r>
        <w:rPr>
          <w:rtl w:val="0"/>
        </w:rPr>
        <w:t xml:space="preserve"> </w:t>
      </w:r>
    </w:p>
    <w:p w:rsidR="00000000" w:rsidDel="00000000" w:rsidP="00000000" w:rsidRDefault="00000000" w:rsidRPr="00000000" w14:paraId="00000103">
      <w:pPr>
        <w:ind w:firstLine="480"/>
        <w:jc w:val="center"/>
        <w:rPr>
          <w:rFonts w:ascii="Times New Roman" w:cs="Times New Roman" w:eastAsia="Times New Roman" w:hAnsi="Times New Roman"/>
        </w:rPr>
      </w:pPr>
      <w:r>
        <w:rPr/>
        <w:drawing>
          <wp:inline distB="0" distT="0" distL="0" distR="0">
            <wp:extent cx="9525" cy="9525"/>
            <wp:effectExtent b="0" l="0" r="0" t="0"/>
            <wp:docPr id="2052077886"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m:oMath>
        <m:sSub>
          <m:sSubPr>
            <m:ctrlPr>
              <w:rPr>
                <w:rFonts w:ascii="Cambria Math" w:cs="Cambria Math" w:eastAsia="Cambria Math" w:hAnsi="Cambria Math"/>
              </w:rPr>
            </m:ctrlPr>
          </m:sSubPr>
          <m:e>
            <m:r>
              <w:rPr>
                <w:rFonts w:ascii="Cambria Math" w:cs="Cambria Math" w:eastAsia="Cambria Math" w:hAnsi="Cambria Math"/>
              </w:rPr>
              <m:t xml:space="preserve">TF</m:t>
            </m:r>
          </m:e>
          <m:sub>
            <m:r>
              <w:rPr>
                <w:rFonts w:ascii="Cambria Math" w:cs="Cambria Math" w:eastAsia="Cambria Math" w:hAnsi="Cambria Math"/>
              </w:rPr>
              <m:t xml:space="preserve">i</m:t>
            </m:r>
          </m:sub>
        </m:sSub>
        <m:r>
          <w:rPr>
            <w:rFonts w:ascii="Cambria Math" w:cs="Cambria Math" w:eastAsia="Cambria Math" w:hAnsi="Cambria Math"/>
          </w:rPr>
          <m:t xml:space="preserve">=1+</m:t>
        </m:r>
        <m:r>
          <w:rPr>
            <w:rFonts w:ascii="Cambria Math" w:cs="Cambria Math" w:eastAsia="Cambria Math" w:hAnsi="Cambria Math"/>
          </w:rPr>
          <m:t>α</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i</m:t>
                </m:r>
              </m:sub>
            </m:sSub>
            <m:r>
              <w:rPr>
                <w:rFonts w:ascii="Cambria Math" w:cs="Cambria Math" w:eastAsia="Cambria Math" w:hAnsi="Cambria Math"/>
              </w:rPr>
              <m:t xml:space="preserve">-1</m:t>
            </m:r>
          </m:e>
        </m:d>
      </m:oMath>
      <w:r>
        <w:rPr>
          <w:rtl w:val="0"/>
        </w:rPr>
      </w:r>
    </w:p>
    <w:p w:rsidR="00000000" w:rsidDel="00000000" w:rsidP="00000000" w:rsidRDefault="00000000" w:rsidRPr="00000000" w14:paraId="00000104">
      <w:pPr>
        <w:jc w:val="both"/>
        <w:rPr/>
      </w:pPr>
      <w:r>
        <w:rPr>
          <w:rtl w:val="0"/>
        </w:rPr>
        <w:t xml:space="preserve">Where </w:t>
      </w:r>
      <m:oMath>
        <m:r>
          <w:rPr>
            <w:rFonts w:ascii="Cambria Math" w:cs="Cambria Math" w:eastAsia="Cambria Math" w:hAnsi="Cambria Math"/>
          </w:rPr>
          <m:t xml:space="preserve">α&gt;0 </m:t>
        </m:r>
      </m:oMath>
      <w:r>
        <w:rPr>
          <w:rtl w:val="0"/>
        </w:rPr>
        <w:t xml:space="preserve">is a sensitivity parameter (defined by the organization during Setup). This formula ensures that: </w:t>
      </w:r>
    </w:p>
    <w:p w:rsidR="00000000" w:rsidDel="00000000" w:rsidP="00000000" w:rsidRDefault="00000000" w:rsidRPr="00000000" w14:paraId="00000105">
      <w:pPr>
        <w:numPr>
          <w:ilvl w:val="0"/>
          <w:numId w:val="10"/>
        </w:numPr>
        <w:ind w:left="720" w:hanging="360"/>
        <w:jc w:val="both"/>
        <w:rPr/>
      </w:pPr>
      <w:r>
        <w:rPr>
          <w:rtl w:val="0"/>
        </w:rPr>
        <w:t xml:space="preserve">When </w:t>
      </w:r>
      <w:r>
        <w:rPr>
          <w:rFonts w:ascii="Cambria Math" w:cs="Cambria Math" w:eastAsia="Cambria Math" w:hAnsi="Cambria Math"/>
          <w:rtl w:val="0"/>
        </w:rPr>
        <w:t xml:space="preserve">𝑆𝑖</w:t>
      </w:r>
      <w:r>
        <w:rPr>
          <w:rtl w:val="0"/>
        </w:rPr>
        <w:t xml:space="preserve">=1 (easiest to govern), </w:t>
      </w:r>
      <w:r>
        <w:rPr>
          <w:rFonts w:ascii="Cambria Math" w:cs="Cambria Math" w:eastAsia="Cambria Math" w:hAnsi="Cambria Math"/>
          <w:rtl w:val="0"/>
        </w:rPr>
        <w:t xml:space="preserve">𝑇𝐹𝑖</w:t>
      </w:r>
      <w:r>
        <w:rPr>
          <w:rtl w:val="0"/>
        </w:rPr>
        <w:t xml:space="preserve">=1;</w:t>
      </w:r>
    </w:p>
    <w:p w:rsidR="00000000" w:rsidDel="00000000" w:rsidP="00000000" w:rsidRDefault="00000000" w:rsidRPr="00000000" w14:paraId="00000106">
      <w:pPr>
        <w:numPr>
          <w:ilvl w:val="0"/>
          <w:numId w:val="10"/>
        </w:numPr>
        <w:ind w:left="720" w:hanging="360"/>
        <w:jc w:val="both"/>
        <w:rPr/>
      </w:pPr>
      <w:r>
        <w:rPr/>
        <w:drawing>
          <wp:inline distB="0" distT="0" distL="0" distR="0">
            <wp:extent cx="9525" cy="9525"/>
            <wp:effectExtent b="0" l="0" r="0" t="0"/>
            <wp:docPr id="2052077857"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Fonts w:ascii="Cambria Math" w:cs="Cambria Math" w:eastAsia="Cambria Math" w:hAnsi="Cambria Math"/>
          <w:rtl w:val="0"/>
        </w:rPr>
        <w:t xml:space="preserve">𝑇𝐹𝑖 </w:t>
      </w:r>
      <w:r>
        <w:rPr>
          <w:rtl w:val="0"/>
        </w:rPr>
        <w:t xml:space="preserve">increases linearly as </w:t>
      </w:r>
      <w:r>
        <w:rPr>
          <w:rFonts w:ascii="Cambria Math" w:cs="Cambria Math" w:eastAsia="Cambria Math" w:hAnsi="Cambria Math"/>
          <w:rtl w:val="0"/>
        </w:rPr>
        <w:t xml:space="preserve">𝑆𝑖 </w:t>
      </w:r>
      <w:r>
        <w:rPr>
          <w:rtl w:val="0"/>
        </w:rPr>
        <w:t xml:space="preserve">increases;</w:t>
      </w:r>
    </w:p>
    <w:p w:rsidR="00000000" w:rsidDel="00000000" w:rsidP="00000000" w:rsidRDefault="00000000" w:rsidRPr="00000000" w14:paraId="00000107">
      <w:pPr>
        <w:numPr>
          <w:ilvl w:val="0"/>
          <w:numId w:val="10"/>
        </w:numPr>
        <w:ind w:left="720" w:hanging="360"/>
        <w:jc w:val="both"/>
        <w:rPr/>
      </w:pPr>
      <w:r>
        <w:rPr>
          <w:rtl w:val="0"/>
        </w:rPr>
        <w:t xml:space="preserve">Prevents value explosion from extreme inputs. </w:t>
      </w:r>
    </w:p>
    <w:p w:rsidR="00000000" w:rsidDel="00000000" w:rsidP="00000000" w:rsidRDefault="00000000" w:rsidRPr="00000000" w14:paraId="00000108">
      <w:pPr>
        <w:jc w:val="both"/>
        <w:rPr/>
      </w:pPr>
      <w:r>
        <w:rPr>
          <w:b w:val="1"/>
          <w:bCs w:val="1"/>
          <w:rtl w:val="0"/>
        </w:rPr>
        <w:t xml:space="preserve">Option B: Non-linear Mapping (Use to emphasize rapidly worsening "difficult risks")</w:t>
      </w:r>
      <w:r>
        <w:rPr>
          <w:rtl w:val="0"/>
        </w:rPr>
        <w:t xml:space="preserve"> </w:t>
      </w:r>
    </w:p>
    <w:p w:rsidR="00000000" w:rsidDel="00000000" w:rsidP="00000000" w:rsidRDefault="00000000" w:rsidRPr="00000000" w14:paraId="0000010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TF</m:t>
            </m:r>
          </m:e>
          <m:sub>
            <m:r>
              <w:rPr>
                <w:rFonts w:ascii="Cambria Math" w:cs="Cambria Math" w:eastAsia="Cambria Math" w:hAnsi="Cambria Math"/>
              </w:rPr>
              <m:t xml:space="preserve">i</m:t>
            </m:r>
          </m:sub>
        </m:sSub>
        <m:r>
          <w:rPr>
            <w:rFonts w:ascii="Cambria Math" w:cs="Cambria Math" w:eastAsia="Cambria Math" w:hAnsi="Cambria Math"/>
          </w:rPr>
          <m:t xml:space="preserve">=exp</m:t>
        </m:r>
        <m:d>
          <m:dPr>
            <m:begChr m:val="("/>
            <m:endChr m:val=")"/>
            <m:ctrlPr>
              <w:rPr>
                <w:rFonts w:ascii="Cambria Math" w:cs="Cambria Math" w:eastAsia="Cambria Math" w:hAnsi="Cambria Math"/>
              </w:rPr>
            </m:ctrlPr>
          </m:dPr>
          <m:e>
            <m:r>
              <w:rPr>
                <w:rFonts w:ascii="Cambria Math" w:cs="Cambria Math" w:eastAsia="Cambria Math" w:hAnsi="Cambria Math"/>
              </w:rPr>
              <m:t>α</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i</m:t>
                    </m:r>
                  </m:sub>
                </m:sSub>
                <m:r>
                  <w:rPr>
                    <w:rFonts w:ascii="Cambria Math" w:cs="Cambria Math" w:eastAsia="Cambria Math" w:hAnsi="Cambria Math"/>
                  </w:rPr>
                  <m:t xml:space="preserve">-1</m:t>
                </m:r>
              </m:e>
            </m:d>
          </m:e>
        </m:d>
      </m:oMath>
      <w:r>
        <w:rPr>
          <w:rtl w:val="0"/>
        </w:rPr>
      </w:r>
    </w:p>
    <w:p w:rsidR="00000000" w:rsidDel="00000000" w:rsidP="00000000" w:rsidRDefault="00000000" w:rsidRPr="00000000" w14:paraId="0000010A">
      <w:pPr>
        <w:jc w:val="both"/>
        <w:rPr/>
      </w:pPr>
      <w:r>
        <w:rPr>
          <w:rtl w:val="0"/>
        </w:rPr>
        <w:t xml:space="preserve">This method amplifies the differences for high-difficulty risks and is more likely to prompt questions about whether the magnitude is "too extreme." </w:t>
      </w:r>
    </w:p>
    <w:p w:rsidR="00000000" w:rsidDel="00000000" w:rsidP="00000000" w:rsidRDefault="00000000" w:rsidRPr="00000000" w14:paraId="0000010B">
      <w:pPr>
        <w:jc w:val="both"/>
        <w:rPr/>
      </w:pPr>
      <w:r>
        <w:rPr>
          <w:rtl w:val="0"/>
        </w:rPr>
        <w:t xml:space="preserve">This model uses the three dimensions of controllability, externality, and irreversibility to score risk governance difficulty. It first reverses controllability to uncontrollability, then uses weighting to form the governance difficulty score </w:t>
      </w:r>
      <w:r>
        <w:rPr>
          <w:rFonts w:ascii="Cambria Math" w:cs="Cambria Math" w:eastAsia="Cambria Math" w:hAnsi="Cambria Math"/>
          <w:rtl w:val="0"/>
        </w:rPr>
        <w:t xml:space="preserve">𝑆𝑖 </w:t>
      </w:r>
      <w:r>
        <w:rPr>
          <w:rtl w:val="0"/>
        </w:rPr>
        <w:t xml:space="preserve">, and finally translates this into the Typology Factor </w:t>
      </w:r>
      <w:r>
        <w:rPr>
          <w:rFonts w:ascii="Cambria Math" w:cs="Cambria Math" w:eastAsia="Cambria Math" w:hAnsi="Cambria Math"/>
          <w:rtl w:val="0"/>
        </w:rPr>
        <w:t xml:space="preserve">𝑇𝐹𝑖 </w:t>
      </w:r>
      <w:r>
        <w:rPr>
          <w:rtl w:val="0"/>
        </w:rPr>
        <w:t xml:space="preserve">via a mapping function. Therefore, </w:t>
      </w:r>
      <w:r>
        <w:rPr>
          <w:rFonts w:ascii="Cambria Math" w:cs="Cambria Math" w:eastAsia="Cambria Math" w:hAnsi="Cambria Math"/>
          <w:rtl w:val="0"/>
        </w:rPr>
        <w:t xml:space="preserve">𝑇𝐹𝑖 </w:t>
      </w:r>
      <w:r>
        <w:rPr>
          <w:rtl w:val="0"/>
        </w:rPr>
        <w:t xml:space="preserve">possesses the operational characteristics of being repeatable, comparable, and calibratable. </w:t>
      </w:r>
    </w:p>
    <w:p w:rsidR="00000000" w:rsidDel="00000000" w:rsidP="00000000" w:rsidRDefault="00000000" w:rsidRPr="00000000" w14:paraId="0000010C">
      <w:pPr>
        <w:jc w:val="both"/>
        <w:rPr>
          <w:b w:val="1"/>
          <w:bCs w:val="1"/>
        </w:rPr>
      </w:pPr>
      <w:r>
        <w:rPr>
          <w:b w:val="1"/>
          <w:bCs w:val="1"/>
          <w:rtl w:val="0"/>
        </w:rPr>
        <w:t xml:space="preserve">Residual Exposure (RE) </w:t>
      </w:r>
    </w:p>
    <w:p w:rsidR="00000000" w:rsidDel="00000000" w:rsidP="00000000" w:rsidRDefault="00000000" w:rsidRPr="00000000" w14:paraId="0000010D">
      <w:pPr>
        <w:jc w:val="both"/>
        <w:rPr/>
      </w:pPr>
      <w:r>
        <w:rPr>
          <w:rtl w:val="0"/>
        </w:rPr>
        <w:t xml:space="preserve">After defining Expected Loss (</w:t>
      </w:r>
      <w:r>
        <w:rPr>
          <w:rFonts w:ascii="Cambria Math" w:cs="Cambria Math" w:eastAsia="Cambria Math" w:hAnsi="Cambria Math"/>
          <w:rtl w:val="0"/>
        </w:rPr>
        <w:t xml:space="preserve">𝐿𝑒𝑥𝑝</w:t>
      </w:r>
      <w:r>
        <w:rPr>
          <w:rtl w:val="0"/>
        </w:rPr>
        <w:t xml:space="preserve">) and Governance Coverage (</w:t>
      </w:r>
      <w:r>
        <w:rPr>
          <w:rFonts w:ascii="Cambria Math" w:cs="Cambria Math" w:eastAsia="Cambria Math" w:hAnsi="Cambria Math"/>
          <w:rtl w:val="0"/>
        </w:rPr>
        <w:t xml:space="preserve">𝐶</w:t>
      </w:r>
      <w:r>
        <w:rPr>
          <w:rtl w:val="0"/>
        </w:rPr>
        <w:t xml:space="preserve">), the model must address a core, unavoidable question in governance practice: after governance resources have been deployed, how much risk burden does the organization actually still bear? This issue is expressed by </w:t>
      </w:r>
      <w:r>
        <w:rPr>
          <w:b w:val="1"/>
          <w:bCs w:val="1"/>
          <w:rtl w:val="0"/>
        </w:rPr>
        <w:t xml:space="preserve">Residual Exposure (RE)</w:t>
      </w:r>
      <w:r>
        <w:rPr>
          <w:rtl w:val="0"/>
        </w:rPr>
        <w:t xml:space="preserve">. </w:t>
      </w:r>
    </w:p>
    <w:p w:rsidR="00000000" w:rsidDel="00000000" w:rsidP="00000000" w:rsidRDefault="00000000" w:rsidRPr="00000000" w14:paraId="0000010E">
      <w:pPr>
        <w:jc w:val="both"/>
        <w:rPr/>
      </w:pPr>
      <w:r>
        <w:rPr>
          <w:rtl w:val="0"/>
        </w:rPr>
        <w:t xml:space="preserve">In this model, RE is defined as: the risk burden that remains unmitigated after governance intervention—given the established governance tempo—and whose consequences must be assumed by the organization. It is essential to emphasize that residual exposure is not synonymous with governance failure; under the premise of limited resources, residual exposure represents the inevitable boundary of responsibility left by governance. </w:t>
      </w:r>
    </w:p>
    <w:p w:rsidR="00000000" w:rsidDel="00000000" w:rsidP="00000000" w:rsidRDefault="00000000" w:rsidRPr="00000000" w14:paraId="0000010F">
      <w:pPr>
        <w:jc w:val="both"/>
        <w:rPr/>
      </w:pPr>
      <w:r>
        <w:rPr>
          <w:rtl w:val="0"/>
        </w:rPr>
        <w:t xml:space="preserve">Mathematically, this model starts from the governed single-period probability (𝑃𝑔𝑜𝑣) and introduces the time pressure coefficient as a correction that reflects governance realities: </w:t>
      </w:r>
    </w:p>
    <w:p w:rsidR="00000000" w:rsidDel="00000000" w:rsidP="00000000" w:rsidRDefault="00000000" w:rsidRPr="00000000" w14:paraId="00000111">
      <w:pPr>
        <w:numPr>
          <w:ilvl w:val="0"/>
          <w:numId w:val="12"/>
        </w:numPr>
        <w:ind w:left="720" w:hanging="360"/>
        <w:jc w:val="both"/>
        <w:rPr/>
      </w:pPr>
      <w:r>
        <w:rPr>
          <w:b w:val="1"/>
          <w:bCs w:val="1"/>
          <w:rtl w:val="0"/>
        </w:rPr>
        <w:t xml:space="preserve">Time Pressure Coefficient (</w:t>
      </w:r>
      <w:r>
        <w:rPr>
          <w:rFonts w:ascii="Cambria Math" w:cs="Cambria Math" w:eastAsia="Cambria Math" w:hAnsi="Cambria Math"/>
          <w:b w:val="1"/>
          <w:bCs w:val="1"/>
          <w:rtl w:val="0"/>
        </w:rPr>
        <w:t xml:space="preserve">𝜏</w:t>
      </w:r>
      <w:r>
        <w:rPr>
          <w:b w:val="1"/>
          <w:bCs w:val="1"/>
          <w:rtl w:val="0"/>
        </w:rPr>
        <w:t xml:space="preserve">):</w:t>
      </w:r>
      <w:r>
        <w:rPr>
          <w:rtl w:val="0"/>
        </w:rPr>
        <w:t xml:space="preserve"> Reflects the adjustment in governance difficulty caused by the decision cycle and governance rhythm (the more urgent the timeframe, the higher the governance load). </w:t>
      </w:r>
    </w:p>
    <w:p w:rsidR="00000000" w:rsidDel="00000000" w:rsidP="00000000" w:rsidRDefault="00000000" w:rsidRPr="00000000" w14:paraId="00000112">
      <w:pPr>
        <w:jc w:val="both"/>
        <w:rPr/>
      </w:pPr>
      <w:r>
        <w:rPr>
          <w:rtl w:val="0"/>
        </w:rPr>
        <w:t xml:space="preserve">Under this configuration, the formula for Residual Exposure is: </w:t>
      </w:r>
    </w:p>
    <w:p w:rsidR="00000000" w:rsidDel="00000000" w:rsidP="00000000" w:rsidRDefault="00000000" w:rsidRPr="00000000" w14:paraId="00000113">
      <w:pPr>
        <w:jc w:val="both"/>
        <w:rPr/>
      </w:pPr>
      <w:r>
        <w:rPr/>
        <w:drawing>
          <wp:inline distB="0" distT="0" distL="0" distR="0">
            <wp:extent cx="9525" cy="9525"/>
            <wp:effectExtent b="0" l="0" r="0" t="0"/>
            <wp:docPr id="2052077858"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tl w:val="0"/>
        </w:rPr>
      </w:r>
    </w:p>
    <w:p w:rsidR="00000000" w:rsidDel="00000000" w:rsidP="00000000" w:rsidRDefault="00000000" w:rsidRPr="00000000" w14:paraId="00000114">
      <w:pPr>
        <w:jc w:val="center"/>
        <w:rPr>
          <w:rFonts w:ascii="Cambria Math" w:cs="Cambria Math" w:eastAsia="Cambria Math" w:hAnsi="Cambria Math"/>
        </w:rPr>
      </w:pPr>
      <m:oMath>
        <m:r>
          <m:t>R</m:t>
        </m:r>
        <m:r>
          <m:t>E</m:t>
        </m:r>
        <m:r>
          <m:rPr>
            <m:sty m:val="p"/>
          </m:rPr>
          <m:t>=</m:t>
        </m:r>
        <m:r>
          <m:t>I</m:t>
        </m:r>
        <m:r>
          <m:rPr>
            <m:sty m:val="p"/>
          </m:rPr>
          <m:t>×</m:t>
        </m:r>
        <m:d>
          <m:dPr>
            <m:begChr m:val="["/>
            <m:endChr m:val="]"/>
            <m:grow/>
          </m:dPr>
          <m:e>
            <m:r>
              <m:t>1</m:t>
            </m:r>
            <m:r>
              <m:rPr>
                <m:sty m:val="p"/>
              </m:rPr>
              <m:t>−</m:t>
            </m:r>
            <m:sSup>
              <m:e>
                <m:d>
                  <m:dPr>
                    <m:begChr m:val="("/>
                    <m:endChr m:val=")"/>
                    <m:grow/>
                  </m:dPr>
                  <m:e>
                    <m:r>
                      <m:t>1</m:t>
                    </m:r>
                    <m:r>
                      <m:rPr>
                        <m:sty m:val="p"/>
                      </m:rPr>
                      <m:t>−</m:t>
                    </m:r>
                    <m:sSub>
                      <m:e>
                        <m:r>
                          <m:t>P</m:t>
                        </m:r>
                      </m:e>
                      <m:sub>
                        <m:r>
                          <m:t>g</m:t>
                        </m:r>
                        <m:r>
                          <m:t>o</m:t>
                        </m:r>
                        <m:r>
                          <m:t>v</m:t>
                        </m:r>
                      </m:sub>
                    </m:sSub>
                  </m:e>
                </m:d>
              </m:e>
              <m:sup>
                <m:r>
                  <m:t>N</m:t>
                </m:r>
              </m:sup>
            </m:sSup>
          </m:e>
        </m:d>
        <m:r>
          <m:rPr>
            <m:sty m:val="p"/>
          </m:rPr>
          <m:t>×</m:t>
        </m:r>
        <m:r>
          <m:t>τ</m:t>
        </m:r>
      </m:oMath>
      <w:r>
        <w:rPr>
          <w:rtl w:val="0"/>
        </w:rPr>
      </w:r>
    </w:p>
    <w:p w:rsidR="00000000" w:rsidDel="00000000" w:rsidP="00000000" w:rsidRDefault="00000000" w:rsidRPr="00000000" w14:paraId="00000115">
      <w:pPr>
        <w:jc w:val="both"/>
        <w:rPr/>
      </w:pPr>
      <w:r>
        <w:rPr>
          <w:rtl w:val="0"/>
        </w:rPr>
        <w:t xml:space="preserve">The governance semantics of this formula can be broken down into three parts: </w:t>
      </w:r>
    </w:p>
    <w:p w:rsidR="00000000" w:rsidDel="00000000" w:rsidP="00000000" w:rsidRDefault="00000000" w:rsidRPr="00000000" w14:paraId="00000116">
      <w:pPr>
        <w:numPr>
          <w:ilvl w:val="0"/>
          <w:numId w:val="13"/>
        </w:numPr>
        <w:ind w:left="720" w:hanging="360"/>
        <w:jc w:val="both"/>
        <w:rPr/>
      </w:pPr>
      <w:r>
        <w:rPr>
          <w:rFonts w:ascii="Cambria Math" w:cs="Cambria Math" w:eastAsia="Cambria Math" w:hAnsi="Cambria Math"/>
          <w:b w:val="1"/>
          <w:bCs w:val="1"/>
          <w:rtl w:val="0"/>
        </w:rPr>
        <w:t xml:space="preserve">𝐼×[1−(1−𝑃𝑔𝑜𝑣)</w:t>
      </w:r>
      <w:r>
        <w:rPr>
          <w:rFonts w:ascii="Cambria Math" w:cs="Cambria Math" w:eastAsia="Cambria Math" w:hAnsi="Cambria Math"/>
          <w:b w:val="1"/>
          <w:bCs w:val="1"/>
          <w:rtl w:val="0"/>
          <w:vertAlign w:val="superscript"/>
        </w:rPr>
        <w:t xml:space="preserve">𝑁</w:t>
      </w:r>
      <w:r>
        <w:rPr>
          <w:rFonts w:ascii="Cambria Math" w:cs="Cambria Math" w:eastAsia="Cambria Math" w:hAnsi="Cambria Math"/>
          <w:b w:val="1"/>
          <w:bCs w:val="1"/>
          <w:rtl w:val="0"/>
        </w:rPr>
        <w:t xml:space="preserve">]:</w:t>
      </w:r>
      <w:r>
        <w:rPr>
          <w:rtl w:val="0"/>
        </w:rPr>
        <w:t xml:space="preserve"> The expected loss over 𝑁 decision cycles after governance has acted on the single-period probability; it equals 𝐿𝑒𝑥𝑝 when 𝐶=0.</w:t>
      </w:r>
    </w:p>
    <w:p w:rsidR="00000000" w:rsidDel="00000000" w:rsidP="00000000" w:rsidRDefault="00000000" w:rsidRPr="00000000" w14:paraId="00000118">
      <w:pPr>
        <w:numPr>
          <w:ilvl w:val="0"/>
          <w:numId w:val="13"/>
        </w:numPr>
        <w:ind w:left="720" w:hanging="360"/>
        <w:jc w:val="both"/>
        <w:rPr/>
      </w:pPr>
      <w:r>
        <w:rPr>
          <w:b w:val="1"/>
          <w:bCs w:val="1"/>
        </w:rPr>
        <w:drawing>
          <wp:inline distB="0" distT="0" distL="0" distR="0">
            <wp:extent cx="9525" cy="9525"/>
            <wp:effectExtent b="0" l="0" r="0" t="0"/>
            <wp:docPr id="2052077861"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Fonts w:ascii="Cambria Math" w:cs="Cambria Math" w:eastAsia="Cambria Math" w:hAnsi="Cambria Math"/>
          <w:b w:val="1"/>
          <w:bCs w:val="1"/>
          <w:rtl w:val="0"/>
        </w:rPr>
        <w:t xml:space="preserve">𝜏</w:t>
      </w:r>
      <w:r>
        <w:rPr>
          <w:b w:val="1"/>
          <w:bCs w:val="1"/>
          <w:rtl w:val="0"/>
        </w:rPr>
        <w:t xml:space="preserve">:</w:t>
      </w:r>
      <w:r>
        <w:rPr>
          <w:rtl w:val="0"/>
        </w:rPr>
        <w:t xml:space="preserve"> Translates "governance tempo / time constraints" into a governance load correction; under shorter decision cycles, the governance difficulty is additionally amplified.</w:t>
      </w:r>
    </w:p>
    <w:p w:rsidR="00000000" w:rsidDel="00000000" w:rsidP="00000000" w:rsidRDefault="00000000" w:rsidRPr="00000000" w14:paraId="00000119">
      <w:pPr>
        <w:numPr>
          <w:ilvl w:val="0"/>
          <w:numId w:val="13"/>
        </w:numPr>
        <w:ind w:left="720" w:hanging="360"/>
        <w:jc w:val="both"/>
        <w:rPr/>
      </w:pPr>
      <w:r>
        <w:rPr>
          <w:b w:val="1"/>
          <w:bCs w:val="1"/>
          <w:rtl w:val="0"/>
        </w:rPr>
        <w:t xml:space="preserve">𝐶:</w:t>
      </w:r>
      <w:r>
        <w:rPr>
          <w:rtl w:val="0"/>
        </w:rPr>
        <w:t xml:space="preserve"> Enters through 𝑃𝑔𝑜𝑣, reducing the probability toward 𝑃𝑓𝑙𝑜𝑜𝑟 cycle by cycle; residual exposure therefore never reaches zero while the activity continues. </w:t>
      </w:r>
    </w:p>
    <w:p w:rsidR="00000000" w:rsidDel="00000000" w:rsidP="00000000" w:rsidRDefault="00000000" w:rsidRPr="00000000" w14:paraId="0000011A">
      <w:pPr>
        <w:jc w:val="both"/>
        <w:rPr/>
      </w:pPr>
      <w:r>
        <w:rPr>
          <w:rtl w:val="0"/>
        </w:rPr>
        <w:t xml:space="preserve">Therefore, RE is not simply "baseline risk × unmitigated proportion." Rather, it is the "post-governance risk responsibility that must still be assumed," formed by integrating the impact, the governed probability over the decision horizon, and the time pressure conditions. The typology factor (𝑇𝐹𝑖) is not included in RE; it is applied once, in the typology translation layer, to form 𝑇𝑅𝐸𝑖. RE thus represents the governance outcome of each risk, and 𝑇𝑅𝐸𝑖 the unit used for comparison across risks. </w:t>
      </w:r>
    </w:p>
    <w:p w:rsidR="00000000" w:rsidDel="00000000" w:rsidP="00000000" w:rsidRDefault="00000000" w:rsidRPr="00000000" w14:paraId="0000011B">
      <w:pPr>
        <w:jc w:val="both"/>
        <w:rPr/>
      </w:pPr>
      <w:r>
        <w:rPr>
          <w:rtl w:val="0"/>
        </w:rPr>
        <w:t xml:space="preserve">Typology-adjusted Residual Exposure (</w:t>
      </w:r>
      <w:r>
        <w:rPr>
          <w:rFonts w:ascii="Cambria Math" w:cs="Cambria Math" w:eastAsia="Cambria Math" w:hAnsi="Cambria Math"/>
          <w:rtl w:val="0"/>
        </w:rPr>
        <w:t xml:space="preserve">𝑇𝑅𝐸𝑖</w:t>
      </w:r>
      <w:r>
        <w:rPr>
          <w:rtl w:val="0"/>
        </w:rPr>
        <w:t xml:space="preserve">) </w:t>
      </w:r>
    </w:p>
    <w:p w:rsidR="00000000" w:rsidDel="00000000" w:rsidP="00000000" w:rsidRDefault="00000000" w:rsidRPr="00000000" w14:paraId="0000011C">
      <w:pPr>
        <w:jc w:val="both"/>
        <w:rPr/>
      </w:pPr>
      <w:r>
        <w:rPr>
          <w:rtl w:val="0"/>
        </w:rPr>
        <w:t xml:space="preserve">In a multi-risk governance framework, this model adopts a clear hierarchical logic to process the translation of risk responsibility. The fundamental process is as follows: </w:t>
      </w:r>
    </w:p>
    <w:p w:rsidR="00000000" w:rsidDel="00000000" w:rsidP="00000000" w:rsidRDefault="00000000" w:rsidRPr="00000000" w14:paraId="0000011D">
      <w:pPr>
        <w:jc w:val="both"/>
        <w:rPr/>
      </w:pPr>
      <w:r>
        <w:rPr>
          <w:b w:val="1"/>
          <w:bCs w:val="1"/>
          <w:rtl w:val="0"/>
        </w:rPr>
        <w:t xml:space="preserve">Risk Generation → Governance Intervention → Residual Outcome (</w:t>
      </w:r>
      <w:r>
        <w:rPr>
          <w:rFonts w:ascii="Cambria Math" w:cs="Cambria Math" w:eastAsia="Cambria Math" w:hAnsi="Cambria Math"/>
          <w:b w:val="1"/>
          <w:bCs w:val="1"/>
          <w:rtl w:val="0"/>
        </w:rPr>
        <w:t xml:space="preserve">𝑅𝐸</w:t>
      </w:r>
      <w:r>
        <w:rPr>
          <w:b w:val="1"/>
          <w:bCs w:val="1"/>
          <w:rtl w:val="0"/>
        </w:rPr>
        <w:t xml:space="preserve">) → Typology Translation (</w:t>
      </w:r>
      <w:r>
        <w:rPr>
          <w:rFonts w:ascii="Cambria Math" w:cs="Cambria Math" w:eastAsia="Cambria Math" w:hAnsi="Cambria Math"/>
          <w:b w:val="1"/>
          <w:bCs w:val="1"/>
          <w:rtl w:val="0"/>
        </w:rPr>
        <w:t xml:space="preserve">𝑇𝐹</w:t>
      </w:r>
      <w:r>
        <w:rPr>
          <w:b w:val="1"/>
          <w:bCs w:val="1"/>
          <w:rtl w:val="0"/>
        </w:rPr>
        <w:t xml:space="preserve">) → Decision Unit (</w:t>
      </w:r>
      <w:r>
        <w:rPr>
          <w:rFonts w:ascii="Cambria Math" w:cs="Cambria Math" w:eastAsia="Cambria Math" w:hAnsi="Cambria Math"/>
          <w:b w:val="1"/>
          <w:bCs w:val="1"/>
          <w:rtl w:val="0"/>
        </w:rPr>
        <w:t xml:space="preserve">𝑇𝑅𝐸</w:t>
      </w:r>
      <w:r>
        <w:rPr>
          <w:b w:val="1"/>
          <w:bCs w:val="1"/>
          <w:rtl w:val="0"/>
        </w:rPr>
        <w:t xml:space="preserve">)</w:t>
      </w:r>
      <w:r>
        <w:rPr>
          <w:rtl w:val="0"/>
        </w:rPr>
        <w:t xml:space="preserve"> </w:t>
      </w:r>
    </w:p>
    <w:p w:rsidR="00000000" w:rsidDel="00000000" w:rsidP="00000000" w:rsidRDefault="00000000" w:rsidRPr="00000000" w14:paraId="0000011E">
      <w:pPr>
        <w:jc w:val="both"/>
        <w:rPr/>
      </w:pPr>
      <w:r>
        <w:rPr>
          <w:rtl w:val="0"/>
        </w:rPr>
        <w:t xml:space="preserve">Within this flow, Residual Exposure (</w:t>
      </w:r>
      <w:r>
        <w:rPr>
          <w:rFonts w:ascii="Cambria Math" w:cs="Cambria Math" w:eastAsia="Cambria Math" w:hAnsi="Cambria Math"/>
          <w:rtl w:val="0"/>
        </w:rPr>
        <w:t xml:space="preserve">𝑅𝐸</w:t>
      </w:r>
      <w:r>
        <w:rPr>
          <w:rtl w:val="0"/>
        </w:rPr>
        <w:t xml:space="preserve">) represents the substantive risk outcome that an organization must still bear after governance under given conditions; it belongs to the "governance outcome layer." However, in a governance decision-making context where multiple risks coexist, </w:t>
      </w:r>
      <w:r>
        <w:rPr>
          <w:rFonts w:ascii="Cambria Math" w:cs="Cambria Math" w:eastAsia="Cambria Math" w:hAnsi="Cambria Math"/>
          <w:rtl w:val="0"/>
        </w:rPr>
        <w:t xml:space="preserve">𝑅𝐸 </w:t>
      </w:r>
      <w:r>
        <w:rPr>
          <w:rtl w:val="0"/>
        </w:rPr>
        <w:t xml:space="preserve">alone is insufficient to directly support prioritization, resource allocation, or responsibility comparison, as it does not yet account for the structural governance differences across various risk types. </w:t>
      </w:r>
    </w:p>
    <w:p w:rsidR="00000000" w:rsidDel="00000000" w:rsidP="00000000" w:rsidRDefault="00000000" w:rsidRPr="00000000" w14:paraId="0000011F">
      <w:pPr>
        <w:jc w:val="both"/>
        <w:rPr/>
      </w:pPr>
      <w:r>
        <w:rPr>
          <w:rtl w:val="0"/>
        </w:rPr>
        <w:t xml:space="preserve">Therefore, this model introduces </w:t>
      </w:r>
      <w:r>
        <w:rPr>
          <w:b w:val="1"/>
          <w:bCs w:val="1"/>
          <w:rtl w:val="0"/>
        </w:rPr>
        <w:t xml:space="preserve">Typology-adjusted Residual Exposure (</w:t>
      </w:r>
      <w:r>
        <w:rPr>
          <w:rFonts w:ascii="Cambria Math" w:cs="Cambria Math" w:eastAsia="Cambria Math" w:hAnsi="Cambria Math"/>
          <w:b w:val="1"/>
          <w:bCs w:val="1"/>
          <w:rtl w:val="0"/>
        </w:rPr>
        <w:t xml:space="preserve">𝑇𝑅𝐸𝑖</w:t>
      </w:r>
      <w:r>
        <w:rPr>
          <w:b w:val="1"/>
          <w:bCs w:val="1"/>
          <w:rtl w:val="0"/>
        </w:rPr>
        <w:t xml:space="preserve">)</w:t>
      </w:r>
      <w:r>
        <w:rPr>
          <w:rtl w:val="0"/>
        </w:rPr>
        <w:t xml:space="preserve"> as a decision unit that translates post-governance residual risk outcomes into a format that can be processed consistently by the governance system. </w:t>
      </w:r>
    </w:p>
    <w:p w:rsidR="00000000" w:rsidDel="00000000" w:rsidP="00000000" w:rsidRDefault="00000000" w:rsidRPr="00000000" w14:paraId="00000120">
      <w:pPr>
        <w:jc w:val="both"/>
        <w:rPr/>
      </w:pPr>
      <w:r>
        <w:rPr>
          <w:rtl w:val="0"/>
        </w:rPr>
        <w:t xml:space="preserve">Upon completing the calculation of </w:t>
      </w:r>
      <w:r>
        <w:rPr>
          <w:rFonts w:ascii="Cambria Math" w:cs="Cambria Math" w:eastAsia="Cambria Math" w:hAnsi="Cambria Math"/>
          <w:rtl w:val="0"/>
        </w:rPr>
        <w:t xml:space="preserve">𝑅𝐸𝑖 </w:t>
      </w:r>
      <w:r>
        <w:rPr>
          <w:rtl w:val="0"/>
        </w:rPr>
        <w:t xml:space="preserve">for a single risk item </w:t>
      </w:r>
      <w:r>
        <w:rPr>
          <w:rFonts w:ascii="Cambria Math" w:cs="Cambria Math" w:eastAsia="Cambria Math" w:hAnsi="Cambria Math"/>
          <w:rtl w:val="0"/>
        </w:rPr>
        <w:t xml:space="preserve">𝑖 </w:t>
      </w:r>
      <w:r>
        <w:rPr>
          <w:rtl w:val="0"/>
        </w:rPr>
        <w:t xml:space="preserve">, the model must address an indispensable question in multi-risk governance: after governance, how much attributable risk responsibility does each specific risk impose on the organization? This issue is expressed by </w:t>
      </w:r>
      <w:r>
        <w:rPr>
          <w:rFonts w:ascii="Cambria Math" w:cs="Cambria Math" w:eastAsia="Cambria Math" w:hAnsi="Cambria Math"/>
          <w:rtl w:val="0"/>
        </w:rPr>
        <w:t xml:space="preserve">𝑇𝑅𝐸𝑖</w:t>
      </w:r>
      <w:r>
        <w:rPr>
          <w:rtl w:val="0"/>
        </w:rPr>
        <w:t xml:space="preserve">. For the </w:t>
      </w:r>
      <w:r>
        <w:rPr>
          <w:rFonts w:ascii="Cambria Math" w:cs="Cambria Math" w:eastAsia="Cambria Math" w:hAnsi="Cambria Math"/>
          <w:rtl w:val="0"/>
        </w:rPr>
        <w:t xml:space="preserve">𝑖</w:t>
      </w:r>
      <w:r>
        <w:rPr>
          <w:rtl w:val="0"/>
        </w:rPr>
        <w:t xml:space="preserve">-th risk item, its Typology-adjusted Residual Exposure is defined as: </w:t>
      </w:r>
    </w:p>
    <w:p w:rsidR="00000000" w:rsidDel="00000000" w:rsidP="00000000" w:rsidRDefault="00000000" w:rsidRPr="00000000" w14:paraId="00000121">
      <w:pPr>
        <w:jc w:val="center"/>
        <w:rPr>
          <w:rFonts w:ascii="Cambria Math" w:cs="Cambria Math" w:eastAsia="Cambria Math" w:hAnsi="Cambria Math"/>
          <w:vertAlign w:val="subscript"/>
        </w:rPr>
      </w:pPr>
      <m:oMath>
        <m:sSub>
          <m:sSubPr>
            <m:ctrlPr>
              <w:rPr>
                <w:rFonts w:ascii="Cambria Math" w:cs="Cambria Math" w:eastAsia="Cambria Math" w:hAnsi="Cambria Math"/>
                <w:vertAlign w:val="subscript"/>
              </w:rPr>
            </m:ctrlPr>
          </m:sSubPr>
          <m:e>
            <m:r>
              <w:rPr>
                <w:rFonts w:ascii="Cambria Math" w:cs="Cambria Math" w:eastAsia="Cambria Math" w:hAnsi="Cambria Math"/>
                <w:vertAlign w:val="subscript"/>
              </w:rPr>
              <m:t xml:space="preserve">TRE</m:t>
            </m:r>
          </m:e>
          <m:sub>
            <m:r>
              <w:rPr>
                <w:rFonts w:ascii="Cambria Math" w:cs="Cambria Math" w:eastAsia="Cambria Math" w:hAnsi="Cambria Math"/>
                <w:vertAlign w:val="subscript"/>
              </w:rPr>
              <m:t xml:space="preserve">i</m:t>
            </m:r>
          </m:sub>
        </m:sSub>
        <m:r>
          <w:rPr>
            <w:rFonts w:ascii="Cambria Math" w:cs="Cambria Math" w:eastAsia="Cambria Math" w:hAnsi="Cambria Math"/>
            <w:vertAlign w:val="subscript"/>
          </w:rPr>
          <m:t xml:space="preserve">=</m:t>
        </m:r>
        <m:sSub>
          <m:sSubPr>
            <m:ctrlPr>
              <w:rPr>
                <w:rFonts w:ascii="Cambria Math" w:cs="Cambria Math" w:eastAsia="Cambria Math" w:hAnsi="Cambria Math"/>
                <w:vertAlign w:val="subscript"/>
              </w:rPr>
            </m:ctrlPr>
          </m:sSubPr>
          <m:e>
            <m:r>
              <w:rPr>
                <w:rFonts w:ascii="Cambria Math" w:cs="Cambria Math" w:eastAsia="Cambria Math" w:hAnsi="Cambria Math"/>
                <w:vertAlign w:val="subscript"/>
              </w:rPr>
              <m:t xml:space="preserve">RE</m:t>
            </m:r>
          </m:e>
          <m:sub>
            <m:r>
              <w:rPr>
                <w:rFonts w:ascii="Cambria Math" w:cs="Cambria Math" w:eastAsia="Cambria Math" w:hAnsi="Cambria Math"/>
                <w:vertAlign w:val="subscript"/>
              </w:rPr>
              <m:t xml:space="preserve">i</m:t>
            </m:r>
          </m:sub>
        </m:sSub>
        <m:r>
          <w:rPr>
            <w:rFonts w:ascii="Cambria Math" w:cs="Cambria Math" w:eastAsia="Cambria Math" w:hAnsi="Cambria Math"/>
            <w:vertAlign w:val="subscript"/>
          </w:rPr>
          <m:t xml:space="preserve">*</m:t>
        </m:r>
        <m:sSub>
          <m:sSubPr>
            <m:ctrlPr>
              <w:rPr>
                <w:rFonts w:ascii="Cambria Math" w:cs="Cambria Math" w:eastAsia="Cambria Math" w:hAnsi="Cambria Math"/>
                <w:vertAlign w:val="subscript"/>
              </w:rPr>
            </m:ctrlPr>
          </m:sSubPr>
          <m:e>
            <m:r>
              <w:rPr>
                <w:rFonts w:ascii="Cambria Math" w:cs="Cambria Math" w:eastAsia="Cambria Math" w:hAnsi="Cambria Math"/>
                <w:vertAlign w:val="subscript"/>
              </w:rPr>
              <m:t xml:space="preserve">TF</m:t>
            </m:r>
          </m:e>
          <m:sub>
            <m:r>
              <w:rPr>
                <w:rFonts w:ascii="Cambria Math" w:cs="Cambria Math" w:eastAsia="Cambria Math" w:hAnsi="Cambria Math"/>
                <w:vertAlign w:val="subscript"/>
              </w:rPr>
              <m:t xml:space="preserve">i</m:t>
            </m:r>
          </m:sub>
        </m:sSub>
      </m:oMath>
      <w:r>
        <w:rPr>
          <w:rtl w:val="0"/>
        </w:rPr>
      </w:r>
    </w:p>
    <w:p w:rsidR="00000000" w:rsidDel="00000000" w:rsidP="00000000" w:rsidRDefault="00000000" w:rsidRPr="00000000" w14:paraId="00000122">
      <w:pPr>
        <w:jc w:val="both"/>
        <w:rPr/>
      </w:pPr>
      <w:r>
        <w:rPr>
          <w:rtl w:val="0"/>
        </w:rPr>
        <w:t xml:space="preserve">Where: </w:t>
      </w:r>
    </w:p>
    <w:p w:rsidR="00000000" w:rsidDel="00000000" w:rsidP="00000000" w:rsidRDefault="00000000" w:rsidRPr="00000000" w14:paraId="00000123">
      <w:pPr>
        <w:numPr>
          <w:ilvl w:val="0"/>
          <w:numId w:val="14"/>
        </w:numPr>
        <w:ind w:left="720" w:hanging="360"/>
        <w:jc w:val="both"/>
        <w:rPr/>
      </w:pPr>
      <w:r>
        <w:rPr>
          <w:b w:val="1"/>
          <w:bCs w:val="1"/>
        </w:rPr>
        <w:drawing>
          <wp:inline distB="0" distT="0" distL="0" distR="0">
            <wp:extent cx="9525" cy="9525"/>
            <wp:effectExtent b="0" l="0" r="0" t="0"/>
            <wp:docPr id="2052077863"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Fonts w:ascii="Cambria Math" w:cs="Cambria Math" w:eastAsia="Cambria Math" w:hAnsi="Cambria Math"/>
          <w:b w:val="1"/>
          <w:bCs w:val="1"/>
          <w:rtl w:val="0"/>
        </w:rPr>
        <w:t xml:space="preserve">𝑅𝐸𝑖</w:t>
      </w:r>
      <w:r>
        <w:rPr>
          <w:rtl w:val="0"/>
        </w:rPr>
        <w:t xml:space="preserve">: The residual exposure outcome that must be assumed for the </w:t>
      </w:r>
      <w:r>
        <w:rPr>
          <w:rFonts w:ascii="Cambria Math" w:cs="Cambria Math" w:eastAsia="Cambria Math" w:hAnsi="Cambria Math"/>
          <w:rtl w:val="0"/>
        </w:rPr>
        <w:t xml:space="preserve">𝑖</w:t>
      </w:r>
      <w:r>
        <w:rPr>
          <w:rtl w:val="0"/>
        </w:rPr>
        <w:t xml:space="preserve">-th risk after governance, given established governance tempos and coverage conditions (a </w:t>
      </w:r>
      <w:r>
        <w:rPr>
          <w:b w:val="1"/>
          <w:bCs w:val="1"/>
          <w:rtl w:val="0"/>
        </w:rPr>
        <w:t xml:space="preserve">governance outcome layer</w:t>
      </w:r>
      <w:r>
        <w:rPr>
          <w:rtl w:val="0"/>
        </w:rPr>
        <w:t xml:space="preserve"> variable).</w:t>
      </w:r>
    </w:p>
    <w:p w:rsidR="00000000" w:rsidDel="00000000" w:rsidP="00000000" w:rsidRDefault="00000000" w:rsidRPr="00000000" w14:paraId="00000124">
      <w:pPr>
        <w:numPr>
          <w:ilvl w:val="0"/>
          <w:numId w:val="14"/>
        </w:numPr>
        <w:ind w:left="720" w:hanging="360"/>
        <w:jc w:val="both"/>
        <w:rPr/>
      </w:pPr>
      <w:r>
        <w:rPr>
          <w:b w:val="1"/>
          <w:bCs w:val="1"/>
        </w:rPr>
        <w:drawing>
          <wp:inline distB="0" distT="0" distL="0" distR="0">
            <wp:extent cx="9525" cy="9525"/>
            <wp:effectExtent b="0" l="0" r="0" t="0"/>
            <wp:docPr id="2052077864"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Fonts w:ascii="Cambria Math" w:cs="Cambria Math" w:eastAsia="Cambria Math" w:hAnsi="Cambria Math"/>
          <w:b w:val="1"/>
          <w:bCs w:val="1"/>
          <w:rtl w:val="0"/>
        </w:rPr>
        <w:t xml:space="preserve">𝑇𝐹𝑖</w:t>
      </w:r>
      <w:r>
        <w:rPr>
          <w:rtl w:val="0"/>
        </w:rPr>
        <w:t xml:space="preserve">: The Typology Factor used to reflect differences in governance difficulty arising from the risk's structural characteristics, such as controllability, externality, and irreversibility (a </w:t>
      </w:r>
      <w:r>
        <w:rPr>
          <w:b w:val="1"/>
          <w:bCs w:val="1"/>
          <w:rtl w:val="0"/>
        </w:rPr>
        <w:t xml:space="preserve">typology structure layer</w:t>
      </w:r>
      <w:r>
        <w:rPr>
          <w:rtl w:val="0"/>
        </w:rPr>
        <w:t xml:space="preserve"> variable).</w:t>
      </w:r>
    </w:p>
    <w:p w:rsidR="00000000" w:rsidDel="00000000" w:rsidP="00000000" w:rsidRDefault="00000000" w:rsidRPr="00000000" w14:paraId="00000125">
      <w:pPr>
        <w:numPr>
          <w:ilvl w:val="0"/>
          <w:numId w:val="14"/>
        </w:numPr>
        <w:ind w:left="720" w:hanging="360"/>
        <w:jc w:val="both"/>
        <w:rPr/>
      </w:pPr>
      <w:r>
        <w:rPr>
          <w:b w:val="1"/>
          <w:bCs w:val="1"/>
        </w:rPr>
        <w:drawing>
          <wp:inline distB="0" distT="0" distL="0" distR="0">
            <wp:extent cx="9525" cy="9525"/>
            <wp:effectExtent b="0" l="0" r="0" t="0"/>
            <wp:docPr id="2052077865"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Fonts w:ascii="Cambria Math" w:cs="Cambria Math" w:eastAsia="Cambria Math" w:hAnsi="Cambria Math"/>
          <w:b w:val="1"/>
          <w:bCs w:val="1"/>
          <w:rtl w:val="0"/>
        </w:rPr>
        <w:t xml:space="preserve">𝑇𝑅𝐸𝑖</w:t>
      </w:r>
      <w:r>
        <w:rPr>
          <w:rtl w:val="0"/>
        </w:rPr>
        <w:t xml:space="preserve">: The risk responsibility unit available for multi-risk governance decision-making after typology translation (a </w:t>
      </w:r>
      <w:r>
        <w:rPr>
          <w:b w:val="1"/>
          <w:bCs w:val="1"/>
          <w:rtl w:val="0"/>
        </w:rPr>
        <w:t xml:space="preserve">decision interface layer</w:t>
      </w:r>
      <w:r>
        <w:rPr>
          <w:rtl w:val="0"/>
        </w:rPr>
        <w:t xml:space="preserve"> variable). </w:t>
      </w:r>
    </w:p>
    <w:p w:rsidR="00000000" w:rsidDel="00000000" w:rsidP="00000000" w:rsidRDefault="00000000" w:rsidRPr="00000000" w14:paraId="00000126">
      <w:pPr>
        <w:jc w:val="both"/>
        <w:rPr/>
      </w:pPr>
      <w:r>
        <w:rPr>
          <w:rtl w:val="0"/>
        </w:rPr>
        <w:t xml:space="preserve">The governance semantics of this definition can be summarized as follows: </w:t>
      </w:r>
    </w:p>
    <w:p w:rsidR="00000000" w:rsidDel="00000000" w:rsidP="00000000" w:rsidRDefault="00000000" w:rsidRPr="00000000" w14:paraId="00000127">
      <w:pPr>
        <w:numPr>
          <w:ilvl w:val="0"/>
          <w:numId w:val="15"/>
        </w:numPr>
        <w:ind w:left="720" w:hanging="360"/>
        <w:jc w:val="both"/>
        <w:rPr/>
      </w:pPr>
      <w:r>
        <w:rPr/>
        <w:drawing>
          <wp:inline distB="0" distT="0" distL="0" distR="0">
            <wp:extent cx="9525" cy="9525"/>
            <wp:effectExtent b="0" l="0" r="0" t="0"/>
            <wp:docPr id="2052077866"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Fonts w:ascii="Cambria Math" w:cs="Cambria Math" w:eastAsia="Cambria Math" w:hAnsi="Cambria Math"/>
          <w:rtl w:val="0"/>
        </w:rPr>
        <w:t xml:space="preserve">𝑅𝐸𝑖 </w:t>
      </w:r>
      <w:r>
        <w:rPr>
          <w:rtl w:val="0"/>
        </w:rPr>
        <w:t xml:space="preserve">answers: "Given the governance conditions, how much of this risk remains to be assumed?"</w:t>
      </w:r>
    </w:p>
    <w:p w:rsidR="00000000" w:rsidDel="00000000" w:rsidP="00000000" w:rsidRDefault="00000000" w:rsidRPr="00000000" w14:paraId="00000128">
      <w:pPr>
        <w:numPr>
          <w:ilvl w:val="0"/>
          <w:numId w:val="15"/>
        </w:numPr>
        <w:ind w:left="720" w:hanging="360"/>
        <w:jc w:val="both"/>
        <w:rPr/>
      </w:pPr>
      <w:r>
        <w:rPr/>
        <w:drawing>
          <wp:inline distB="0" distT="0" distL="0" distR="0">
            <wp:extent cx="9525" cy="9525"/>
            <wp:effectExtent b="0" l="0" r="0" t="0"/>
            <wp:docPr id="2052077850"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Fonts w:ascii="Cambria Math" w:cs="Cambria Math" w:eastAsia="Cambria Math" w:hAnsi="Cambria Math"/>
          <w:rtl w:val="0"/>
        </w:rPr>
        <w:t xml:space="preserve">𝑇𝐹𝑖 </w:t>
      </w:r>
      <w:r>
        <w:rPr>
          <w:rtl w:val="0"/>
        </w:rPr>
        <w:t xml:space="preserve">answers: "For the same residual outcome, how structurally difficult is it to assume and manage this type of risk?"</w:t>
      </w:r>
    </w:p>
    <w:p w:rsidR="00000000" w:rsidDel="00000000" w:rsidP="00000000" w:rsidRDefault="00000000" w:rsidRPr="00000000" w14:paraId="00000129">
      <w:pPr>
        <w:numPr>
          <w:ilvl w:val="0"/>
          <w:numId w:val="15"/>
        </w:numPr>
        <w:ind w:left="720" w:hanging="360"/>
        <w:jc w:val="both"/>
        <w:rPr/>
      </w:pPr>
      <w:r>
        <w:rPr/>
        <w:drawing>
          <wp:inline distB="0" distT="0" distL="0" distR="0">
            <wp:extent cx="9525" cy="9525"/>
            <wp:effectExtent b="0" l="0" r="0" t="0"/>
            <wp:docPr id="2052077851"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Fonts w:ascii="Cambria Math" w:cs="Cambria Math" w:eastAsia="Cambria Math" w:hAnsi="Cambria Math"/>
          <w:rtl w:val="0"/>
        </w:rPr>
        <w:t xml:space="preserve">𝑇𝑅𝐸𝑖 </w:t>
      </w:r>
      <w:r>
        <w:rPr>
          <w:rtl w:val="0"/>
        </w:rPr>
        <w:t xml:space="preserve">integrates the governance outcome with the risk typology difference, forming a standardized governance responsibility unit used for multi-risk comparison, aggregation, and acceptance judgment. </w:t>
      </w:r>
    </w:p>
    <w:p w:rsidR="00000000" w:rsidDel="00000000" w:rsidP="00000000" w:rsidRDefault="00000000" w:rsidRPr="00000000" w14:paraId="0000012A">
      <w:pPr>
        <w:jc w:val="both"/>
        <w:rPr/>
      </w:pPr>
      <w:r>
        <w:rPr>
          <w:rtl w:val="0"/>
        </w:rPr>
        <w:t xml:space="preserve">It must be emphasized that </w:t>
      </w:r>
      <w:r>
        <w:rPr>
          <w:rFonts w:ascii="Cambria Math" w:cs="Cambria Math" w:eastAsia="Cambria Math" w:hAnsi="Cambria Math"/>
          <w:rtl w:val="0"/>
        </w:rPr>
        <w:t xml:space="preserve">𝑇𝐹𝑖 </w:t>
      </w:r>
      <w:r>
        <w:rPr>
          <w:rtl w:val="0"/>
        </w:rPr>
        <w:t xml:space="preserve">is not a governance effectiveness correction factor, nor is it a risk generation or time-accumulation parameter. Time-accumulation effects are handled in the preceding probability and cycle structures, and governance coverage is fully reflected in the calculation of </w:t>
      </w:r>
      <w:r>
        <w:rPr>
          <w:rFonts w:ascii="Cambria Math" w:cs="Cambria Math" w:eastAsia="Cambria Math" w:hAnsi="Cambria Math"/>
          <w:rtl w:val="0"/>
        </w:rPr>
        <w:t xml:space="preserve">𝑅𝐸𝑖 </w:t>
      </w:r>
      <w:r>
        <w:rPr>
          <w:rtl w:val="0"/>
        </w:rPr>
        <w:t xml:space="preserve">. At this stage, the "governance structural differences caused by risk typology" are incorporated solely as a classification translation tool to avoid the semantic displacement caused by the direct aggregation of heterogeneous risks. </w:t>
      </w:r>
    </w:p>
    <w:p w:rsidR="00000000" w:rsidDel="00000000" w:rsidP="00000000" w:rsidRDefault="00000000" w:rsidRPr="00000000" w14:paraId="0000012B">
      <w:pPr>
        <w:jc w:val="both"/>
        <w:rPr/>
      </w:pPr>
      <w:r>
        <w:rPr>
          <w:rtl w:val="0"/>
        </w:rPr>
        <w:t xml:space="preserve">In governance practice, </w:t>
      </w:r>
      <w:r>
        <w:rPr>
          <w:rFonts w:ascii="Cambria Math" w:cs="Cambria Math" w:eastAsia="Cambria Math" w:hAnsi="Cambria Math"/>
          <w:b w:val="1"/>
          <w:bCs w:val="1"/>
          <w:rtl w:val="0"/>
        </w:rPr>
        <w:t xml:space="preserve">𝑇𝑅𝐸𝑖 </w:t>
      </w:r>
      <w:r>
        <w:rPr>
          <w:rtl w:val="0"/>
        </w:rPr>
        <w:t xml:space="preserve">serves three critical functions: </w:t>
      </w:r>
    </w:p>
    <w:p w:rsidR="00000000" w:rsidDel="00000000" w:rsidP="00000000" w:rsidRDefault="00000000" w:rsidRPr="00000000" w14:paraId="0000012C">
      <w:pPr>
        <w:numPr>
          <w:ilvl w:val="0"/>
          <w:numId w:val="16"/>
        </w:numPr>
        <w:ind w:left="720" w:hanging="360"/>
        <w:jc w:val="both"/>
        <w:rPr/>
      </w:pPr>
      <w:r>
        <w:rPr>
          <w:b w:val="1"/>
          <w:bCs w:val="1"/>
          <w:rtl w:val="0"/>
        </w:rPr>
        <w:t xml:space="preserve">Establishing Decomposability of Risk Responsibility</w:t>
      </w:r>
      <w:r>
        <w:rPr>
          <w:rtl w:val="0"/>
        </w:rPr>
        <w:t xml:space="preserve">: It ensures that post-governance residual risk is not left as an abstract total but can be clearly attributed to specific risk items.</w:t>
      </w:r>
    </w:p>
    <w:p w:rsidR="00000000" w:rsidDel="00000000" w:rsidP="00000000" w:rsidRDefault="00000000" w:rsidRPr="00000000" w14:paraId="0000012D">
      <w:pPr>
        <w:numPr>
          <w:ilvl w:val="0"/>
          <w:numId w:val="16"/>
        </w:numPr>
        <w:ind w:left="720" w:hanging="360"/>
        <w:jc w:val="both"/>
        <w:rPr/>
      </w:pPr>
      <w:r>
        <w:rPr>
          <w:b w:val="1"/>
          <w:bCs w:val="1"/>
          <w:rtl w:val="0"/>
        </w:rPr>
        <w:t xml:space="preserve">Supporting Comparability and Aggregability of Multiple Risks</w:t>
      </w:r>
      <w:r>
        <w:rPr>
          <w:rtl w:val="0"/>
        </w:rPr>
        <w:t xml:space="preserve">: It acts as the fundamental unit for subsequent Total Governance Exposure calculations, enabling multi-risk governance to be integrated on a consistent scale.</w:t>
      </w:r>
    </w:p>
    <w:p w:rsidR="00000000" w:rsidDel="00000000" w:rsidP="00000000" w:rsidRDefault="00000000" w:rsidRPr="00000000" w14:paraId="0000012E">
      <w:pPr>
        <w:numPr>
          <w:ilvl w:val="0"/>
          <w:numId w:val="16"/>
        </w:numPr>
        <w:ind w:left="720" w:hanging="360"/>
        <w:jc w:val="both"/>
        <w:rPr/>
      </w:pPr>
      <w:r>
        <w:rPr>
          <w:b w:val="1"/>
          <w:bCs w:val="1"/>
          <w:rtl w:val="0"/>
        </w:rPr>
        <w:t xml:space="preserve">Serving as a Retrospective Benchmark for Governance Reviews</w:t>
      </w:r>
      <w:r>
        <w:rPr>
          <w:rtl w:val="0"/>
        </w:rPr>
        <w:t xml:space="preserve">: When governance outcomes fail to meet expectations, </w:t>
      </w:r>
      <w:r>
        <w:rPr>
          <w:rFonts w:ascii="Cambria Math" w:cs="Cambria Math" w:eastAsia="Cambria Math" w:hAnsi="Cambria Math"/>
          <w:rtl w:val="0"/>
        </w:rPr>
        <w:t xml:space="preserve">𝑇𝑅𝐸𝑖 </w:t>
      </w:r>
      <w:r>
        <w:rPr>
          <w:rtl w:val="0"/>
        </w:rPr>
        <w:t xml:space="preserve">allows for a backward review of whether the governance assumptions, coverage, and structural classifications for specific risks were reasonable, moving beyond mere post-hoc attribution. </w:t>
      </w:r>
    </w:p>
    <w:p w:rsidR="00000000" w:rsidDel="00000000" w:rsidP="00000000" w:rsidRDefault="00000000" w:rsidRPr="00000000" w14:paraId="0000012F">
      <w:pPr>
        <w:jc w:val="both"/>
        <w:rPr/>
      </w:pPr>
      <w:r>
        <w:rPr>
          <w:rtl w:val="0"/>
        </w:rPr>
        <w:t xml:space="preserve">Furthermore, since </w:t>
      </w:r>
      <w:r>
        <w:rPr>
          <w:rFonts w:ascii="Cambria Math" w:cs="Cambria Math" w:eastAsia="Cambria Math" w:hAnsi="Cambria Math"/>
          <w:rtl w:val="0"/>
        </w:rPr>
        <w:t xml:space="preserve">𝑅𝐸𝑖 </w:t>
      </w:r>
      <w:r>
        <w:rPr>
          <w:rtl w:val="0"/>
        </w:rPr>
        <w:t xml:space="preserve">already incorporates time-accumulation effects, </w:t>
      </w:r>
      <w:r>
        <w:rPr>
          <w:rFonts w:ascii="Cambria Math" w:cs="Cambria Math" w:eastAsia="Cambria Math" w:hAnsi="Cambria Math"/>
          <w:rtl w:val="0"/>
        </w:rPr>
        <w:t xml:space="preserve">𝑇𝑅𝐸𝑖 </w:t>
      </w:r>
      <w:r>
        <w:rPr>
          <w:rtl w:val="0"/>
        </w:rPr>
        <w:t xml:space="preserve">reflects the residual governance burden imposed on the organization by the </w:t>
      </w:r>
      <w:r>
        <w:rPr>
          <w:rFonts w:ascii="Cambria Math" w:cs="Cambria Math" w:eastAsia="Cambria Math" w:hAnsi="Cambria Math"/>
          <w:rtl w:val="0"/>
        </w:rPr>
        <w:t xml:space="preserve">𝑖</w:t>
      </w:r>
      <w:r>
        <w:rPr>
          <w:rtl w:val="0"/>
        </w:rPr>
        <w:t xml:space="preserve">-th risk within a specific governance period, rather than a single instantaneous state. When governance rhythm, investment, or external conditions change, </w:t>
      </w:r>
      <w:r>
        <w:rPr>
          <w:rFonts w:ascii="Cambria Math" w:cs="Cambria Math" w:eastAsia="Cambria Math" w:hAnsi="Cambria Math"/>
          <w:rtl w:val="0"/>
        </w:rPr>
        <w:t xml:space="preserve">𝑇𝑅𝐸𝑖 </w:t>
      </w:r>
      <w:r>
        <w:rPr>
          <w:rtl w:val="0"/>
        </w:rPr>
        <w:t xml:space="preserve">should be re-estimated to maintain its value as a governance reference. </w:t>
      </w:r>
    </w:p>
    <w:p w:rsidR="00000000" w:rsidDel="00000000" w:rsidP="00000000" w:rsidRDefault="00000000" w:rsidRPr="00000000" w14:paraId="00000130">
      <w:pPr>
        <w:jc w:val="both"/>
        <w:rPr/>
      </w:pPr>
      <w:r>
        <w:rPr>
          <w:rtl w:val="0"/>
        </w:rPr>
        <w:t xml:space="preserve">Through the introduction of Typology-adjusted Residual Exposure, this model transforms risk governance consequences from abstract overall outcomes into governance responsibility units that can be assumed, compared, and integrated item by item. This establishes a consistent decision-making foundation for subsequent assessments of total governance exposure and risk pressure. </w:t>
      </w:r>
    </w:p>
    <w:p w:rsidR="00000000" w:rsidDel="00000000" w:rsidP="00000000" w:rsidRDefault="00000000" w:rsidRPr="00000000" w14:paraId="00000131">
      <w:pPr>
        <w:jc w:val="both"/>
        <w:rPr>
          <w:b w:val="1"/>
          <w:bCs w:val="1"/>
        </w:rPr>
      </w:pPr>
      <w:r>
        <w:rPr>
          <w:b w:val="1"/>
          <w:bCs w:val="1"/>
          <w:rtl w:val="0"/>
        </w:rPr>
        <w:t xml:space="preserve">Overall Governance Exposure (G) </w:t>
      </w:r>
    </w:p>
    <w:p w:rsidR="00000000" w:rsidDel="00000000" w:rsidP="00000000" w:rsidRDefault="00000000" w:rsidRPr="00000000" w14:paraId="00000132">
      <w:pPr>
        <w:jc w:val="both"/>
        <w:rPr/>
      </w:pPr>
      <w:r>
        <w:rPr>
          <w:rtl w:val="0"/>
        </w:rPr>
        <w:t xml:space="preserve">After calculating the Typology-adjusted Residual Exposure (</w:t>
      </w:r>
      <w:r>
        <w:rPr>
          <w:rFonts w:ascii="Cambria Math" w:cs="Cambria Math" w:eastAsia="Cambria Math" w:hAnsi="Cambria Math"/>
          <w:rtl w:val="0"/>
        </w:rPr>
        <w:t xml:space="preserve">𝑇𝑅𝐸𝑖</w:t>
      </w:r>
      <w:r>
        <w:rPr>
          <w:rtl w:val="0"/>
        </w:rPr>
        <w:t xml:space="preserve">) for each risk item, the model must integrate the post-governance responsibilities of multiple risks to address the most central question in governance decision-making: Under the current governance configuration, what is the actual total risk burden assumed by the organization? This integrated result is expressed as the </w:t>
      </w:r>
      <w:r>
        <w:rPr>
          <w:b w:val="1"/>
          <w:bCs w:val="1"/>
          <w:rtl w:val="0"/>
        </w:rPr>
        <w:t xml:space="preserve">Overall Governance Exposure (G)</w:t>
      </w:r>
      <w:r>
        <w:rPr>
          <w:rtl w:val="0"/>
        </w:rPr>
        <w:t xml:space="preserve">. </w:t>
      </w:r>
    </w:p>
    <w:p w:rsidR="00000000" w:rsidDel="00000000" w:rsidP="00000000" w:rsidRDefault="00000000" w:rsidRPr="00000000" w14:paraId="00000133">
      <w:pPr>
        <w:jc w:val="both"/>
        <w:rPr/>
      </w:pPr>
      <w:r>
        <w:rPr>
          <w:rtl w:val="0"/>
        </w:rPr>
        <w:t xml:space="preserve">In this model, </w:t>
      </w:r>
      <w:r>
        <w:rPr>
          <w:rFonts w:ascii="Cambria Math" w:cs="Cambria Math" w:eastAsia="Cambria Math" w:hAnsi="Cambria Math"/>
          <w:rtl w:val="0"/>
        </w:rPr>
        <w:t xml:space="preserve">𝐺 </w:t>
      </w:r>
      <w:r>
        <w:rPr>
          <w:rtl w:val="0"/>
        </w:rPr>
        <w:t xml:space="preserve">is defined as the summation of the Typology-adjusted Residual Exposures for all risk items. The calculation formula is: </w:t>
      </w:r>
    </w:p>
    <w:p w:rsidR="00000000" w:rsidDel="00000000" w:rsidP="00000000" w:rsidRDefault="00000000" w:rsidRPr="00000000" w14:paraId="00000134">
      <w:pPr>
        <w:jc w:val="center"/>
        <w:rPr>
          <w:rFonts w:ascii="Cambria Math" w:cs="Cambria Math" w:eastAsia="Cambria Math" w:hAnsi="Cambria Math"/>
        </w:rPr>
      </w:pPr>
      <m:oMath>
        <m:r>
          <w:rPr>
            <w:rFonts w:ascii="Cambria Math" w:cs="Cambria Math" w:eastAsia="Cambria Math" w:hAnsi="Cambria Math"/>
          </w:rPr>
          <m:t xml:space="preserve">G=</m:t>
        </m:r>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TRE</m:t>
            </m:r>
          </m:e>
          <m:sub>
            <m:r>
              <w:rPr>
                <w:rFonts w:ascii="Cambria Math" w:cs="Cambria Math" w:eastAsia="Cambria Math" w:hAnsi="Cambria Math"/>
              </w:rPr>
              <m:t xml:space="preserve">i</m:t>
            </m:r>
          </m:sub>
        </m:sSub>
      </m:oMath>
      <w:r>
        <w:rPr>
          <w:rtl w:val="0"/>
        </w:rPr>
      </w:r>
    </w:p>
    <w:p w:rsidR="00000000" w:rsidDel="00000000" w:rsidP="00000000" w:rsidRDefault="00000000" w:rsidRPr="00000000" w14:paraId="00000135">
      <w:pPr>
        <w:jc w:val="both"/>
        <w:rPr/>
      </w:pPr>
      <w:r>
        <w:rPr>
          <w:rtl w:val="0"/>
        </w:rPr>
        <w:t xml:space="preserve">Where </w:t>
      </w:r>
      <w:r>
        <w:rPr>
          <w:rFonts w:ascii="Cambria Math" w:cs="Cambria Math" w:eastAsia="Cambria Math" w:hAnsi="Cambria Math"/>
          <w:rtl w:val="0"/>
        </w:rPr>
        <w:t xml:space="preserve">𝑇𝑅𝐸𝑖 </w:t>
      </w:r>
      <w:r>
        <w:rPr>
          <w:rtl w:val="0"/>
        </w:rPr>
        <w:t xml:space="preserve">represents the attributable governance responsibility unit formed by the </w:t>
      </w:r>
      <w:r>
        <w:rPr>
          <w:rFonts w:ascii="Cambria Math" w:cs="Cambria Math" w:eastAsia="Cambria Math" w:hAnsi="Cambria Math"/>
          <w:rtl w:val="0"/>
        </w:rPr>
        <w:t xml:space="preserve">𝑖</w:t>
      </w:r>
      <w:r>
        <w:rPr>
          <w:rtl w:val="0"/>
        </w:rPr>
        <w:t xml:space="preserve">-th risk under given governance conditions and typology translation. Through this summation, </w:t>
      </w:r>
      <w:r>
        <w:rPr>
          <w:rFonts w:ascii="Cambria Math" w:cs="Cambria Math" w:eastAsia="Cambria Math" w:hAnsi="Cambria Math"/>
          <w:rtl w:val="0"/>
        </w:rPr>
        <w:t xml:space="preserve">𝐺 </w:t>
      </w:r>
      <w:r>
        <w:rPr>
          <w:rtl w:val="0"/>
        </w:rPr>
        <w:t xml:space="preserve">reflects the total governance burden the organization faces at a specific decision point due to its simultaneous exposure to multiple risks. </w:t>
      </w:r>
    </w:p>
    <w:p w:rsidR="00000000" w:rsidDel="00000000" w:rsidP="00000000" w:rsidRDefault="00000000" w:rsidRPr="00000000" w14:paraId="00000136">
      <w:pPr>
        <w:jc w:val="both"/>
        <w:rPr/>
      </w:pPr>
      <w:r>
        <w:rPr>
          <w:rtl w:val="0"/>
        </w:rPr>
        <w:t xml:space="preserve">It must be emphasized that </w:t>
      </w:r>
      <w:r>
        <w:rPr>
          <w:rFonts w:ascii="Cambria Math" w:cs="Cambria Math" w:eastAsia="Cambria Math" w:hAnsi="Cambria Math"/>
          <w:rtl w:val="0"/>
        </w:rPr>
        <w:t xml:space="preserve">𝐺 </w:t>
      </w:r>
      <w:r>
        <w:rPr>
          <w:rtl w:val="0"/>
        </w:rPr>
        <w:t xml:space="preserve">is not a re-estimation of the probability of risk events or expected losses. Instead, it is an integrated indicator of governance outcomes in a multi-risk context. Since each </w:t>
      </w:r>
      <w:r>
        <w:rPr>
          <w:rFonts w:ascii="Cambria Math" w:cs="Cambria Math" w:eastAsia="Cambria Math" w:hAnsi="Cambria Math"/>
          <w:rtl w:val="0"/>
        </w:rPr>
        <w:t xml:space="preserve">𝑇𝑅𝐸𝑖 </w:t>
      </w:r>
      <w:r>
        <w:rPr>
          <w:rtl w:val="0"/>
        </w:rPr>
        <w:t xml:space="preserve">has already undergone processing for risk generation, governance intervention, and typology translation, the resulting quantity </w:t>
      </w:r>
      <w:r>
        <w:rPr>
          <w:rFonts w:ascii="Cambria Math" w:cs="Cambria Math" w:eastAsia="Cambria Math" w:hAnsi="Cambria Math"/>
          <w:rtl w:val="0"/>
        </w:rPr>
        <w:t xml:space="preserve">𝐺 </w:t>
      </w:r>
      <w:r>
        <w:rPr>
          <w:rtl w:val="0"/>
        </w:rPr>
        <w:t xml:space="preserve">operates at the </w:t>
      </w:r>
      <w:r>
        <w:rPr>
          <w:b w:val="1"/>
          <w:bCs w:val="1"/>
          <w:rtl w:val="0"/>
        </w:rPr>
        <w:t xml:space="preserve">decision interface layer</w:t>
      </w:r>
      <w:r>
        <w:rPr>
          <w:rtl w:val="0"/>
        </w:rPr>
        <w:t xml:space="preserve">. It is used for subsequent acceptance judgments and governance adjustments, rather than reverting to a description of the risk’s physical reality. </w:t>
      </w:r>
    </w:p>
    <w:p w:rsidR="00000000" w:rsidDel="00000000" w:rsidP="00000000" w:rsidRDefault="00000000" w:rsidRPr="00000000" w14:paraId="00000137">
      <w:pPr>
        <w:jc w:val="both"/>
        <w:rPr/>
      </w:pPr>
      <w:r>
        <w:rPr>
          <w:rtl w:val="0"/>
        </w:rPr>
        <w:t xml:space="preserve">In governance practice, the </w:t>
      </w:r>
      <w:r>
        <w:rPr>
          <w:b w:val="1"/>
          <w:bCs w:val="1"/>
          <w:rtl w:val="0"/>
        </w:rPr>
        <w:t xml:space="preserve">Overall Governance Exposure (G)</w:t>
      </w:r>
      <w:r>
        <w:rPr>
          <w:rtl w:val="0"/>
        </w:rPr>
        <w:t xml:space="preserve"> holds three key implications: </w:t>
      </w:r>
    </w:p>
    <w:p w:rsidR="00000000" w:rsidDel="00000000" w:rsidP="00000000" w:rsidRDefault="00000000" w:rsidRPr="00000000" w14:paraId="00000138">
      <w:pPr>
        <w:numPr>
          <w:ilvl w:val="0"/>
          <w:numId w:val="17"/>
        </w:numPr>
        <w:ind w:left="720" w:hanging="360"/>
        <w:jc w:val="both"/>
        <w:rPr/>
      </w:pPr>
      <w:r>
        <w:rPr>
          <w:b w:val="1"/>
          <w:bCs w:val="1"/>
          <w:rtl w:val="0"/>
        </w:rPr>
        <w:t xml:space="preserve">Quantification of the Overall Acceptance Level:</w:t>
      </w:r>
      <w:r>
        <w:rPr>
          <w:rtl w:val="0"/>
        </w:rPr>
        <w:t xml:space="preserve"> </w:t>
      </w:r>
      <w:r>
        <w:rPr>
          <w:rFonts w:ascii="Cambria Math" w:cs="Cambria Math" w:eastAsia="Cambria Math" w:hAnsi="Cambria Math"/>
          <w:rtl w:val="0"/>
        </w:rPr>
        <w:t xml:space="preserve">𝐺 </w:t>
      </w:r>
      <w:r>
        <w:rPr>
          <w:rtl w:val="0"/>
        </w:rPr>
        <w:t xml:space="preserve">provides a single metric to describe the aggregate risk pressure the organization must assume under established governance strategies and resource allocations. This ensures that the governance state is no longer judged solely based on fragmented information from individual risks.</w:t>
      </w:r>
    </w:p>
    <w:p w:rsidR="00000000" w:rsidDel="00000000" w:rsidP="00000000" w:rsidRDefault="00000000" w:rsidRPr="00000000" w14:paraId="00000139">
      <w:pPr>
        <w:numPr>
          <w:ilvl w:val="0"/>
          <w:numId w:val="17"/>
        </w:numPr>
        <w:ind w:left="720" w:hanging="360"/>
        <w:jc w:val="both"/>
        <w:rPr/>
      </w:pPr>
      <w:r>
        <w:rPr>
          <w:b w:val="1"/>
          <w:bCs w:val="1"/>
          <w:rtl w:val="0"/>
        </w:rPr>
        <w:t xml:space="preserve">Foundation for Multi-Risk Governance Integration:</w:t>
      </w:r>
      <w:r>
        <w:rPr>
          <w:rtl w:val="0"/>
        </w:rPr>
        <w:t xml:space="preserve"> Since </w:t>
      </w:r>
      <w:r>
        <w:rPr>
          <w:rFonts w:ascii="Cambria Math" w:cs="Cambria Math" w:eastAsia="Cambria Math" w:hAnsi="Cambria Math"/>
          <w:rtl w:val="0"/>
        </w:rPr>
        <w:t xml:space="preserve">𝐺 </w:t>
      </w:r>
      <w:r>
        <w:rPr>
          <w:rtl w:val="0"/>
        </w:rPr>
        <w:t xml:space="preserve">is built upon the aggregability of </w:t>
      </w:r>
      <w:r>
        <w:rPr>
          <w:rFonts w:ascii="Cambria Math" w:cs="Cambria Math" w:eastAsia="Cambria Math" w:hAnsi="Cambria Math"/>
          <w:rtl w:val="0"/>
        </w:rPr>
        <w:t xml:space="preserve">𝑇𝑅𝐸𝑖 </w:t>
      </w:r>
      <w:r>
        <w:rPr>
          <w:rtl w:val="0"/>
        </w:rPr>
        <w:t xml:space="preserve">, its value can be dynamically updated as risk portfolios, governance investments, or external conditions change, supporting comprehensive governance assessments across departments and risk types.</w:t>
      </w:r>
    </w:p>
    <w:p w:rsidR="00000000" w:rsidDel="00000000" w:rsidP="00000000" w:rsidRDefault="00000000" w:rsidRPr="00000000" w14:paraId="0000013A">
      <w:pPr>
        <w:numPr>
          <w:ilvl w:val="0"/>
          <w:numId w:val="17"/>
        </w:numPr>
        <w:ind w:left="720" w:hanging="360"/>
        <w:jc w:val="both"/>
        <w:rPr/>
      </w:pPr>
      <w:r>
        <w:rPr>
          <w:b w:val="1"/>
          <w:bCs w:val="1"/>
          <w:rtl w:val="0"/>
        </w:rPr>
        <w:t xml:space="preserve">Prerequisite for Acceptance Judgment and Strategic Adjustment:</w:t>
      </w:r>
      <w:r>
        <w:rPr>
          <w:rtl w:val="0"/>
        </w:rPr>
        <w:t xml:space="preserve"> </w:t>
      </w:r>
      <w:r>
        <w:rPr>
          <w:rFonts w:ascii="Cambria Math" w:cs="Cambria Math" w:eastAsia="Cambria Math" w:hAnsi="Cambria Math"/>
          <w:rtl w:val="0"/>
        </w:rPr>
        <w:t xml:space="preserve">𝐺 </w:t>
      </w:r>
      <w:r>
        <w:rPr>
          <w:rtl w:val="0"/>
        </w:rPr>
        <w:t xml:space="preserve">itself does not directly conclude whether governance is sufficient. Instead, it serves as the benchmark for comparison against the organization's acceptance threshold, shifting the governance decision from "how large is the risk" to "is it still within the tolerable range?" </w:t>
      </w:r>
    </w:p>
    <w:p w:rsidR="00000000" w:rsidDel="00000000" w:rsidP="00000000" w:rsidRDefault="00000000" w:rsidRPr="00000000" w14:paraId="0000013B">
      <w:pPr>
        <w:jc w:val="both"/>
        <w:rPr/>
      </w:pPr>
      <w:r>
        <w:rPr>
          <w:rtl w:val="0"/>
        </w:rPr>
        <w:t xml:space="preserve">Furthermore, </w:t>
      </w:r>
      <w:r>
        <w:rPr>
          <w:rFonts w:ascii="Cambria Math" w:cs="Cambria Math" w:eastAsia="Cambria Math" w:hAnsi="Cambria Math"/>
          <w:rtl w:val="0"/>
        </w:rPr>
        <w:t xml:space="preserve">𝐺 </w:t>
      </w:r>
      <w:r>
        <w:rPr>
          <w:rtl w:val="0"/>
        </w:rPr>
        <w:t xml:space="preserve">carries a clear temporal meaning. Because its foundation (</w:t>
      </w:r>
      <w:r>
        <w:rPr>
          <w:rFonts w:ascii="Cambria Math" w:cs="Cambria Math" w:eastAsia="Cambria Math" w:hAnsi="Cambria Math"/>
          <w:rtl w:val="0"/>
        </w:rPr>
        <w:t xml:space="preserve">𝑇𝑅𝐸𝑖</w:t>
      </w:r>
      <w:r>
        <w:rPr>
          <w:rtl w:val="0"/>
        </w:rPr>
        <w:t xml:space="preserve">) already includes time-accumulation effects and governance rhythm conditions, </w:t>
      </w:r>
      <w:r>
        <w:rPr>
          <w:rFonts w:ascii="Cambria Math" w:cs="Cambria Math" w:eastAsia="Cambria Math" w:hAnsi="Cambria Math"/>
          <w:rtl w:val="0"/>
        </w:rPr>
        <w:t xml:space="preserve">𝐺 </w:t>
      </w:r>
      <w:r>
        <w:rPr>
          <w:rtl w:val="0"/>
        </w:rPr>
        <w:t xml:space="preserve">represents the state of the overall governance burden faced by the organization within a specific decision period and governance configuration. When governance input, decision cycles, or risk structures change, </w:t>
      </w:r>
      <w:r>
        <w:rPr>
          <w:rFonts w:ascii="Cambria Math" w:cs="Cambria Math" w:eastAsia="Cambria Math" w:hAnsi="Cambria Math"/>
          <w:rtl w:val="0"/>
        </w:rPr>
        <w:t xml:space="preserve">𝐺 </w:t>
      </w:r>
      <w:r>
        <w:rPr>
          <w:rtl w:val="0"/>
        </w:rPr>
        <w:t xml:space="preserve">should be recalculated to reflect the new governance reality. </w:t>
      </w:r>
    </w:p>
    <w:p w:rsidR="00000000" w:rsidDel="00000000" w:rsidP="00000000" w:rsidRDefault="00000000" w:rsidRPr="00000000" w14:paraId="0000013C">
      <w:pPr>
        <w:jc w:val="both"/>
        <w:rPr/>
      </w:pPr>
      <w:r>
        <w:rPr>
          <w:rtl w:val="0"/>
        </w:rPr>
        <w:t xml:space="preserve">By defining Overall Governance Exposure, this model completes the critical transition from individual risk governance outcomes to organization-level governance burdens, laying the groundwork for introducing the Acceptance Threshold (</w:t>
      </w:r>
      <w:r>
        <w:rPr>
          <w:rFonts w:ascii="Cambria Math" w:cs="Cambria Math" w:eastAsia="Cambria Math" w:hAnsi="Cambria Math"/>
          <w:rtl w:val="0"/>
        </w:rPr>
        <w:t xml:space="preserve">𝐴</w:t>
      </w:r>
      <w:r>
        <w:rPr>
          <w:rtl w:val="0"/>
        </w:rPr>
        <w:t xml:space="preserve">) and judging risk pressure.</w:t>
      </w:r>
    </w:p>
    <w:p w:rsidR="00000000" w:rsidDel="00000000" w:rsidP="00000000" w:rsidRDefault="00000000" w:rsidRPr="00000000" w14:paraId="0000013D">
      <w:pPr>
        <w:jc w:val="both"/>
        <w:rPr>
          <w:b w:val="1"/>
          <w:bCs w:val="1"/>
        </w:rPr>
      </w:pPr>
      <w:r>
        <w:rPr>
          <w:b w:val="1"/>
          <w:bCs w:val="1"/>
          <w:rtl w:val="0"/>
        </w:rPr>
        <w:t xml:space="preserve">Risk Load Ratio (LR) </w:t>
      </w:r>
    </w:p>
    <w:p w:rsidR="00000000" w:rsidDel="00000000" w:rsidP="00000000" w:rsidRDefault="00000000" w:rsidRPr="00000000" w14:paraId="0000013E">
      <w:pPr>
        <w:jc w:val="both"/>
        <w:rPr/>
      </w:pPr>
      <w:r>
        <w:rPr>
          <w:rtl w:val="0"/>
        </w:rPr>
        <w:t xml:space="preserve">After calculating the Overall Governance Exposure (</w:t>
      </w:r>
      <w:r>
        <w:rPr>
          <w:rFonts w:ascii="Cambria Math" w:cs="Cambria Math" w:eastAsia="Cambria Math" w:hAnsi="Cambria Math"/>
          <w:rtl w:val="0"/>
        </w:rPr>
        <w:t xml:space="preserve">𝐺</w:t>
      </w:r>
      <w:r>
        <w:rPr>
          <w:rtl w:val="0"/>
        </w:rPr>
        <w:t xml:space="preserve">), the model must address a governance question that cannot be fully answered by risk volume alone: Is the current governance state still within the organization's tolerable range? That is, is the governance system under such excessive pressure that even if a risk event has not yet materialized, the organization’s decision-making flexibility and governance stability are already being eroded? </w:t>
      </w:r>
    </w:p>
    <w:p w:rsidR="00000000" w:rsidDel="00000000" w:rsidP="00000000" w:rsidRDefault="00000000" w:rsidRPr="00000000" w14:paraId="0000013F">
      <w:pPr>
        <w:jc w:val="both"/>
        <w:rPr/>
      </w:pPr>
      <w:r>
        <w:rPr>
          <w:rtl w:val="0"/>
        </w:rPr>
        <w:t xml:space="preserve">While Overall Governance Exposure (</w:t>
      </w:r>
      <w:r>
        <w:rPr>
          <w:rFonts w:ascii="Cambria Math" w:cs="Cambria Math" w:eastAsia="Cambria Math" w:hAnsi="Cambria Math"/>
          <w:rtl w:val="0"/>
        </w:rPr>
        <w:t xml:space="preserve">𝐺</w:t>
      </w:r>
      <w:r>
        <w:rPr>
          <w:rtl w:val="0"/>
        </w:rPr>
        <w:t xml:space="preserve">) presents the total risk burden assumed under a given governance configuration, </w:t>
      </w:r>
      <w:r>
        <w:rPr>
          <w:rFonts w:ascii="Cambria Math" w:cs="Cambria Math" w:eastAsia="Cambria Math" w:hAnsi="Cambria Math"/>
          <w:rtl w:val="0"/>
        </w:rPr>
        <w:t xml:space="preserve">𝐺 </w:t>
      </w:r>
      <w:r>
        <w:rPr>
          <w:rtl w:val="0"/>
        </w:rPr>
        <w:t xml:space="preserve">itself does not contain any semantic judgment regarding "tolerability." The same value of </w:t>
      </w:r>
      <w:r>
        <w:rPr>
          <w:rFonts w:ascii="Cambria Math" w:cs="Cambria Math" w:eastAsia="Cambria Math" w:hAnsi="Cambria Math"/>
          <w:rtl w:val="0"/>
        </w:rPr>
        <w:t xml:space="preserve">𝐺 </w:t>
      </w:r>
      <w:r>
        <w:rPr>
          <w:rtl w:val="0"/>
        </w:rPr>
        <w:t xml:space="preserve">may represent vastly different levels of governance stress for organizations with different governance capacities, institutional maturities, or resource allocation states. Therefore, relying solely on </w:t>
      </w:r>
      <w:r>
        <w:rPr>
          <w:rFonts w:ascii="Cambria Math" w:cs="Cambria Math" w:eastAsia="Cambria Math" w:hAnsi="Cambria Math"/>
          <w:rtl w:val="0"/>
        </w:rPr>
        <w:t xml:space="preserve">𝐺 </w:t>
      </w:r>
      <w:r>
        <w:rPr>
          <w:rtl w:val="0"/>
        </w:rPr>
        <w:t xml:space="preserve">as a basis for judgment is insufficient for interpreting the state of governance required for strategic decision-making. </w:t>
      </w:r>
    </w:p>
    <w:p w:rsidR="00000000" w:rsidDel="00000000" w:rsidP="00000000" w:rsidRDefault="00000000" w:rsidRPr="00000000" w14:paraId="00000140">
      <w:pPr>
        <w:jc w:val="both"/>
        <w:rPr/>
      </w:pPr>
      <w:r>
        <w:rPr>
          <w:rtl w:val="0"/>
        </w:rPr>
        <w:t xml:space="preserve">Based on this, the model introduces the </w:t>
      </w:r>
      <w:r>
        <w:rPr>
          <w:b w:val="1"/>
          <w:bCs w:val="1"/>
          <w:rtl w:val="0"/>
        </w:rPr>
        <w:t xml:space="preserve">Risk Load Ratio (LR)</w:t>
      </w:r>
      <w:r>
        <w:rPr>
          <w:rtl w:val="0"/>
        </w:rPr>
        <w:t xml:space="preserve"> as the primary indicator for judging the governance state. The conceptual purpose of </w:t>
      </w:r>
      <w:r>
        <w:rPr>
          <w:rFonts w:ascii="Cambria Math" w:cs="Cambria Math" w:eastAsia="Cambria Math" w:hAnsi="Cambria Math"/>
          <w:rtl w:val="0"/>
        </w:rPr>
        <w:t xml:space="preserve">𝐿𝑅 </w:t>
      </w:r>
      <w:r>
        <w:rPr>
          <w:rtl w:val="0"/>
        </w:rPr>
        <w:t xml:space="preserve">is not to re-quantify the risk itself, but to translate the post-governance risk burden into a descriptive language of the stress level imposed on the governance system. In other words, </w:t>
      </w:r>
      <w:r>
        <w:rPr>
          <w:rFonts w:ascii="Cambria Math" w:cs="Cambria Math" w:eastAsia="Cambria Math" w:hAnsi="Cambria Math"/>
          <w:rtl w:val="0"/>
        </w:rPr>
        <w:t xml:space="preserve">𝐿𝑅 </w:t>
      </w:r>
      <w:r>
        <w:rPr>
          <w:rtl w:val="0"/>
        </w:rPr>
        <w:t xml:space="preserve">focuses not on how large the risk is, but on whether the governance system is approaching its operational limits under current conditions. </w:t>
      </w:r>
    </w:p>
    <w:p w:rsidR="00000000" w:rsidDel="00000000" w:rsidP="00000000" w:rsidRDefault="00000000" w:rsidRPr="00000000" w14:paraId="00000141">
      <w:pPr>
        <w:jc w:val="both"/>
        <w:rPr/>
      </w:pPr>
      <w:r>
        <w:rPr>
          <w:rtl w:val="0"/>
        </w:rPr>
        <w:t xml:space="preserve">Conceptually, </w:t>
      </w:r>
      <w:r>
        <w:rPr>
          <w:rFonts w:ascii="Cambria Math" w:cs="Cambria Math" w:eastAsia="Cambria Math" w:hAnsi="Cambria Math"/>
          <w:rtl w:val="0"/>
        </w:rPr>
        <w:t xml:space="preserve">𝐿𝑅 </w:t>
      </w:r>
      <w:r>
        <w:rPr>
          <w:rtl w:val="0"/>
        </w:rPr>
        <w:t xml:space="preserve">expresses the "degree of tension of the governance load relative to acceptance capacity." When </w:t>
      </w:r>
      <w:r>
        <w:rPr>
          <w:rFonts w:ascii="Cambria Math" w:cs="Cambria Math" w:eastAsia="Cambria Math" w:hAnsi="Cambria Math"/>
          <w:rtl w:val="0"/>
        </w:rPr>
        <w:t xml:space="preserve">𝐿𝑅 </w:t>
      </w:r>
      <w:r>
        <w:rPr>
          <w:rtl w:val="0"/>
        </w:rPr>
        <w:t xml:space="preserve">is low, it indicates that the overall governance exposure remains within a digestible range, and the governance system retains the margin to adjust and absorb risks. As </w:t>
      </w:r>
      <w:r>
        <w:rPr>
          <w:rFonts w:ascii="Cambria Math" w:cs="Cambria Math" w:eastAsia="Cambria Math" w:hAnsi="Cambria Math"/>
          <w:rtl w:val="0"/>
        </w:rPr>
        <w:t xml:space="preserve">𝐿𝑅 </w:t>
      </w:r>
      <w:r>
        <w:rPr>
          <w:rtl w:val="0"/>
        </w:rPr>
        <w:t xml:space="preserve">continues to rise, it signifies that the governance burden is gradually encroaching upon the organization’s decision-making space, increasing the probability of misjudgment, delays, or governance failure. This translation shifts the discussion of risk governance from "risk magnitude" to "governance state." </w:t>
      </w:r>
    </w:p>
    <w:p w:rsidR="00000000" w:rsidDel="00000000" w:rsidP="00000000" w:rsidRDefault="00000000" w:rsidRPr="00000000" w14:paraId="00000142">
      <w:pPr>
        <w:jc w:val="both"/>
        <w:rPr/>
      </w:pPr>
      <w:r>
        <w:rPr>
          <w:rtl w:val="0"/>
        </w:rPr>
        <w:t xml:space="preserve">It is important to clarify that at this stage, </w:t>
      </w:r>
      <w:r>
        <w:rPr>
          <w:rFonts w:ascii="Cambria Math" w:cs="Cambria Math" w:eastAsia="Cambria Math" w:hAnsi="Cambria Math"/>
          <w:rtl w:val="0"/>
        </w:rPr>
        <w:t xml:space="preserve">𝐿𝑅 </w:t>
      </w:r>
      <w:r>
        <w:rPr>
          <w:rtl w:val="0"/>
        </w:rPr>
        <w:t xml:space="preserve">is introduced only as a conceptual indicator of governance pressure; its judgment logic has not yet reached numerical closure. The actual calculation and benchmarking of </w:t>
      </w:r>
      <w:r>
        <w:rPr>
          <w:rFonts w:ascii="Cambria Math" w:cs="Cambria Math" w:eastAsia="Cambria Math" w:hAnsi="Cambria Math"/>
          <w:rtl w:val="0"/>
        </w:rPr>
        <w:t xml:space="preserve">𝐿𝑅 </w:t>
      </w:r>
      <w:r>
        <w:rPr>
          <w:rtl w:val="0"/>
        </w:rPr>
        <w:t xml:space="preserve">can only be completed once the </w:t>
      </w:r>
      <w:r>
        <w:rPr>
          <w:b w:val="1"/>
          <w:bCs w:val="1"/>
          <w:rtl w:val="0"/>
        </w:rPr>
        <w:t xml:space="preserve">Acceptance Threshold (</w:t>
      </w:r>
      <w:r>
        <w:rPr>
          <w:rFonts w:ascii="Cambria Math" w:cs="Cambria Math" w:eastAsia="Cambria Math" w:hAnsi="Cambria Math"/>
          <w:b w:val="1"/>
          <w:bCs w:val="1"/>
          <w:rtl w:val="0"/>
        </w:rPr>
        <w:t xml:space="preserve">𝐴</w:t>
      </w:r>
      <w:r>
        <w:rPr>
          <w:b w:val="1"/>
          <w:bCs w:val="1"/>
          <w:rtl w:val="0"/>
        </w:rPr>
        <w:t xml:space="preserve">)</w:t>
      </w:r>
      <w:r>
        <w:rPr>
          <w:rtl w:val="0"/>
        </w:rPr>
        <w:t xml:space="preserve"> is explicitly defined. Until then, </w:t>
      </w:r>
      <w:r>
        <w:rPr>
          <w:rFonts w:ascii="Cambria Math" w:cs="Cambria Math" w:eastAsia="Cambria Math" w:hAnsi="Cambria Math"/>
          <w:rtl w:val="0"/>
        </w:rPr>
        <w:t xml:space="preserve">𝐿𝑅 </w:t>
      </w:r>
      <w:r>
        <w:rPr>
          <w:rtl w:val="0"/>
        </w:rPr>
        <w:t xml:space="preserve">provides a framework for interpreting the governance state rather than a quantitative conclusion. </w:t>
      </w:r>
    </w:p>
    <w:p w:rsidR="00000000" w:rsidDel="00000000" w:rsidP="00000000" w:rsidRDefault="00000000" w:rsidRPr="00000000" w14:paraId="00000143">
      <w:pPr>
        <w:jc w:val="both"/>
        <w:rPr/>
      </w:pPr>
      <w:r>
        <w:rPr>
          <w:rtl w:val="0"/>
        </w:rPr>
        <w:t xml:space="preserve">Furthermore, when interpreting </w:t>
      </w:r>
      <w:r>
        <w:rPr>
          <w:rFonts w:ascii="Cambria Math" w:cs="Cambria Math" w:eastAsia="Cambria Math" w:hAnsi="Cambria Math"/>
          <w:rtl w:val="0"/>
        </w:rPr>
        <w:t xml:space="preserve">𝐿𝑅 </w:t>
      </w:r>
      <w:r>
        <w:rPr>
          <w:rtl w:val="0"/>
        </w:rPr>
        <w:t xml:space="preserve">, it is necessary to consider the characteristics of </w:t>
      </w:r>
      <w:r>
        <w:rPr>
          <w:b w:val="1"/>
          <w:bCs w:val="1"/>
          <w:rtl w:val="0"/>
        </w:rPr>
        <w:t xml:space="preserve">malignant risk accumulation</w:t>
      </w:r>
      <w:r>
        <w:rPr>
          <w:rtl w:val="0"/>
        </w:rPr>
        <w:t xml:space="preserve">. In this model, whether a risk has a cumulative or worsening trend is already reflected in the quantitative risk results through the time structure and residual exposure mechanisms; thus, it is not separately incorporated into the </w:t>
      </w:r>
      <w:r>
        <w:rPr>
          <w:rFonts w:ascii="Cambria Math" w:cs="Cambria Math" w:eastAsia="Cambria Math" w:hAnsi="Cambria Math"/>
          <w:rtl w:val="0"/>
        </w:rPr>
        <w:t xml:space="preserve">𝐿𝑅 </w:t>
      </w:r>
      <w:r>
        <w:rPr>
          <w:rtl w:val="0"/>
        </w:rPr>
        <w:t xml:space="preserve">calculation. However, in governance practice, even if different risks result in similar </w:t>
      </w:r>
      <w:r>
        <w:rPr>
          <w:rFonts w:ascii="Cambria Math" w:cs="Cambria Math" w:eastAsia="Cambria Math" w:hAnsi="Cambria Math"/>
          <w:rtl w:val="0"/>
        </w:rPr>
        <w:t xml:space="preserve">𝐿𝑅 </w:t>
      </w:r>
      <w:r>
        <w:rPr>
          <w:rtl w:val="0"/>
        </w:rPr>
        <w:t xml:space="preserve">levels, the "loss of future governance flexibility caused by deferred treatment" may differ significantly. </w:t>
      </w:r>
    </w:p>
    <w:p w:rsidR="00000000" w:rsidDel="00000000" w:rsidP="00000000" w:rsidRDefault="00000000" w:rsidRPr="00000000" w14:paraId="00000144">
      <w:pPr>
        <w:jc w:val="both"/>
        <w:rPr/>
      </w:pPr>
      <w:r>
        <w:rPr>
          <w:rtl w:val="0"/>
        </w:rPr>
        <w:t xml:space="preserve">Therefore, this paper treats malignant accumulation solely as a </w:t>
      </w:r>
      <w:r>
        <w:rPr>
          <w:b w:val="1"/>
          <w:bCs w:val="1"/>
          <w:rtl w:val="0"/>
        </w:rPr>
        <w:t xml:space="preserve">decision-making annotation</w:t>
      </w:r>
      <w:r>
        <w:rPr>
          <w:rtl w:val="0"/>
        </w:rPr>
        <w:t xml:space="preserve"> for </w:t>
      </w:r>
      <w:r>
        <w:rPr>
          <w:rFonts w:ascii="Cambria Math" w:cs="Cambria Math" w:eastAsia="Cambria Math" w:hAnsi="Cambria Math"/>
          <w:rtl w:val="0"/>
        </w:rPr>
        <w:t xml:space="preserve">𝐿𝑅 </w:t>
      </w:r>
      <w:r>
        <w:rPr>
          <w:rtl w:val="0"/>
        </w:rPr>
        <w:t xml:space="preserve">, used to highlight which risks, if not intervened upon promptly, may rapidly escalate future governance loads or compress subsequent decision options. This annotation does not affect the numerical calculation of </w:t>
      </w:r>
      <w:r>
        <w:rPr>
          <w:rFonts w:ascii="Cambria Math" w:cs="Cambria Math" w:eastAsia="Cambria Math" w:hAnsi="Cambria Math"/>
          <w:rtl w:val="0"/>
        </w:rPr>
        <w:t xml:space="preserve">𝐿𝑅</w:t>
      </w:r>
      <w:r>
        <w:rPr>
          <w:rtl w:val="0"/>
        </w:rPr>
        <w:t xml:space="preserve">, nor does it constitute an additional risk weighting; it serves only to assist in prioritizing governance actions. Suggested categories for these annotations include: </w:t>
      </w:r>
    </w:p>
    <w:p w:rsidR="00000000" w:rsidDel="00000000" w:rsidP="00000000" w:rsidRDefault="00000000" w:rsidRPr="00000000" w14:paraId="00000145">
      <w:pPr>
        <w:numPr>
          <w:ilvl w:val="0"/>
          <w:numId w:val="18"/>
        </w:numPr>
        <w:ind w:left="720" w:hanging="360"/>
        <w:jc w:val="both"/>
        <w:rPr/>
      </w:pPr>
      <w:r>
        <w:rPr>
          <w:b w:val="1"/>
          <w:bCs w:val="1"/>
          <w:rtl w:val="0"/>
        </w:rPr>
        <w:t xml:space="preserve">Type E (Escalating Risk):</w:t>
      </w:r>
      <w:r>
        <w:rPr>
          <w:rtl w:val="0"/>
        </w:rPr>
        <w:t xml:space="preserve"> If not addressed promptly, </w:t>
      </w:r>
      <w:r>
        <w:rPr>
          <w:rFonts w:ascii="Cambria Math" w:cs="Cambria Math" w:eastAsia="Cambria Math" w:hAnsi="Cambria Math"/>
          <w:rtl w:val="0"/>
        </w:rPr>
        <w:t xml:space="preserve">𝑃 </w:t>
      </w:r>
      <w:r>
        <w:rPr>
          <w:rtl w:val="0"/>
        </w:rPr>
        <w:t xml:space="preserve">or </w:t>
      </w:r>
      <w:r>
        <w:rPr>
          <w:rFonts w:ascii="Cambria Math" w:cs="Cambria Math" w:eastAsia="Cambria Math" w:hAnsi="Cambria Math"/>
          <w:rtl w:val="0"/>
        </w:rPr>
        <w:t xml:space="preserve">𝐼 </w:t>
      </w:r>
      <w:r>
        <w:rPr>
          <w:rtl w:val="0"/>
        </w:rPr>
        <w:t xml:space="preserve">will experience a structural increase in the future.</w:t>
      </w:r>
    </w:p>
    <w:p w:rsidR="00000000" w:rsidDel="00000000" w:rsidP="00000000" w:rsidRDefault="00000000" w:rsidRPr="00000000" w14:paraId="00000146">
      <w:pPr>
        <w:numPr>
          <w:ilvl w:val="0"/>
          <w:numId w:val="18"/>
        </w:numPr>
        <w:ind w:left="720" w:hanging="360"/>
        <w:jc w:val="both"/>
        <w:rPr/>
      </w:pPr>
      <w:r>
        <w:rPr>
          <w:b w:val="1"/>
          <w:bCs w:val="1"/>
          <w:rtl w:val="0"/>
        </w:rPr>
        <w:t xml:space="preserve">Type N (Non-Escalating Risk):</w:t>
      </w:r>
      <w:r>
        <w:rPr>
          <w:rtl w:val="0"/>
        </w:rPr>
        <w:t xml:space="preserve"> Exposure is stable and will not deteriorate sharply due to delayed action. </w:t>
      </w:r>
    </w:p>
    <w:p w:rsidR="00000000" w:rsidDel="00000000" w:rsidP="00000000" w:rsidRDefault="00000000" w:rsidRPr="00000000" w14:paraId="00000147">
      <w:pPr>
        <w:jc w:val="both"/>
        <w:rPr/>
      </w:pPr>
      <w:r>
        <w:rPr>
          <w:rtl w:val="0"/>
        </w:rPr>
        <w:t xml:space="preserve">It should be noted that the worsening or cumulative nature of risks is already reflected in </w:t>
      </w:r>
      <w:r>
        <w:rPr>
          <w:rFonts w:ascii="Cambria Math" w:cs="Cambria Math" w:eastAsia="Cambria Math" w:hAnsi="Cambria Math"/>
          <w:rtl w:val="0"/>
        </w:rPr>
        <w:t xml:space="preserve">𝑃𝑐𝑢𝑚 </w:t>
      </w:r>
      <w:r>
        <w:rPr>
          <w:rtl w:val="0"/>
        </w:rPr>
        <w:t xml:space="preserve">and residual exposure calculations via the time-accumulation mechanism. In multi-risk governance contexts, this characteristic is used only as "governance priority" metadata rather than being re-quantified, thereby avoiding double-counting and confusion of responsibility. </w:t>
      </w:r>
    </w:p>
    <w:p w:rsidR="00000000" w:rsidDel="00000000" w:rsidP="00000000" w:rsidRDefault="00000000" w:rsidRPr="00000000" w14:paraId="00000148">
      <w:pPr>
        <w:jc w:val="both"/>
        <w:rPr/>
      </w:pPr>
      <w:r>
        <w:rPr>
          <w:rtl w:val="0"/>
        </w:rPr>
        <w:t xml:space="preserve">Through the introduction of the </w:t>
      </w:r>
      <w:r>
        <w:rPr>
          <w:rFonts w:ascii="Cambria Math" w:cs="Cambria Math" w:eastAsia="Cambria Math" w:hAnsi="Cambria Math"/>
          <w:rtl w:val="0"/>
        </w:rPr>
        <w:t xml:space="preserve">𝐿𝑅 </w:t>
      </w:r>
      <w:r>
        <w:rPr>
          <w:rtl w:val="0"/>
        </w:rPr>
        <w:t xml:space="preserve">concept, the model establishes a diagnostic layer above the overall governance exposure that links governance outcomes with governance capacity, laying the foundation for defining the acceptance threshold and making quantitative judgments on the state of governance. </w:t>
      </w:r>
    </w:p>
    <w:p w:rsidR="00000000" w:rsidDel="00000000" w:rsidP="00000000" w:rsidRDefault="00000000" w:rsidRPr="00000000" w14:paraId="00000149">
      <w:pPr>
        <w:jc w:val="both"/>
        <w:rPr>
          <w:b w:val="1"/>
          <w:bCs w:val="1"/>
        </w:rPr>
      </w:pPr>
      <w:r>
        <w:rPr>
          <w:b w:val="1"/>
          <w:bCs w:val="1"/>
          <w:rtl w:val="0"/>
        </w:rPr>
        <w:t xml:space="preserve">Acceptance Threshold (</w:t>
      </w:r>
      <w:r>
        <w:rPr>
          <w:rFonts w:ascii="Cambria Math" w:cs="Cambria Math" w:eastAsia="Cambria Math" w:hAnsi="Cambria Math"/>
          <w:b w:val="1"/>
          <w:bCs w:val="1"/>
          <w:rtl w:val="0"/>
        </w:rPr>
        <w:t xml:space="preserve">𝐴</w:t>
      </w:r>
      <w:r>
        <w:rPr>
          <w:b w:val="1"/>
          <w:bCs w:val="1"/>
          <w:rtl w:val="0"/>
        </w:rPr>
        <w:t xml:space="preserve">) </w:t>
      </w:r>
    </w:p>
    <w:p w:rsidR="00000000" w:rsidDel="00000000" w:rsidP="00000000" w:rsidRDefault="00000000" w:rsidRPr="00000000" w14:paraId="0000014A">
      <w:pPr>
        <w:jc w:val="both"/>
        <w:rPr/>
      </w:pPr>
      <w:r>
        <w:rPr>
          <w:rtl w:val="0"/>
        </w:rPr>
        <w:t xml:space="preserve">Following the introduction of the Risk Load Ratio (</w:t>
      </w:r>
      <w:r>
        <w:rPr>
          <w:rFonts w:ascii="Cambria Math" w:cs="Cambria Math" w:eastAsia="Cambria Math" w:hAnsi="Cambria Math"/>
          <w:rtl w:val="0"/>
        </w:rPr>
        <w:t xml:space="preserve">𝐿𝑅</w:t>
      </w:r>
      <w:r>
        <w:rPr>
          <w:rtl w:val="0"/>
        </w:rPr>
        <w:t xml:space="preserve">) as a framework for interpreting governance states, the model must further define a critical benchmark: just how much of a governance load can the governance system actually withstand? This benchmark is expressed as the </w:t>
      </w:r>
      <w:r>
        <w:rPr>
          <w:b w:val="1"/>
          <w:bCs w:val="1"/>
          <w:rtl w:val="0"/>
        </w:rPr>
        <w:t xml:space="preserve">Acceptance Threshold (</w:t>
      </w:r>
      <w:r>
        <w:rPr>
          <w:rFonts w:ascii="Cambria Math" w:cs="Cambria Math" w:eastAsia="Cambria Math" w:hAnsi="Cambria Math"/>
          <w:b w:val="1"/>
          <w:bCs w:val="1"/>
          <w:rtl w:val="0"/>
        </w:rPr>
        <w:t xml:space="preserve">𝐴</w:t>
      </w:r>
      <w:r>
        <w:rPr>
          <w:b w:val="1"/>
          <w:bCs w:val="1"/>
          <w:rtl w:val="0"/>
        </w:rPr>
        <w:t xml:space="preserve">)</w:t>
      </w:r>
      <w:r>
        <w:rPr>
          <w:rtl w:val="0"/>
        </w:rPr>
        <w:t xml:space="preserve"> (or </w:t>
      </w:r>
      <w:r>
        <w:rPr>
          <w:i w:val="1"/>
          <w:iCs w:val="1"/>
          <w:rtl w:val="0"/>
        </w:rPr>
        <w:t xml:space="preserve">Acceptable Governance Capacity</w:t>
      </w:r>
      <w:r>
        <w:rPr>
          <w:rtl w:val="0"/>
        </w:rPr>
        <w:t xml:space="preserve">). </w:t>
      </w:r>
    </w:p>
    <w:p w:rsidR="00000000" w:rsidDel="00000000" w:rsidP="00000000" w:rsidRDefault="00000000" w:rsidRPr="00000000" w14:paraId="0000014B">
      <w:pPr>
        <w:jc w:val="both"/>
        <w:rPr/>
      </w:pPr>
      <w:r>
        <w:rPr>
          <w:rtl w:val="0"/>
        </w:rPr>
        <w:t xml:space="preserve">In this model, </w:t>
      </w:r>
      <w:r>
        <w:rPr>
          <w:rFonts w:ascii="Cambria Math" w:cs="Cambria Math" w:eastAsia="Cambria Math" w:hAnsi="Cambria Math"/>
          <w:rtl w:val="0"/>
        </w:rPr>
        <w:t xml:space="preserve">𝐴 </w:t>
      </w:r>
      <w:r>
        <w:rPr>
          <w:rtl w:val="0"/>
        </w:rPr>
        <w:t xml:space="preserve">represents the upper limit of the maximum governance load that an organization can rationally assume under given institutional conditions, resource allocation, and governance capacity levels. Its core significance is not the "tolerability" of risk, nor is it a declaration of subjective risk preference. Rather, it is the </w:t>
      </w:r>
      <w:r>
        <w:rPr>
          <w:b w:val="1"/>
          <w:bCs w:val="1"/>
          <w:rtl w:val="0"/>
        </w:rPr>
        <w:t xml:space="preserve">capacity boundary</w:t>
      </w:r>
      <w:r>
        <w:rPr>
          <w:rtl w:val="0"/>
        </w:rPr>
        <w:t xml:space="preserve"> within which the governance system can maintain normal operations and decision-making quality under realistic conditions. </w:t>
      </w:r>
    </w:p>
    <w:p w:rsidR="00000000" w:rsidDel="00000000" w:rsidP="00000000" w:rsidRDefault="00000000" w:rsidRPr="00000000" w14:paraId="0000014C">
      <w:pPr>
        <w:jc w:val="both"/>
        <w:rPr/>
      </w:pPr>
      <w:r>
        <w:rPr>
          <w:rtl w:val="0"/>
        </w:rPr>
        <w:t xml:space="preserve">It must be emphasized that </w:t>
      </w:r>
      <w:r>
        <w:rPr>
          <w:rFonts w:ascii="Cambria Math" w:cs="Cambria Math" w:eastAsia="Cambria Math" w:hAnsi="Cambria Math"/>
          <w:rtl w:val="0"/>
        </w:rPr>
        <w:t xml:space="preserve">𝐴 </w:t>
      </w:r>
      <w:r>
        <w:rPr>
          <w:rtl w:val="0"/>
        </w:rPr>
        <w:t xml:space="preserve">is not derived endogenously from risk generation or governance outcomes; instead, it is an </w:t>
      </w:r>
      <w:r>
        <w:rPr>
          <w:b w:val="1"/>
          <w:bCs w:val="1"/>
          <w:rtl w:val="0"/>
        </w:rPr>
        <w:t xml:space="preserve">exogenously defined governance capacity parameter</w:t>
      </w:r>
      <w:r>
        <w:rPr>
          <w:rtl w:val="0"/>
        </w:rPr>
        <w:t xml:space="preserve">. Risk itself cannot determine how much governance pressure an organization can bear. The same level of governance exposure may lead to vastly different consequences for different organizations. The existence of </w:t>
      </w:r>
      <w:r>
        <w:rPr>
          <w:rFonts w:ascii="Cambria Math" w:cs="Cambria Math" w:eastAsia="Cambria Math" w:hAnsi="Cambria Math"/>
          <w:rtl w:val="0"/>
        </w:rPr>
        <w:t xml:space="preserve">𝐴 </w:t>
      </w:r>
      <w:r>
        <w:rPr>
          <w:rtl w:val="0"/>
        </w:rPr>
        <w:t xml:space="preserve">explicitly introduces this variance into the model, ensuring that governance judgments do not fall into the oversimplified trap of "looking only at the risk while ignoring the capacity." </w:t>
      </w:r>
    </w:p>
    <w:p w:rsidR="00000000" w:rsidDel="00000000" w:rsidP="00000000" w:rsidRDefault="00000000" w:rsidRPr="00000000" w14:paraId="0000014D">
      <w:pPr>
        <w:jc w:val="both"/>
        <w:rPr/>
      </w:pPr>
      <w:r>
        <w:rPr>
          <w:rtl w:val="0"/>
        </w:rPr>
        <w:t xml:space="preserve">From a governance semantic perspective, </w:t>
      </w:r>
      <w:r>
        <w:rPr>
          <w:rFonts w:ascii="Cambria Math" w:cs="Cambria Math" w:eastAsia="Cambria Math" w:hAnsi="Cambria Math"/>
          <w:rtl w:val="0"/>
        </w:rPr>
        <w:t xml:space="preserve">𝐴 </w:t>
      </w:r>
      <w:r>
        <w:rPr>
          <w:rtl w:val="0"/>
        </w:rPr>
        <w:t xml:space="preserve">reflects the result of a composite set of conditions, including but not limited to: the scale of governance resources, institutional maturity, decision-making speed, organizational coordination capabilities, and the resilience to maintain governance quality under stress. When the Overall Governance Exposure (</w:t>
      </w:r>
      <w:r>
        <w:rPr>
          <w:rFonts w:ascii="Cambria Math" w:cs="Cambria Math" w:eastAsia="Cambria Math" w:hAnsi="Cambria Math"/>
          <w:rtl w:val="0"/>
        </w:rPr>
        <w:t xml:space="preserve">𝐺</w:t>
      </w:r>
      <w:r>
        <w:rPr>
          <w:rtl w:val="0"/>
        </w:rPr>
        <w:t xml:space="preserve">) is lower than </w:t>
      </w:r>
      <w:r>
        <w:rPr>
          <w:rFonts w:ascii="Cambria Math" w:cs="Cambria Math" w:eastAsia="Cambria Math" w:hAnsi="Cambria Math"/>
          <w:rtl w:val="0"/>
        </w:rPr>
        <w:t xml:space="preserve">𝐴</w:t>
      </w:r>
      <w:r>
        <w:rPr>
          <w:rtl w:val="0"/>
        </w:rPr>
        <w:t xml:space="preserve">, it indicates that the governance system retains a margin for absorption and adjustment. When </w:t>
      </w:r>
      <w:r>
        <w:rPr>
          <w:rFonts w:ascii="Cambria Math" w:cs="Cambria Math" w:eastAsia="Cambria Math" w:hAnsi="Cambria Math"/>
          <w:rtl w:val="0"/>
        </w:rPr>
        <w:t xml:space="preserve">𝐺 </w:t>
      </w:r>
      <w:r>
        <w:rPr>
          <w:rtl w:val="0"/>
        </w:rPr>
        <w:t xml:space="preserve">approaches or exceeds </w:t>
      </w:r>
      <w:r>
        <w:rPr>
          <w:rFonts w:ascii="Cambria Math" w:cs="Cambria Math" w:eastAsia="Cambria Math" w:hAnsi="Cambria Math"/>
          <w:rtl w:val="0"/>
        </w:rPr>
        <w:t xml:space="preserve">𝐴</w:t>
      </w:r>
      <w:r>
        <w:rPr>
          <w:rtl w:val="0"/>
        </w:rPr>
        <w:t xml:space="preserve">, it signifies that the governance system has entered a state of high pressure; even if risks have not yet materialized, the system may suffer from misjudgments, delays, or systemic failure due to governance overload. </w:t>
      </w:r>
    </w:p>
    <w:p w:rsidR="00000000" w:rsidDel="00000000" w:rsidP="00000000" w:rsidRDefault="00000000" w:rsidRPr="00000000" w14:paraId="0000014E">
      <w:pPr>
        <w:jc w:val="both"/>
        <w:rPr/>
      </w:pPr>
      <w:r>
        <w:rPr>
          <w:rtl w:val="0"/>
        </w:rPr>
        <w:t xml:space="preserve">In practical application, the method for setting </w:t>
      </w:r>
      <w:r>
        <w:rPr>
          <w:rFonts w:ascii="Cambria Math" w:cs="Cambria Math" w:eastAsia="Cambria Math" w:hAnsi="Cambria Math"/>
          <w:rtl w:val="0"/>
        </w:rPr>
        <w:t xml:space="preserve">𝐴 </w:t>
      </w:r>
      <w:r>
        <w:rPr>
          <w:rtl w:val="0"/>
        </w:rPr>
        <w:t xml:space="preserve">may vary depending on governance maturity: </w:t>
      </w:r>
    </w:p>
    <w:p w:rsidR="00000000" w:rsidDel="00000000" w:rsidP="00000000" w:rsidRDefault="00000000" w:rsidRPr="00000000" w14:paraId="0000014F">
      <w:pPr>
        <w:numPr>
          <w:ilvl w:val="0"/>
          <w:numId w:val="19"/>
        </w:numPr>
        <w:ind w:left="720" w:hanging="360"/>
        <w:jc w:val="both"/>
        <w:rPr/>
      </w:pPr>
      <w:r>
        <w:rPr>
          <w:rtl w:val="0"/>
        </w:rPr>
        <w:t xml:space="preserve">In contexts where governance systems are incomplete or data availability is limited, </w:t>
      </w:r>
      <w:r>
        <w:rPr>
          <w:rFonts w:ascii="Cambria Math" w:cs="Cambria Math" w:eastAsia="Cambria Math" w:hAnsi="Cambria Math"/>
          <w:rtl w:val="0"/>
        </w:rPr>
        <w:t xml:space="preserve">𝐴 </w:t>
      </w:r>
      <w:r>
        <w:rPr>
          <w:rtl w:val="0"/>
        </w:rPr>
        <w:t xml:space="preserve">can serve as a </w:t>
      </w:r>
      <w:r>
        <w:rPr>
          <w:b w:val="1"/>
          <w:bCs w:val="1"/>
          <w:rtl w:val="0"/>
        </w:rPr>
        <w:t xml:space="preserve">strategic setting</w:t>
      </w:r>
      <w:r>
        <w:rPr>
          <w:rtl w:val="0"/>
        </w:rPr>
        <w:t xml:space="preserve">, defined by the leadership based on overall resources and the organization’s risk-assumption culture.</w:t>
      </w:r>
    </w:p>
    <w:p w:rsidR="00000000" w:rsidDel="00000000" w:rsidP="00000000" w:rsidRDefault="00000000" w:rsidRPr="00000000" w14:paraId="00000150">
      <w:pPr>
        <w:numPr>
          <w:ilvl w:val="0"/>
          <w:numId w:val="19"/>
        </w:numPr>
        <w:ind w:left="720" w:hanging="360"/>
        <w:jc w:val="both"/>
        <w:rPr/>
      </w:pPr>
      <w:r>
        <w:rPr>
          <w:rtl w:val="0"/>
        </w:rPr>
        <w:t xml:space="preserve">In more mature organizations, </w:t>
      </w:r>
      <w:r>
        <w:rPr>
          <w:rFonts w:ascii="Cambria Math" w:cs="Cambria Math" w:eastAsia="Cambria Math" w:hAnsi="Cambria Math"/>
          <w:rtl w:val="0"/>
        </w:rPr>
        <w:t xml:space="preserve">𝐴 </w:t>
      </w:r>
      <w:r>
        <w:rPr>
          <w:rtl w:val="0"/>
        </w:rPr>
        <w:t xml:space="preserve">can be calibrated through historical governance performance, resource load states, or institutional bottlenecks.</w:t>
      </w:r>
    </w:p>
    <w:p w:rsidR="00000000" w:rsidDel="00000000" w:rsidP="00000000" w:rsidRDefault="00000000" w:rsidRPr="00000000" w14:paraId="00000151">
      <w:pPr>
        <w:numPr>
          <w:ilvl w:val="0"/>
          <w:numId w:val="19"/>
        </w:numPr>
        <w:ind w:left="720" w:hanging="360"/>
        <w:jc w:val="both"/>
        <w:rPr/>
      </w:pPr>
      <w:r>
        <w:rPr>
          <w:rtl w:val="0"/>
        </w:rPr>
        <w:t xml:space="preserve">In highly governance-oriented applications, </w:t>
      </w:r>
      <w:r>
        <w:rPr>
          <w:rFonts w:ascii="Cambria Math" w:cs="Cambria Math" w:eastAsia="Cambria Math" w:hAnsi="Cambria Math"/>
          <w:rtl w:val="0"/>
        </w:rPr>
        <w:t xml:space="preserve">𝐴 </w:t>
      </w:r>
      <w:r>
        <w:rPr>
          <w:rtl w:val="0"/>
        </w:rPr>
        <w:t xml:space="preserve">can be treated as a </w:t>
      </w:r>
      <w:r>
        <w:rPr>
          <w:b w:val="1"/>
          <w:bCs w:val="1"/>
          <w:rtl w:val="0"/>
        </w:rPr>
        <w:t xml:space="preserve">dynamic parameter</w:t>
      </w:r>
      <w:r>
        <w:rPr>
          <w:rtl w:val="0"/>
        </w:rPr>
        <w:t xml:space="preserve"> that adjusts as governance capacity improves or the external environment changes. </w:t>
      </w:r>
    </w:p>
    <w:p w:rsidR="00000000" w:rsidDel="00000000" w:rsidP="00000000" w:rsidRDefault="00000000" w:rsidRPr="00000000" w14:paraId="00000152">
      <w:pPr>
        <w:jc w:val="both"/>
        <w:rPr/>
      </w:pPr>
      <w:r>
        <w:rPr>
          <w:rtl w:val="0"/>
        </w:rPr>
        <w:t xml:space="preserve">Regardless of the setting method, the function of </w:t>
      </w:r>
      <w:r>
        <w:rPr>
          <w:rFonts w:ascii="Cambria Math" w:cs="Cambria Math" w:eastAsia="Cambria Math" w:hAnsi="Cambria Math"/>
          <w:rtl w:val="0"/>
        </w:rPr>
        <w:t xml:space="preserve">𝐴 </w:t>
      </w:r>
      <w:r>
        <w:rPr>
          <w:rtl w:val="0"/>
        </w:rPr>
        <w:t xml:space="preserve">is not to provide a "correct answer," but to establish a governance acceptance benchmark that can be consistently referenced, reviewed, and adjusted. Only when </w:t>
      </w:r>
      <w:r>
        <w:rPr>
          <w:rFonts w:ascii="Cambria Math" w:cs="Cambria Math" w:eastAsia="Cambria Math" w:hAnsi="Cambria Math"/>
          <w:rtl w:val="0"/>
        </w:rPr>
        <w:t xml:space="preserve">𝐴 </w:t>
      </w:r>
      <w:r>
        <w:rPr>
          <w:rtl w:val="0"/>
        </w:rPr>
        <w:t xml:space="preserve">is clearly defined can the judgment of risk pressure transform from a descriptive analysis into an actionable basis for governance decisions. </w:t>
      </w:r>
    </w:p>
    <w:p w:rsidR="00000000" w:rsidDel="00000000" w:rsidP="00000000" w:rsidRDefault="00000000" w:rsidRPr="00000000" w14:paraId="00000153">
      <w:pPr>
        <w:jc w:val="both"/>
        <w:rPr/>
      </w:pPr>
      <w:r>
        <w:rPr>
          <w:rtl w:val="0"/>
        </w:rPr>
        <w:t xml:space="preserve">The introduction of the Acceptance Threshold (</w:t>
      </w:r>
      <w:r>
        <w:rPr>
          <w:rFonts w:ascii="Cambria Math" w:cs="Cambria Math" w:eastAsia="Cambria Math" w:hAnsi="Cambria Math"/>
          <w:rtl w:val="0"/>
        </w:rPr>
        <w:t xml:space="preserve">𝐴</w:t>
      </w:r>
      <w:r>
        <w:rPr>
          <w:rtl w:val="0"/>
        </w:rPr>
        <w:t xml:space="preserve">) enables the model to complete the critical transition from "quantifying governance consequences" to </w:t>
      </w:r>
      <w:r>
        <w:rPr>
          <w:b w:val="1"/>
          <w:bCs w:val="1"/>
          <w:rtl w:val="0"/>
        </w:rPr>
        <w:t xml:space="preserve">"judging governance capacity,"</w:t>
      </w:r>
      <w:r>
        <w:rPr>
          <w:rtl w:val="0"/>
        </w:rPr>
        <w:t xml:space="preserve"> laying the necessary foundation for the formalized calculation and status judgment of subsequent Risk Load Ratios. </w:t>
      </w:r>
    </w:p>
    <w:p w:rsidR="00000000" w:rsidDel="00000000" w:rsidP="00000000" w:rsidRDefault="00000000" w:rsidRPr="00000000" w14:paraId="00000154">
      <w:pPr>
        <w:jc w:val="both"/>
        <w:rPr/>
      </w:pPr>
      <w:r>
        <w:rPr>
          <w:rtl w:val="0"/>
        </w:rPr>
        <w:t xml:space="preserve">In practice, </w:t>
      </w:r>
      <w:r>
        <w:rPr>
          <w:rFonts w:ascii="Cambria Math" w:cs="Cambria Math" w:eastAsia="Cambria Math" w:hAnsi="Cambria Math"/>
          <w:rtl w:val="0"/>
        </w:rPr>
        <w:t xml:space="preserve">𝐴 </w:t>
      </w:r>
      <w:r>
        <w:rPr>
          <w:rtl w:val="0"/>
        </w:rPr>
        <w:t xml:space="preserve">can also be formalized according to organizational governance capacity to enhance the model's operability. For example, </w:t>
      </w:r>
      <w:r>
        <w:rPr>
          <w:rFonts w:ascii="Cambria Math" w:cs="Cambria Math" w:eastAsia="Cambria Math" w:hAnsi="Cambria Math"/>
          <w:rtl w:val="0"/>
        </w:rPr>
        <w:t xml:space="preserve">𝐴 </w:t>
      </w:r>
      <w:r>
        <w:rPr>
          <w:rtl w:val="0"/>
        </w:rPr>
        <w:t xml:space="preserve">can be expressed as a relative function of governance capacity and organizational time pressure, such as: </w:t>
      </w:r>
      <w:r>
        <w:rPr/>
        <w:drawing>
          <wp:inline distB="0" distT="0" distL="0" distR="0">
            <wp:extent cx="9525" cy="9525"/>
            <wp:effectExtent b="0" l="0" r="0" t="0"/>
            <wp:docPr id="2052077852"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tl w:val="0"/>
        </w:rPr>
      </w:r>
    </w:p>
    <w:p w:rsidR="00000000" w:rsidDel="00000000" w:rsidP="00000000" w:rsidRDefault="00000000" w:rsidRPr="00000000" w14:paraId="00000155">
      <w:pPr>
        <w:jc w:val="center"/>
        <w:rPr>
          <w:rFonts w:ascii="Cambria Math" w:cs="Cambria Math" w:eastAsia="Cambria Math" w:hAnsi="Cambria Math"/>
        </w:rPr>
      </w:pPr>
      <m:oMath>
        <m:r>
          <w:rPr>
            <w:rFonts w:ascii="Cambria Math" w:cs="Cambria Math" w:eastAsia="Cambria Math" w:hAnsi="Cambria Math"/>
          </w:rPr>
          <m:t xml:space="preserve">A=</m:t>
        </m:r>
        <m:r>
          <w:rPr>
            <w:rFonts w:ascii="Cambria Math" w:cs="Cambria Math" w:eastAsia="Cambria Math" w:hAnsi="Cambria Math"/>
          </w:rPr>
          <m:t>λ</m:t>
        </m:r>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Cap</m:t>
            </m:r>
          </m:num>
          <m:den>
            <m:sSub>
              <m:sSubPr>
                <m:ctrlPr>
                  <w:rPr>
                    <w:rFonts w:ascii="Cambria Math" w:cs="Cambria Math" w:eastAsia="Cambria Math" w:hAnsi="Cambria Math"/>
                  </w:rPr>
                </m:ctrlPr>
              </m:sSubPr>
              <m:e>
                <m:r>
                  <w:rPr>
                    <w:rFonts w:ascii="Cambria Math" w:cs="Cambria Math" w:eastAsia="Cambria Math" w:hAnsi="Cambria Math"/>
                  </w:rPr>
                  <m:t xml:space="preserve">TP</m:t>
                </m:r>
              </m:e>
              <m:sub>
                <m:r>
                  <w:rPr>
                    <w:rFonts w:ascii="Cambria Math" w:cs="Cambria Math" w:eastAsia="Cambria Math" w:hAnsi="Cambria Math"/>
                  </w:rPr>
                  <m:t xml:space="preserve">org</m:t>
                </m:r>
              </m:sub>
            </m:sSub>
          </m:den>
        </m:f>
      </m:oMath>
      <w:r>
        <w:rPr>
          <w:rtl w:val="0"/>
        </w:rPr>
      </w:r>
    </w:p>
    <w:p w:rsidR="00000000" w:rsidDel="00000000" w:rsidP="00000000" w:rsidRDefault="00000000" w:rsidRPr="00000000" w14:paraId="00000156">
      <w:pPr>
        <w:jc w:val="both"/>
        <w:rPr/>
      </w:pPr>
      <w:r>
        <w:rPr>
          <w:rtl w:val="0"/>
        </w:rPr>
        <w:t xml:space="preserve">Where: </w:t>
      </w:r>
    </w:p>
    <w:p w:rsidR="00000000" w:rsidDel="00000000" w:rsidP="00000000" w:rsidRDefault="00000000" w:rsidRPr="00000000" w14:paraId="00000157">
      <w:pPr>
        <w:numPr>
          <w:ilvl w:val="0"/>
          <w:numId w:val="20"/>
        </w:numPr>
        <w:ind w:left="720" w:hanging="360"/>
        <w:jc w:val="both"/>
        <w:rPr/>
      </w:pPr>
      <w:r>
        <w:rPr>
          <w:b w:val="1"/>
          <w:bCs w:val="1"/>
          <w:rtl w:val="0"/>
        </w:rPr>
        <w:t xml:space="preserve">Cap: Represents the organization’s loss-absorbing capacity that can be invested in governance, expressed in the same unit as 𝐺.</w:t>
      </w:r>
    </w:p>
    <w:p w:rsidR="00000000" w:rsidDel="00000000" w:rsidP="00000000" w:rsidRDefault="00000000" w:rsidRPr="00000000" w14:paraId="00000158">
      <w:pPr>
        <w:numPr>
          <w:ilvl w:val="0"/>
          <w:numId w:val="20"/>
        </w:numPr>
        <w:ind w:left="720" w:hanging="360"/>
        <w:jc w:val="both"/>
        <w:rPr/>
      </w:pPr>
      <w:r>
        <w:rPr>
          <w:rFonts w:ascii="Cambria Math" w:cs="Cambria Math" w:eastAsia="Cambria Math" w:hAnsi="Cambria Math"/>
          <w:b w:val="1"/>
          <w:bCs w:val="1"/>
          <w:rtl w:val="0"/>
        </w:rPr>
        <w:t xml:space="preserve">𝑇𝑃𝑜𝑟𝑔: Represents the organization’s average governance response cycle under established institutional and decision-making processes, expressed relative to a reference cycle so that it carries no unit; 𝐺 and 𝐴 then share the same unit and 𝐿𝑅 = 𝐺/𝐴 is unit-free.</w:t>
      </w:r>
    </w:p>
    <w:p w:rsidR="00000000" w:rsidDel="00000000" w:rsidP="00000000" w:rsidRDefault="00000000" w:rsidRPr="00000000" w14:paraId="00000159">
      <w:pPr>
        <w:numPr>
          <w:ilvl w:val="0"/>
          <w:numId w:val="20"/>
        </w:numPr>
        <w:ind w:left="720" w:hanging="360"/>
        <w:jc w:val="both"/>
        <w:rPr/>
      </w:pPr>
      <w:r>
        <w:rPr>
          <w:b w:val="1"/>
          <w:bCs w:val="1"/>
        </w:rPr>
        <w:drawing>
          <wp:inline distB="0" distT="0" distL="0" distR="0">
            <wp:extent cx="9525" cy="9525"/>
            <wp:effectExtent b="0" l="0" r="0" t="0"/>
            <wp:docPr id="2052077855"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Pr>
          <w:rFonts w:ascii="Cambria Math" w:cs="Cambria Math" w:eastAsia="Cambria Math" w:hAnsi="Cambria Math"/>
          <w:b w:val="1"/>
          <w:bCs w:val="1"/>
          <w:rtl w:val="0"/>
        </w:rPr>
        <w:t xml:space="preserve">𝜆</w:t>
      </w:r>
      <w:r>
        <w:rPr>
          <w:rtl w:val="0"/>
        </w:rPr>
        <w:t xml:space="preserve">: A calibration coefficient used to reflect the degree of governance conservatism or institutional flexibility. </w:t>
      </w:r>
    </w:p>
    <w:p w:rsidR="00000000" w:rsidDel="00000000" w:rsidP="00000000" w:rsidRDefault="00000000" w:rsidRPr="00000000" w14:paraId="0000015A">
      <w:pPr>
        <w:jc w:val="both"/>
        <w:rPr/>
      </w:pPr>
      <w:r>
        <w:rPr>
          <w:rtl w:val="0"/>
        </w:rPr>
        <w:t xml:space="preserve">The purpose of this representation is not to provide the only or definitive form of </w:t>
      </w:r>
      <w:r>
        <w:rPr>
          <w:rFonts w:ascii="Cambria Math" w:cs="Cambria Math" w:eastAsia="Cambria Math" w:hAnsi="Cambria Math"/>
          <w:rtl w:val="0"/>
        </w:rPr>
        <w:t xml:space="preserve">𝐴</w:t>
      </w:r>
      <w:r>
        <w:rPr>
          <w:rtl w:val="0"/>
        </w:rPr>
        <w:t xml:space="preserve">, but to demonstrate how "governance acceptance capacity" can be translated into a quantitative benchmark comparable to Overall Governance Exposure. This paper does not elaborate on the measurement or calibration methods for Cap, </w:t>
      </w:r>
      <w:r>
        <w:rPr>
          <w:rFonts w:ascii="Cambria Math" w:cs="Cambria Math" w:eastAsia="Cambria Math" w:hAnsi="Cambria Math"/>
          <w:rtl w:val="0"/>
        </w:rPr>
        <w:t xml:space="preserve">𝑇𝑃𝑜𝑟𝑔</w:t>
      </w:r>
      <w:r>
        <w:rPr>
          <w:rtl w:val="0"/>
        </w:rPr>
        <w:t xml:space="preserve">, and </w:t>
      </w:r>
      <w:r>
        <w:rPr>
          <w:rFonts w:ascii="Cambria Math" w:cs="Cambria Math" w:eastAsia="Cambria Math" w:hAnsi="Cambria Math"/>
          <w:rtl w:val="0"/>
        </w:rPr>
        <w:t xml:space="preserve">𝜆</w:t>
      </w:r>
      <w:r>
        <w:rPr>
          <w:rtl w:val="0"/>
        </w:rPr>
        <w:t xml:space="preserve">; their specific settings can be designed separately based on organizational data availability and governance maturity. The core focus of the model remains the comparison logic between </w:t>
      </w:r>
      <w:r>
        <w:rPr>
          <w:rFonts w:ascii="Cambria Math" w:cs="Cambria Math" w:eastAsia="Cambria Math" w:hAnsi="Cambria Math"/>
          <w:rtl w:val="0"/>
        </w:rPr>
        <w:t xml:space="preserve">𝐺 </w:t>
      </w:r>
      <w:r>
        <w:rPr>
          <w:rtl w:val="0"/>
        </w:rPr>
        <w:t xml:space="preserve">and </w:t>
      </w:r>
      <w:r>
        <w:rPr>
          <w:rFonts w:ascii="Cambria Math" w:cs="Cambria Math" w:eastAsia="Cambria Math" w:hAnsi="Cambria Math"/>
          <w:rtl w:val="0"/>
        </w:rPr>
        <w:t xml:space="preserve">𝐴 </w:t>
      </w:r>
      <w:r>
        <w:rPr>
          <w:rtl w:val="0"/>
        </w:rPr>
        <w:t xml:space="preserve">and the resulting judgment of governance pressure. </w:t>
      </w:r>
    </w:p>
    <w:p w:rsidR="00000000" w:rsidDel="00000000" w:rsidP="00000000" w:rsidRDefault="00000000" w:rsidRPr="00000000" w14:paraId="0000015B">
      <w:pPr>
        <w:jc w:val="both"/>
        <w:rPr>
          <w:b w:val="1"/>
          <w:bCs w:val="1"/>
        </w:rPr>
      </w:pPr>
      <w:r>
        <w:rPr>
          <w:b w:val="1"/>
          <w:bCs w:val="1"/>
          <w:rtl w:val="0"/>
        </w:rPr>
        <w:t xml:space="preserve">Formalized Determination of the Risk Load Ratio (</w:t>
      </w:r>
      <w:r>
        <w:rPr>
          <w:rFonts w:ascii="Cambria Math" w:cs="Cambria Math" w:eastAsia="Cambria Math" w:hAnsi="Cambria Math"/>
          <w:b w:val="1"/>
          <w:bCs w:val="1"/>
          <w:rtl w:val="0"/>
        </w:rPr>
        <w:t xml:space="preserve">𝐿𝑅</w:t>
      </w:r>
      <w:r>
        <w:rPr>
          <w:b w:val="1"/>
          <w:bCs w:val="1"/>
          <w:rtl w:val="0"/>
        </w:rPr>
        <w:t xml:space="preserve">) </w:t>
      </w:r>
    </w:p>
    <w:p w:rsidR="00000000" w:rsidDel="00000000" w:rsidP="00000000" w:rsidRDefault="00000000" w:rsidRPr="00000000" w14:paraId="0000015C">
      <w:pPr>
        <w:jc w:val="both"/>
        <w:rPr/>
      </w:pPr>
      <w:r>
        <w:rPr>
          <w:rtl w:val="0"/>
        </w:rPr>
        <w:t xml:space="preserve">Once the Acceptance Threshold (</w:t>
      </w:r>
      <w:r>
        <w:rPr>
          <w:rFonts w:ascii="Cambria Math" w:cs="Cambria Math" w:eastAsia="Cambria Math" w:hAnsi="Cambria Math"/>
          <w:rtl w:val="0"/>
        </w:rPr>
        <w:t xml:space="preserve">𝐴</w:t>
      </w:r>
      <w:r>
        <w:rPr>
          <w:rtl w:val="0"/>
        </w:rPr>
        <w:t xml:space="preserve">) is clearly defined, the </w:t>
      </w:r>
      <w:r>
        <w:rPr>
          <w:b w:val="1"/>
          <w:bCs w:val="1"/>
          <w:rtl w:val="0"/>
        </w:rPr>
        <w:t xml:space="preserve">Risk Load Ratio (</w:t>
      </w:r>
      <w:r>
        <w:rPr>
          <w:rFonts w:ascii="Cambria Math" w:cs="Cambria Math" w:eastAsia="Cambria Math" w:hAnsi="Cambria Math"/>
          <w:b w:val="1"/>
          <w:bCs w:val="1"/>
          <w:rtl w:val="0"/>
        </w:rPr>
        <w:t xml:space="preserve">𝐿𝑅</w:t>
      </w:r>
      <w:r>
        <w:rPr>
          <w:b w:val="1"/>
          <w:bCs w:val="1"/>
          <w:rtl w:val="0"/>
        </w:rPr>
        <w:t xml:space="preserve">)</w:t>
      </w:r>
      <w:r>
        <w:rPr>
          <w:rtl w:val="0"/>
        </w:rPr>
        <w:t xml:space="preserve"> can achieve its formalized definition. In this model, </w:t>
      </w:r>
      <w:r>
        <w:rPr>
          <w:rFonts w:ascii="Cambria Math" w:cs="Cambria Math" w:eastAsia="Cambria Math" w:hAnsi="Cambria Math"/>
          <w:rtl w:val="0"/>
        </w:rPr>
        <w:t xml:space="preserve">𝐿𝑅 </w:t>
      </w:r>
      <w:r>
        <w:rPr>
          <w:rtl w:val="0"/>
        </w:rPr>
        <w:t xml:space="preserve">represents the degree of pressure exerted by the overall governance exposure relative to the organization's acceptable governance capacity. Its calculation formula is: </w:t>
      </w:r>
    </w:p>
    <w:p w:rsidR="00000000" w:rsidDel="00000000" w:rsidP="00000000" w:rsidRDefault="00000000" w:rsidRPr="00000000" w14:paraId="0000015D">
      <w:pPr>
        <w:jc w:val="center"/>
        <w:rPr>
          <w:rFonts w:ascii="Cambria Math" w:cs="Cambria Math" w:eastAsia="Cambria Math" w:hAnsi="Cambria Math"/>
        </w:rPr>
      </w:pPr>
      <m:oMath>
        <m:r>
          <w:rPr>
            <w:rFonts w:ascii="Cambria Math" w:cs="Cambria Math" w:eastAsia="Cambria Math" w:hAnsi="Cambria Math"/>
          </w:rPr>
          <m:t xml:space="preserve">LR=</m:t>
        </m:r>
        <m:f>
          <m:fPr>
            <m:ctrlPr>
              <w:rPr>
                <w:rFonts w:ascii="Cambria Math" w:cs="Cambria Math" w:eastAsia="Cambria Math" w:hAnsi="Cambria Math"/>
              </w:rPr>
            </m:ctrlPr>
          </m:fPr>
          <m:num>
            <m:r>
              <w:rPr>
                <w:rFonts w:ascii="Cambria Math" w:cs="Cambria Math" w:eastAsia="Cambria Math" w:hAnsi="Cambria Math"/>
              </w:rPr>
              <m:t xml:space="preserve">G</m:t>
            </m:r>
          </m:num>
          <m:den>
            <m:r>
              <w:rPr>
                <w:rFonts w:ascii="Cambria Math" w:cs="Cambria Math" w:eastAsia="Cambria Math" w:hAnsi="Cambria Math"/>
              </w:rPr>
              <m:t xml:space="preserve">A</m:t>
            </m:r>
          </m:den>
        </m:f>
      </m:oMath>
      <w:r>
        <w:rPr>
          <w:rtl w:val="0"/>
        </w:rPr>
      </w:r>
    </w:p>
    <w:p w:rsidR="00000000" w:rsidDel="00000000" w:rsidP="00000000" w:rsidRDefault="00000000" w:rsidRPr="00000000" w14:paraId="0000015E">
      <w:pPr>
        <w:jc w:val="both"/>
        <w:rPr/>
      </w:pPr>
      <w:r>
        <w:rPr>
          <w:rtl w:val="0"/>
        </w:rPr>
        <w:t xml:space="preserve">Where </w:t>
      </w:r>
      <w:r>
        <w:rPr>
          <w:rFonts w:ascii="Cambria Math" w:cs="Cambria Math" w:eastAsia="Cambria Math" w:hAnsi="Cambria Math"/>
          <w:b w:val="1"/>
          <w:bCs w:val="1"/>
          <w:rtl w:val="0"/>
        </w:rPr>
        <w:t xml:space="preserve">𝐺 </w:t>
      </w:r>
      <w:r>
        <w:rPr>
          <w:rtl w:val="0"/>
        </w:rPr>
        <w:t xml:space="preserve">is the Overall Governance Exposure formed by the coexistence of multiple risks at a specific decision point, and </w:t>
      </w:r>
      <w:r>
        <w:rPr>
          <w:rFonts w:ascii="Cambria Math" w:cs="Cambria Math" w:eastAsia="Cambria Math" w:hAnsi="Cambria Math"/>
          <w:b w:val="1"/>
          <w:bCs w:val="1"/>
          <w:rtl w:val="0"/>
        </w:rPr>
        <w:t xml:space="preserve">𝐴 </w:t>
      </w:r>
      <w:r>
        <w:rPr>
          <w:rtl w:val="0"/>
        </w:rPr>
        <w:t xml:space="preserve">is the upper limit of the governance load that the organization can assume under established institutional, resource, and capacity conditions. Through the ratio of these two values, </w:t>
      </w:r>
      <w:r>
        <w:rPr>
          <w:rFonts w:ascii="Cambria Math" w:cs="Cambria Math" w:eastAsia="Cambria Math" w:hAnsi="Cambria Math"/>
          <w:rtl w:val="0"/>
        </w:rPr>
        <w:t xml:space="preserve">𝐿𝑅 </w:t>
      </w:r>
      <w:r>
        <w:rPr>
          <w:rtl w:val="0"/>
        </w:rPr>
        <w:t xml:space="preserve">translates post-governance risk burdens into a pressure indicator suitable for status determination. </w:t>
      </w:r>
    </w:p>
    <w:p w:rsidR="00000000" w:rsidDel="00000000" w:rsidP="00000000" w:rsidRDefault="00000000" w:rsidRPr="00000000" w14:paraId="0000015F">
      <w:pPr>
        <w:jc w:val="both"/>
        <w:rPr/>
      </w:pPr>
      <w:r>
        <w:rPr>
          <w:rtl w:val="0"/>
        </w:rPr>
        <w:t xml:space="preserve">In governance semantics, </w:t>
      </w:r>
      <w:r>
        <w:rPr>
          <w:rFonts w:ascii="Cambria Math" w:cs="Cambria Math" w:eastAsia="Cambria Math" w:hAnsi="Cambria Math"/>
          <w:rtl w:val="0"/>
        </w:rPr>
        <w:t xml:space="preserve">𝐿𝑅 </w:t>
      </w:r>
      <w:r>
        <w:rPr>
          <w:rtl w:val="0"/>
        </w:rPr>
        <w:t xml:space="preserve">reflects not the magnitude of the risks themselves, but the degree of </w:t>
      </w:r>
      <w:r>
        <w:rPr>
          <w:b w:val="1"/>
          <w:bCs w:val="1"/>
          <w:rtl w:val="0"/>
        </w:rPr>
        <w:t xml:space="preserve">systemic tension</w:t>
      </w:r>
      <w:r>
        <w:rPr>
          <w:rtl w:val="0"/>
        </w:rPr>
        <w:t xml:space="preserve"> within the governance structure. When </w:t>
      </w:r>
      <w:r>
        <w:rPr>
          <w:rFonts w:ascii="Cambria Math" w:cs="Cambria Math" w:eastAsia="Cambria Math" w:hAnsi="Cambria Math"/>
          <w:rtl w:val="0"/>
        </w:rPr>
        <w:t xml:space="preserve">𝐿𝑅 </w:t>
      </w:r>
      <w:r>
        <w:rPr>
          <w:rtl w:val="0"/>
        </w:rPr>
        <w:t xml:space="preserve">is below 1, it indicates that the overall governance exposure remains within the organization’s tolerable range, and the governance system retains the margin to adjust and absorb risks. When </w:t>
      </w:r>
      <w:r>
        <w:rPr>
          <w:rFonts w:ascii="Cambria Math" w:cs="Cambria Math" w:eastAsia="Cambria Math" w:hAnsi="Cambria Math"/>
          <w:rtl w:val="0"/>
        </w:rPr>
        <w:t xml:space="preserve">𝐿𝑅 </w:t>
      </w:r>
      <w:r>
        <w:rPr>
          <w:rtl w:val="0"/>
        </w:rPr>
        <w:t xml:space="preserve">approaches or exceeds 1, it signifies that the governance load is nearing or has surpassed the capacity boundary. Even if a risk event has not yet materialized, the governance system may suffer from declining decision-making quality or governance imbalance due to overload. </w:t>
      </w:r>
    </w:p>
    <w:p w:rsidR="00000000" w:rsidDel="00000000" w:rsidP="00000000" w:rsidRDefault="00000000" w:rsidRPr="00000000" w14:paraId="00000160">
      <w:pPr>
        <w:jc w:val="both"/>
        <w:rPr/>
      </w:pPr>
      <w:r>
        <w:rPr>
          <w:rtl w:val="0"/>
        </w:rPr>
        <w:t xml:space="preserve">It must be emphasized that </w:t>
      </w:r>
      <w:r>
        <w:rPr>
          <w:rFonts w:ascii="Cambria Math" w:cs="Cambria Math" w:eastAsia="Cambria Math" w:hAnsi="Cambria Math"/>
          <w:rtl w:val="0"/>
        </w:rPr>
        <w:t xml:space="preserve">𝐿𝑅 </w:t>
      </w:r>
      <w:r>
        <w:rPr>
          <w:rtl w:val="0"/>
        </w:rPr>
        <w:t xml:space="preserve">is not used to predict the probability of risk events, nor is it used to evaluate the importance of a single risk. Instead, it is used to judge whether the </w:t>
      </w:r>
      <w:r>
        <w:rPr>
          <w:b w:val="1"/>
          <w:bCs w:val="1"/>
          <w:rtl w:val="0"/>
        </w:rPr>
        <w:t xml:space="preserve">current governance state remains sustainable</w:t>
      </w:r>
      <w:r>
        <w:rPr>
          <w:rtl w:val="0"/>
        </w:rPr>
        <w:t xml:space="preserve">. In scenarios where </w:t>
      </w:r>
      <w:r>
        <w:rPr>
          <w:rFonts w:ascii="Cambria Math" w:cs="Cambria Math" w:eastAsia="Cambria Math" w:hAnsi="Cambria Math"/>
          <w:rtl w:val="0"/>
        </w:rPr>
        <w:t xml:space="preserve">𝐿𝑅 </w:t>
      </w:r>
      <w:r>
        <w:rPr>
          <w:rtl w:val="0"/>
        </w:rPr>
        <w:t xml:space="preserve">is elevated, governance problems often no longer stem solely from the risk events themselves, but from structural factors such as resource allocation imbalances, decision-making delays, or institutional over-leveraging. </w:t>
      </w:r>
    </w:p>
    <w:p w:rsidR="00000000" w:rsidDel="00000000" w:rsidP="00000000" w:rsidRDefault="00000000" w:rsidRPr="00000000" w14:paraId="00000161">
      <w:pPr>
        <w:jc w:val="both"/>
        <w:rPr/>
      </w:pPr>
      <w:r>
        <w:rPr>
          <w:rtl w:val="0"/>
        </w:rPr>
        <w:t xml:space="preserve">In multi-risk governance practice, the function of </w:t>
      </w:r>
      <w:r>
        <w:rPr>
          <w:rFonts w:ascii="Cambria Math" w:cs="Cambria Math" w:eastAsia="Cambria Math" w:hAnsi="Cambria Math"/>
          <w:rtl w:val="0"/>
        </w:rPr>
        <w:t xml:space="preserve">𝐿𝑅 </w:t>
      </w:r>
      <w:r>
        <w:rPr>
          <w:rtl w:val="0"/>
        </w:rPr>
        <w:t xml:space="preserve">is to provide a consistently referenced benchmark for status determination. This ensures that governance decisions no longer rely solely on risk registers or individual expert judgments, but return to the core question: </w:t>
      </w:r>
      <w:r>
        <w:rPr>
          <w:b w:val="1"/>
          <w:bCs w:val="1"/>
          <w:rtl w:val="0"/>
        </w:rPr>
        <w:t xml:space="preserve">"Can the system as a whole still withstand the pressure?"</w:t>
      </w:r>
      <w:r>
        <w:rPr>
          <w:rtl w:val="0"/>
        </w:rPr>
        <w:t xml:space="preserve"> Combined with the aforementioned decision-making annotations for malignant accumulation, </w:t>
      </w:r>
      <w:r>
        <w:rPr>
          <w:rFonts w:ascii="Cambria Math" w:cs="Cambria Math" w:eastAsia="Cambria Math" w:hAnsi="Cambria Math"/>
          <w:rtl w:val="0"/>
        </w:rPr>
        <w:t xml:space="preserve">𝐿𝑅 </w:t>
      </w:r>
      <w:r>
        <w:rPr>
          <w:rtl w:val="0"/>
        </w:rPr>
        <w:t xml:space="preserve">can further support the prioritization and adjustment of governance actions, while its numerical value maintains a single, traceable logic for judgment. </w:t>
      </w:r>
    </w:p>
    <w:p w:rsidR="00000000" w:rsidDel="00000000" w:rsidP="00000000" w:rsidRDefault="00000000" w:rsidRPr="00000000" w14:paraId="00000162">
      <w:pPr>
        <w:jc w:val="both"/>
        <w:rPr/>
      </w:pPr>
      <w:r>
        <w:rPr>
          <w:rtl w:val="0"/>
        </w:rPr>
        <w:t xml:space="preserve">Through the formalization of the Risk Load Ratio, the model completes the full closed loop—from risk generation, governance intervention, and outcome translation to the determination of the governance state. This establishes multi-risk governance decisions upon a consistent and auditable structure.</w:t>
      </w:r>
    </w:p>
    <w:p w:rsidR="00000000" w:rsidDel="00000000" w:rsidP="00000000" w:rsidRDefault="00000000" w:rsidRPr="00000000" w14:paraId="00000163">
      <w:pPr>
        <w:jc w:val="both"/>
        <w:rPr>
          <w:b w:val="1"/>
          <w:bCs w:val="1"/>
        </w:rPr>
      </w:pPr>
      <w:r>
        <w:rPr>
          <w:b w:val="1"/>
          <w:bCs w:val="1"/>
          <w:rtl w:val="0"/>
        </w:rPr>
        <w:t xml:space="preserve">Chapter 4: Model Construction—The Integrative Logic of the Governance-Oriented Risk Model </w:t>
      </w:r>
    </w:p>
    <w:p w:rsidR="00000000" w:rsidDel="00000000" w:rsidP="00000000" w:rsidRDefault="00000000" w:rsidRPr="00000000" w14:paraId="00000164">
      <w:pPr>
        <w:jc w:val="both"/>
        <w:rPr/>
      </w:pPr>
      <w:r>
        <w:rPr>
          <w:rtl w:val="0"/>
        </w:rPr>
        <w:t xml:space="preserve">The objective of this model is not to pursue the refinement of individual risk values, but rather to address a more fundamental question in multi-risk governance: how to translate the consequential responsibilities of heterogeneous risks—following governance intervention—into a governance language that is comparable, integrable, and supportive of strategic decision-making. Consequently, the model is designed with a layered structure that progresses from </w:t>
      </w:r>
      <w:r>
        <w:rPr>
          <w:b w:val="1"/>
          <w:bCs w:val="1"/>
          <w:rtl w:val="0"/>
        </w:rPr>
        <w:t xml:space="preserve">"Risk Generation"</w:t>
      </w:r>
      <w:r>
        <w:rPr>
          <w:rtl w:val="0"/>
        </w:rPr>
        <w:t xml:space="preserve"> to </w:t>
      </w:r>
      <w:r>
        <w:rPr>
          <w:b w:val="1"/>
          <w:bCs w:val="1"/>
          <w:rtl w:val="0"/>
        </w:rPr>
        <w:t xml:space="preserve">"Governance Judgment."</w:t>
      </w:r>
      <w:r>
        <w:rPr>
          <w:rtl w:val="0"/>
        </w:rPr>
        <w:t xml:space="preserve"> This ensures that each variable corresponds to a specific governance problem, rather than being conflated into a single risk score. </w:t>
      </w:r>
    </w:p>
    <w:p w:rsidR="00000000" w:rsidDel="00000000" w:rsidP="00000000" w:rsidRDefault="00000000" w:rsidRPr="00000000" w14:paraId="00000165">
      <w:pPr>
        <w:jc w:val="both"/>
        <w:rPr/>
      </w:pPr>
      <w:r>
        <w:rPr>
          <w:rtl w:val="0"/>
        </w:rPr>
        <w:t xml:space="preserve">The starting point of the model is the </w:t>
      </w:r>
      <w:r>
        <w:rPr>
          <w:b w:val="1"/>
          <w:bCs w:val="1"/>
          <w:rtl w:val="0"/>
        </w:rPr>
        <w:t xml:space="preserve">Risk Generation Layer</w:t>
      </w:r>
      <w:r>
        <w:rPr>
          <w:rtl w:val="0"/>
        </w:rPr>
        <w:t xml:space="preserve">. This tier uses Single-period Probability (</w:t>
      </w:r>
      <w:r>
        <w:rPr>
          <w:rFonts w:ascii="Cambria Math" w:cs="Cambria Math" w:eastAsia="Cambria Math" w:hAnsi="Cambria Math"/>
          <w:rtl w:val="0"/>
        </w:rPr>
        <w:t xml:space="preserve">𝑃</w:t>
      </w:r>
      <w:r>
        <w:rPr>
          <w:rtl w:val="0"/>
        </w:rPr>
        <w:t xml:space="preserve">), Decision Cycle (</w:t>
      </w:r>
      <w:r>
        <w:rPr>
          <w:rFonts w:ascii="Cambria Math" w:cs="Cambria Math" w:eastAsia="Cambria Math" w:hAnsi="Cambria Math"/>
          <w:rtl w:val="0"/>
        </w:rPr>
        <w:t xml:space="preserve">𝑇</w:t>
      </w:r>
      <w:r>
        <w:rPr>
          <w:rtl w:val="0"/>
        </w:rPr>
        <w:t xml:space="preserve">), Cumulative Risk Probability (</w:t>
      </w:r>
      <w:r>
        <w:rPr>
          <w:rFonts w:ascii="Cambria Math" w:cs="Cambria Math" w:eastAsia="Cambria Math" w:hAnsi="Cambria Math"/>
          <w:rtl w:val="0"/>
        </w:rPr>
        <w:t xml:space="preserve">𝑃𝑐𝑢𝑚</w:t>
      </w:r>
      <w:r>
        <w:rPr>
          <w:rtl w:val="0"/>
        </w:rPr>
        <w:t xml:space="preserve">), and Impact Severity (</w:t>
      </w:r>
      <w:r>
        <w:rPr>
          <w:rFonts w:ascii="Cambria Math" w:cs="Cambria Math" w:eastAsia="Cambria Math" w:hAnsi="Cambria Math"/>
          <w:rtl w:val="0"/>
        </w:rPr>
        <w:t xml:space="preserve">𝐼</w:t>
      </w:r>
      <w:r>
        <w:rPr>
          <w:rtl w:val="0"/>
        </w:rPr>
        <w:t xml:space="preserve">) to describe the natural state of exposure within the structure of time and consequences before governance intervention, thereby forming the Expected Loss (</w:t>
      </w:r>
      <w:r>
        <w:rPr>
          <w:rFonts w:ascii="Cambria Math" w:cs="Cambria Math" w:eastAsia="Cambria Math" w:hAnsi="Cambria Math"/>
          <w:rtl w:val="0"/>
        </w:rPr>
        <w:t xml:space="preserve">𝐿𝑒𝑥𝑝</w:t>
      </w:r>
      <w:r>
        <w:rPr>
          <w:rtl w:val="0"/>
        </w:rPr>
        <w:t xml:space="preserve">). The function of this set of variables is to characterize the </w:t>
      </w:r>
      <w:r>
        <w:rPr>
          <w:b w:val="1"/>
          <w:bCs w:val="1"/>
          <w:rtl w:val="0"/>
        </w:rPr>
        <w:t xml:space="preserve">"Physical Reality"</w:t>
      </w:r>
      <w:r>
        <w:rPr>
          <w:rtl w:val="0"/>
        </w:rPr>
        <w:t xml:space="preserve"> of the risk—that is, the inherent temporal accumulation and potential impact of the risk itself, regardless of whether the organization takes action. </w:t>
      </w:r>
    </w:p>
    <w:p w:rsidR="00000000" w:rsidDel="00000000" w:rsidP="00000000" w:rsidRDefault="00000000" w:rsidRPr="00000000" w14:paraId="00000166">
      <w:pPr>
        <w:jc w:val="both"/>
        <w:rPr/>
      </w:pPr>
      <w:r>
        <w:rPr>
          <w:rtl w:val="0"/>
        </w:rPr>
        <w:t xml:space="preserve">Building upon this foundation, the model introduces the Governance Interaction Layer to reflect the substantive impact of governance actions on risk. Governance Coverage (𝐶) reduces the single-period probability of each decision cycle toward its irreducible floor; the Time Pressure Coefficient (𝜏) reflects the impact of decision-making tempos on governance difficulty. Through these variables, the model converts the risk from the Risk Generation Layer into Residual Exposure (𝑅𝐸), shifting the description of risk from "what might happen" to the actual consequences that must be assumed following governance choices. </w:t>
      </w:r>
    </w:p>
    <w:p w:rsidR="00000000" w:rsidDel="00000000" w:rsidP="00000000" w:rsidRDefault="00000000" w:rsidRPr="00000000" w14:paraId="00000167">
      <w:pPr>
        <w:jc w:val="both"/>
        <w:rPr/>
      </w:pPr>
      <w:r>
        <w:rPr>
          <w:rtl w:val="0"/>
        </w:rPr>
        <w:t xml:space="preserve">However, in multi-risk scenarios, Residual Exposure alone is insufficient to support governance decisions. Even if different risks result in similar </w:t>
      </w:r>
      <w:r>
        <w:rPr>
          <w:rFonts w:ascii="Cambria Math" w:cs="Cambria Math" w:eastAsia="Cambria Math" w:hAnsi="Cambria Math"/>
          <w:rtl w:val="0"/>
        </w:rPr>
        <w:t xml:space="preserve">𝑅𝐸 </w:t>
      </w:r>
      <w:r>
        <w:rPr>
          <w:rtl w:val="0"/>
        </w:rPr>
        <w:t xml:space="preserve">values after governance, their governance difficulty and the nature of the associated responsibility may differ significantly due to their inherent risk types. To avoid the semantic displacement caused by the direct aggregation of heterogeneous risks, the model further introduces the </w:t>
      </w:r>
      <w:r>
        <w:rPr>
          <w:b w:val="1"/>
          <w:bCs w:val="1"/>
          <w:rtl w:val="0"/>
        </w:rPr>
        <w:t xml:space="preserve">Typology Translation Layer</w:t>
      </w:r>
      <w:r>
        <w:rPr>
          <w:rtl w:val="0"/>
        </w:rPr>
        <w:t xml:space="preserve">. Through the Typology Factor, </w:t>
      </w:r>
      <w:r>
        <w:rPr>
          <w:rFonts w:ascii="Cambria Math" w:cs="Cambria Math" w:eastAsia="Cambria Math" w:hAnsi="Cambria Math"/>
          <w:rtl w:val="0"/>
        </w:rPr>
        <w:t xml:space="preserve">𝑅𝐸</w:t>
      </w:r>
      <w:r>
        <w:rPr>
          <w:rtl w:val="0"/>
        </w:rPr>
      </w:r>
    </w:p>
    <w:p w:rsidR="00000000" w:rsidDel="00000000" w:rsidP="00000000" w:rsidRDefault="00000000" w:rsidRPr="00000000" w14:paraId="00000168">
      <w:pPr>
        <w:jc w:val="both"/>
        <w:rPr/>
      </w:pPr>
      <w:r>
        <w:rPr>
          <w:rtl w:val="0"/>
        </w:rPr>
        <w:t xml:space="preserve">is translated into Typology-adjusted Residual Exposure (𝑇𝑅𝐸). The core purpose of this design is not to alter RE itself, but to translate governance outcomes into standardized responsibility units that can be handled consistently by the same governance system. </w:t>
      </w:r>
    </w:p>
    <w:p w:rsidR="00000000" w:rsidDel="00000000" w:rsidP="00000000" w:rsidRDefault="00000000" w:rsidRPr="00000000" w14:paraId="00000169">
      <w:pPr>
        <w:jc w:val="both"/>
        <w:rPr/>
      </w:pPr>
      <w:r>
        <w:rPr>
          <w:rtl w:val="0"/>
        </w:rPr>
        <w:t xml:space="preserve">Upon completing the translation at the individual risk item level, the model enters the </w:t>
      </w:r>
      <w:r>
        <w:rPr>
          <w:b w:val="1"/>
          <w:bCs w:val="1"/>
          <w:rtl w:val="0"/>
        </w:rPr>
        <w:t xml:space="preserve">Governance Integration Layer</w:t>
      </w:r>
      <w:r>
        <w:rPr>
          <w:rtl w:val="0"/>
        </w:rPr>
        <w:t xml:space="preserve">, where the </w:t>
      </w:r>
      <w:r>
        <w:rPr>
          <w:rFonts w:ascii="Cambria Math" w:cs="Cambria Math" w:eastAsia="Cambria Math" w:hAnsi="Cambria Math"/>
          <w:rtl w:val="0"/>
        </w:rPr>
        <w:t xml:space="preserve">𝑇𝑅𝐸 </w:t>
      </w:r>
      <w:r>
        <w:rPr>
          <w:rtl w:val="0"/>
        </w:rPr>
        <w:t xml:space="preserve">of each risk item is aggregated to form the </w:t>
      </w:r>
      <w:r>
        <w:rPr>
          <w:b w:val="1"/>
          <w:bCs w:val="1"/>
          <w:rtl w:val="0"/>
        </w:rPr>
        <w:t xml:space="preserve">Overall Governance Exposure (</w:t>
      </w:r>
      <w:r>
        <w:rPr>
          <w:rFonts w:ascii="Cambria Math" w:cs="Cambria Math" w:eastAsia="Cambria Math" w:hAnsi="Cambria Math"/>
          <w:b w:val="1"/>
          <w:bCs w:val="1"/>
          <w:rtl w:val="0"/>
        </w:rPr>
        <w:t xml:space="preserve">𝐺</w:t>
      </w:r>
      <w:r>
        <w:rPr>
          <w:b w:val="1"/>
          <w:bCs w:val="1"/>
          <w:rtl w:val="0"/>
        </w:rPr>
        <w:t xml:space="preserve">)</w:t>
      </w:r>
      <w:r>
        <w:rPr>
          <w:rtl w:val="0"/>
        </w:rPr>
        <w:t xml:space="preserve">. What </w:t>
      </w:r>
      <w:r>
        <w:rPr>
          <w:rFonts w:ascii="Cambria Math" w:cs="Cambria Math" w:eastAsia="Cambria Math" w:hAnsi="Cambria Math"/>
          <w:rtl w:val="0"/>
        </w:rPr>
        <w:t xml:space="preserve">𝐺 </w:t>
      </w:r>
      <w:r>
        <w:rPr>
          <w:rtl w:val="0"/>
        </w:rPr>
        <w:t xml:space="preserve">represents is not a re-estimation of risk events, but rather the total governance burden formed by the coexistence of multiple risks at a specific decision point. This integration elevates governance discussions from fragmented judgments of individual risks to a holistic, organization-level perspective. </w:t>
      </w:r>
    </w:p>
    <w:p w:rsidR="00000000" w:rsidDel="00000000" w:rsidP="00000000" w:rsidRDefault="00000000" w:rsidRPr="00000000" w14:paraId="0000016A">
      <w:pPr>
        <w:jc w:val="both"/>
        <w:rPr/>
      </w:pPr>
      <w:r>
        <w:rPr>
          <w:rtl w:val="0"/>
        </w:rPr>
        <w:t xml:space="preserve">Finally, by introducing the </w:t>
      </w:r>
      <w:r>
        <w:rPr>
          <w:b w:val="1"/>
          <w:bCs w:val="1"/>
          <w:rtl w:val="0"/>
        </w:rPr>
        <w:t xml:space="preserve">Acceptance Threshold (</w:t>
      </w:r>
      <w:r>
        <w:rPr>
          <w:rFonts w:ascii="Cambria Math" w:cs="Cambria Math" w:eastAsia="Cambria Math" w:hAnsi="Cambria Math"/>
          <w:b w:val="1"/>
          <w:bCs w:val="1"/>
          <w:rtl w:val="0"/>
        </w:rPr>
        <w:t xml:space="preserve">𝐴</w:t>
      </w:r>
      <w:r>
        <w:rPr>
          <w:b w:val="1"/>
          <w:bCs w:val="1"/>
          <w:rtl w:val="0"/>
        </w:rPr>
        <w:t xml:space="preserve">)</w:t>
      </w:r>
      <w:r>
        <w:rPr>
          <w:rtl w:val="0"/>
        </w:rPr>
        <w:t xml:space="preserve">, the model contrasts governance outcomes with governance capacity to derive the </w:t>
      </w:r>
      <w:r>
        <w:rPr>
          <w:b w:val="1"/>
          <w:bCs w:val="1"/>
          <w:rtl w:val="0"/>
        </w:rPr>
        <w:t xml:space="preserve">Risk Load Ratio (</w:t>
      </w:r>
      <w:r>
        <w:rPr>
          <w:rFonts w:ascii="Cambria Math" w:cs="Cambria Math" w:eastAsia="Cambria Math" w:hAnsi="Cambria Math"/>
          <w:b w:val="1"/>
          <w:bCs w:val="1"/>
          <w:rtl w:val="0"/>
        </w:rPr>
        <w:t xml:space="preserve">𝐿𝑅</w:t>
      </w:r>
      <w:r>
        <w:rPr>
          <w:b w:val="1"/>
          <w:bCs w:val="1"/>
          <w:rtl w:val="0"/>
        </w:rPr>
        <w:t xml:space="preserve">)</w:t>
      </w:r>
      <w:r>
        <w:rPr>
          <w:rtl w:val="0"/>
        </w:rPr>
        <w:t xml:space="preserve">. The design objective of </w:t>
      </w:r>
      <w:r>
        <w:rPr>
          <w:rFonts w:ascii="Cambria Math" w:cs="Cambria Math" w:eastAsia="Cambria Math" w:hAnsi="Cambria Math"/>
          <w:rtl w:val="0"/>
        </w:rPr>
        <w:t xml:space="preserve">𝐿𝑅 </w:t>
      </w:r>
      <w:r>
        <w:rPr>
          <w:rtl w:val="0"/>
        </w:rPr>
        <w:t xml:space="preserve">is not to provide a granular ranking of risks, but to determine whether the current governance state remains sustainable. By comparing </w:t>
      </w:r>
      <w:r>
        <w:rPr>
          <w:rFonts w:ascii="Cambria Math" w:cs="Cambria Math" w:eastAsia="Cambria Math" w:hAnsi="Cambria Math"/>
          <w:rtl w:val="0"/>
        </w:rPr>
        <w:t xml:space="preserve">𝐺 </w:t>
      </w:r>
      <w:r>
        <w:rPr>
          <w:rtl w:val="0"/>
        </w:rPr>
        <w:t xml:space="preserve">and </w:t>
      </w:r>
      <w:r>
        <w:rPr>
          <w:rFonts w:ascii="Cambria Math" w:cs="Cambria Math" w:eastAsia="Cambria Math" w:hAnsi="Cambria Math"/>
          <w:rtl w:val="0"/>
        </w:rPr>
        <w:t xml:space="preserve">𝐴 </w:t>
      </w:r>
      <w:r>
        <w:rPr>
          <w:rtl w:val="0"/>
        </w:rPr>
        <w:t xml:space="preserve">, the model answers the core governance question—</w:t>
      </w:r>
      <w:r>
        <w:rPr>
          <w:b w:val="1"/>
          <w:bCs w:val="1"/>
          <w:rtl w:val="0"/>
        </w:rPr>
        <w:t xml:space="preserve">"Can the system as a whole still withstand the pressure?"</w:t>
      </w:r>
      <w:r>
        <w:rPr>
          <w:rtl w:val="0"/>
        </w:rPr>
        <w:t xml:space="preserve">—and provides a clear basis for the adjustment, prioritization, and resource allocation of subsequent governance actions. </w:t>
      </w:r>
    </w:p>
    <w:p w:rsidR="00000000" w:rsidDel="00000000" w:rsidP="00000000" w:rsidRDefault="00000000" w:rsidRPr="00000000" w14:paraId="0000016B">
      <w:pPr>
        <w:jc w:val="both"/>
        <w:rPr/>
      </w:pPr>
      <w:r>
        <w:rPr>
          <w:rtl w:val="0"/>
        </w:rPr>
        <w:t xml:space="preserve">In summary, through a continuous structure composed of risk generation, governance intervention, outcome translation, and integrated judgment, this model ensures that risk analysis moves beyond technical scoring. It returns to the fundamental concerns of governance decision-making: accountability and systemic pressure. The design of each variable does not exist in isolation; together, they constitute a risk judgment framework centered on governance feasibility and sustainability. </w:t>
      </w:r>
    </w:p>
    <w:p w:rsidR="00000000" w:rsidDel="00000000" w:rsidP="00000000" w:rsidRDefault="00000000" w:rsidRPr="00000000" w14:paraId="0000016C">
      <w:pPr>
        <w:jc w:val="both"/>
        <w:rPr/>
      </w:pPr>
      <w:r>
        <w:rPr>
          <w:rtl w:val="0"/>
        </w:rPr>
        <w:t xml:space="preserve">Returning to the hierarchical explanation of the model: from a semantic perspective, it determines the origin of risks and provides a computational framework for the </w:t>
      </w:r>
      <w:r>
        <w:rPr>
          <w:b w:val="1"/>
          <w:bCs w:val="1"/>
          <w:rtl w:val="0"/>
        </w:rPr>
        <w:t xml:space="preserve">Risk Reality Tier</w:t>
      </w:r>
      <w:r>
        <w:rPr>
          <w:rtl w:val="0"/>
        </w:rPr>
        <w:t xml:space="preserve"> regarding time and impact. Based on these results, it enters the </w:t>
      </w:r>
      <w:r>
        <w:rPr>
          <w:b w:val="1"/>
          <w:bCs w:val="1"/>
          <w:rtl w:val="0"/>
        </w:rPr>
        <w:t xml:space="preserve">Governance Outcome Tier</w:t>
      </w:r>
      <w:r>
        <w:rPr>
          <w:rtl w:val="0"/>
        </w:rPr>
        <w:t xml:space="preserve"> to examine organizational management behaviors, time pressure, and risk typologies to assess residual risk. Finally, within the </w:t>
      </w:r>
      <w:r>
        <w:rPr>
          <w:b w:val="1"/>
          <w:bCs w:val="1"/>
          <w:rtl w:val="0"/>
        </w:rPr>
        <w:t xml:space="preserve">Decision Interface Tier</w:t>
      </w:r>
      <w:r>
        <w:rPr>
          <w:rtl w:val="0"/>
        </w:rPr>
        <w:t xml:space="preserve">, it converts residual risks into Typology-adjusted Residual Exposure and Overall Governance Exposure for multi-risk management, ultimately analyzing the impact of the Risk Load Ratio on current operational status through the </w:t>
      </w:r>
      <w:r>
        <w:rPr>
          <w:b w:val="1"/>
          <w:bCs w:val="1"/>
          <w:rtl w:val="0"/>
        </w:rPr>
        <w:t xml:space="preserve">Decision Judgment Layer</w:t>
      </w:r>
      <w:r>
        <w:rPr>
          <w:rtl w:val="0"/>
        </w:rPr>
        <w:t xml:space="preserve">. </w:t>
      </w:r>
    </w:p>
    <w:p w:rsidR="00000000" w:rsidDel="00000000" w:rsidP="00000000" w:rsidRDefault="00000000" w:rsidRPr="00000000" w14:paraId="0000016D">
      <w:pPr>
        <w:jc w:val="both"/>
        <w:rPr/>
      </w:pPr>
      <w:r>
        <w:rPr>
          <w:rtl w:val="0"/>
        </w:rPr>
      </w:r>
    </w:p>
    <w:p w:rsidR="00000000" w:rsidDel="00000000" w:rsidP="00000000" w:rsidRDefault="00000000" w:rsidRPr="00000000" w14:paraId="0000016E">
      <w:pPr>
        <w:jc w:val="both"/>
        <w:rPr/>
      </w:pPr>
      <w:r>
        <w:rPr>
          <w:rtl w:val="0"/>
        </w:rPr>
      </w:r>
    </w:p>
    <w:p w:rsidR="00000000" w:rsidDel="00000000" w:rsidP="00000000" w:rsidRDefault="00000000" w:rsidRPr="00000000" w14:paraId="0000016F">
      <w:pPr>
        <w:jc w:val="both"/>
        <w:rPr/>
      </w:pPr>
      <w:r>
        <w:rPr>
          <w:rFonts w:ascii="Times New Roman" w:cs="Times New Roman" w:eastAsia="Times New Roman" w:hAnsi="Times New Roman"/>
        </w:rPr>
        <w:drawing>
          <wp:inline distB="0" distT="0" distL="0" distR="0">
            <wp:extent cx="5274310" cy="7911465"/>
            <wp:effectExtent b="0" l="0" r="0" t="0"/>
            <wp:docPr id="205207785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74310" cy="7911465"/>
                    </a:xfrm>
                    <a:prstGeom prst="rect"/>
                    <a:ln/>
                  </pic:spPr>
                </pic:pic>
              </a:graphicData>
            </a:graphic>
          </wp:inline>
        </w:drawing>
      </w:r>
      <w:r>
        <w:rPr>
          <w:rtl w:val="0"/>
        </w:rPr>
      </w:r>
    </w:p>
    <w:p w:rsidR="00000000" w:rsidDel="00000000" w:rsidP="00000000" w:rsidRDefault="00000000" w:rsidRPr="00000000" w14:paraId="00000170">
      <w:pPr>
        <w:jc w:val="both"/>
        <w:rPr/>
      </w:pPr>
      <w:r>
        <w:rPr>
          <w:rtl w:val="0"/>
        </w:rPr>
      </w:r>
    </w:p>
    <w:p w:rsidR="00000000" w:rsidDel="00000000" w:rsidP="00000000" w:rsidRDefault="00000000" w:rsidRPr="00000000" w14:paraId="00000171">
      <w:pPr>
        <w:jc w:val="both"/>
        <w:rPr/>
      </w:pPr>
      <w:r>
        <w:rPr>
          <w:rtl w:val="0"/>
        </w:rPr>
      </w:r>
    </w:p>
    <w:p w:rsidR="00000000" w:rsidDel="00000000" w:rsidP="00000000" w:rsidRDefault="00000000" w:rsidRPr="00000000" w14:paraId="00000172">
      <w:pPr>
        <w:jc w:val="both"/>
        <w:rPr/>
      </w:pPr>
      <w:r>
        <w:rPr>
          <w:rtl w:val="0"/>
        </w:rPr>
      </w:r>
    </w:p>
    <w:p w:rsidR="00000000" w:rsidDel="00000000" w:rsidP="00000000" w:rsidRDefault="00000000" w:rsidRPr="00000000" w14:paraId="00000173">
      <w:pPr>
        <w:jc w:val="both"/>
        <w:rPr/>
      </w:pPr>
      <w:r>
        <w:rPr>
          <w:rtl w:val="0"/>
        </w:rPr>
      </w:r>
    </w:p>
    <w:p w:rsidR="00000000" w:rsidDel="00000000" w:rsidP="00000000" w:rsidRDefault="00000000" w:rsidRPr="00000000" w14:paraId="00000174">
      <w:pPr>
        <w:jc w:val="both"/>
        <w:rPr/>
      </w:pPr>
      <w:r>
        <w:rPr>
          <w:rtl w:val="0"/>
        </w:rPr>
      </w:r>
    </w:p>
    <w:p w:rsidR="00000000" w:rsidDel="00000000" w:rsidP="00000000" w:rsidRDefault="00000000" w:rsidRPr="00000000" w14:paraId="00000175">
      <w:pPr>
        <w:jc w:val="both"/>
        <w:rPr/>
      </w:pPr>
      <w:r>
        <w:rPr>
          <w:rtl w:val="0"/>
        </w:rPr>
      </w:r>
    </w:p>
    <w:p w:rsidR="00000000" w:rsidDel="00000000" w:rsidP="00000000" w:rsidRDefault="00000000" w:rsidRPr="00000000" w14:paraId="00000176">
      <w:pPr>
        <w:jc w:val="both"/>
        <w:rPr/>
      </w:pPr>
      <w:r>
        <w:rPr>
          <w:rtl w:val="0"/>
        </w:rPr>
      </w:r>
    </w:p>
    <w:p w:rsidR="00000000" w:rsidDel="00000000" w:rsidP="00000000" w:rsidRDefault="00000000" w:rsidRPr="00000000" w14:paraId="00000177">
      <w:pPr>
        <w:jc w:val="both"/>
        <w:rPr/>
      </w:pPr>
      <w:r>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DFKai-SB"/>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Calibri" w:cs="Calibri" w:eastAsia="Calibri" w:hAnsi="Calibri"/>
      <w:color w:val="2f5496"/>
      <w:sz w:val="48"/>
      <w:szCs w:val="48"/>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40"/>
      <w:szCs w:val="40"/>
    </w:rPr>
  </w:style>
  <w:style w:type="paragraph" w:styleId="Heading3">
    <w:name w:val="heading 3"/>
    <w:basedOn w:val="Normal"/>
    <w:next w:val="Normal"/>
    <w:pPr>
      <w:keepNext w:val="1"/>
      <w:keepLines w:val="1"/>
      <w:spacing w:after="40" w:before="160" w:lineRule="auto"/>
    </w:pPr>
    <w:rPr>
      <w:color w:val="2f5496"/>
      <w:sz w:val="32"/>
      <w:szCs w:val="32"/>
    </w:rPr>
  </w:style>
  <w:style w:type="paragraph" w:styleId="Heading4">
    <w:name w:val="heading 4"/>
    <w:basedOn w:val="Normal"/>
    <w:next w:val="Normal"/>
    <w:pPr>
      <w:keepNext w:val="1"/>
      <w:keepLines w:val="1"/>
      <w:spacing w:after="40" w:before="160" w:lineRule="auto"/>
    </w:pPr>
    <w:rPr>
      <w:color w:val="2f5496"/>
      <w:sz w:val="28"/>
      <w:szCs w:val="28"/>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color w:val="595959"/>
    </w:rPr>
  </w:style>
  <w:style w:type="paragraph" w:styleId="Title">
    <w:name w:val="Title"/>
    <w:basedOn w:val="Normal"/>
    <w:next w:val="Normal"/>
    <w:pPr>
      <w:spacing w:after="80" w:line="240" w:lineRule="auto"/>
      <w:jc w:val="center"/>
    </w:pPr>
    <w:rPr>
      <w:rFonts w:ascii="Calibri" w:cs="Calibri" w:eastAsia="Calibri" w:hAnsi="Calibri"/>
      <w:sz w:val="56"/>
      <w:szCs w:val="56"/>
    </w:rPr>
  </w:style>
  <w:style w:type="paragraph" w:styleId="7">
    <w:name w:val="heading 7"/>
    <w:basedOn w:val="a"/>
    <w:next w:val="a"/>
    <w:link w:val="70"/>
    <w:uiPriority w:val="9"/>
    <w:semiHidden w:val="1"/>
    <w:unhideWhenUsed w:val="1"/>
    <w:qFormat w:val="1"/>
    <w:rsid w:val="00E701D4"/>
    <w:pPr>
      <w:keepNext w:val="1"/>
      <w:keepLines w:val="1"/>
      <w:spacing w:after="0" w:before="40"/>
      <w:ind w:left="100" w:leftChars="10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E701D4"/>
    <w:pPr>
      <w:keepNext w:val="1"/>
      <w:keepLines w:val="1"/>
      <w:spacing w:after="0" w:before="40"/>
      <w:ind w:left="200" w:leftChars="200"/>
      <w:outlineLvl w:val="7"/>
    </w:pPr>
    <w:rPr>
      <w:rFonts w:cstheme="majorBidi" w:eastAsiaTheme="majorEastAsia"/>
      <w:color w:val="272727" w:themeColor="text1" w:themeTint="0000D8"/>
    </w:rPr>
  </w:style>
  <w:style w:type="paragraph" w:styleId="9">
    <w:name w:val="heading 9"/>
    <w:basedOn w:val="a"/>
    <w:next w:val="a"/>
    <w:link w:val="90"/>
    <w:uiPriority w:val="9"/>
    <w:semiHidden w:val="1"/>
    <w:unhideWhenUsed w:val="1"/>
    <w:qFormat w:val="1"/>
    <w:rsid w:val="00E701D4"/>
    <w:pPr>
      <w:keepNext w:val="1"/>
      <w:keepLines w:val="1"/>
      <w:spacing w:after="0" w:before="40"/>
      <w:ind w:left="300" w:leftChars="300"/>
      <w:outlineLvl w:val="8"/>
    </w:pPr>
    <w:rPr>
      <w:rFonts w:cstheme="majorBidi" w:eastAsiaTheme="majorEastAsia"/>
      <w:color w:val="272727" w:themeColor="text1" w:themeTint="0000D8"/>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標題 1 字元"/>
    <w:basedOn w:val="a0"/>
    <w:link w:val="1"/>
    <w:uiPriority w:val="9"/>
    <w:rsid w:val="00E701D4"/>
    <w:rPr>
      <w:rFonts w:asciiTheme="majorHAnsi" w:cstheme="majorBidi" w:eastAsiaTheme="majorEastAsia" w:hAnsiTheme="majorHAnsi"/>
      <w:color w:val="2f5496" w:themeColor="accent1" w:themeShade="0000BF"/>
      <w:sz w:val="48"/>
      <w:szCs w:val="48"/>
    </w:rPr>
  </w:style>
  <w:style w:type="character" w:styleId="20" w:customStyle="1">
    <w:name w:val="標題 2 字元"/>
    <w:basedOn w:val="a0"/>
    <w:link w:val="2"/>
    <w:uiPriority w:val="9"/>
    <w:semiHidden w:val="1"/>
    <w:rsid w:val="00E701D4"/>
    <w:rPr>
      <w:rFonts w:asciiTheme="majorHAnsi" w:cstheme="majorBidi" w:eastAsiaTheme="majorEastAsia" w:hAnsiTheme="majorHAnsi"/>
      <w:color w:val="2f5496" w:themeColor="accent1" w:themeShade="0000BF"/>
      <w:sz w:val="40"/>
      <w:szCs w:val="40"/>
    </w:rPr>
  </w:style>
  <w:style w:type="character" w:styleId="30" w:customStyle="1">
    <w:name w:val="標題 3 字元"/>
    <w:basedOn w:val="a0"/>
    <w:link w:val="3"/>
    <w:uiPriority w:val="9"/>
    <w:semiHidden w:val="1"/>
    <w:rsid w:val="00E701D4"/>
    <w:rPr>
      <w:rFonts w:cstheme="majorBidi" w:eastAsiaTheme="majorEastAsia"/>
      <w:color w:val="2f5496" w:themeColor="accent1" w:themeShade="0000BF"/>
      <w:sz w:val="32"/>
      <w:szCs w:val="32"/>
    </w:rPr>
  </w:style>
  <w:style w:type="character" w:styleId="40" w:customStyle="1">
    <w:name w:val="標題 4 字元"/>
    <w:basedOn w:val="a0"/>
    <w:link w:val="4"/>
    <w:uiPriority w:val="9"/>
    <w:semiHidden w:val="1"/>
    <w:rsid w:val="00E701D4"/>
    <w:rPr>
      <w:rFonts w:cstheme="majorBidi" w:eastAsiaTheme="majorEastAsia"/>
      <w:color w:val="2f5496" w:themeColor="accent1" w:themeShade="0000BF"/>
      <w:sz w:val="28"/>
      <w:szCs w:val="28"/>
    </w:rPr>
  </w:style>
  <w:style w:type="character" w:styleId="50" w:customStyle="1">
    <w:name w:val="標題 5 字元"/>
    <w:basedOn w:val="a0"/>
    <w:link w:val="5"/>
    <w:uiPriority w:val="9"/>
    <w:semiHidden w:val="1"/>
    <w:rsid w:val="00E701D4"/>
    <w:rPr>
      <w:rFonts w:cstheme="majorBidi" w:eastAsiaTheme="majorEastAsia"/>
      <w:color w:val="2f5496" w:themeColor="accent1" w:themeShade="0000BF"/>
    </w:rPr>
  </w:style>
  <w:style w:type="character" w:styleId="60" w:customStyle="1">
    <w:name w:val="標題 6 字元"/>
    <w:basedOn w:val="a0"/>
    <w:link w:val="6"/>
    <w:uiPriority w:val="9"/>
    <w:semiHidden w:val="1"/>
    <w:rsid w:val="00E701D4"/>
    <w:rPr>
      <w:rFonts w:cstheme="majorBidi" w:eastAsiaTheme="majorEastAsia"/>
      <w:color w:val="595959" w:themeColor="text1" w:themeTint="0000A6"/>
    </w:rPr>
  </w:style>
  <w:style w:type="character" w:styleId="70" w:customStyle="1">
    <w:name w:val="標題 7 字元"/>
    <w:basedOn w:val="a0"/>
    <w:link w:val="7"/>
    <w:uiPriority w:val="9"/>
    <w:semiHidden w:val="1"/>
    <w:rsid w:val="00E701D4"/>
    <w:rPr>
      <w:rFonts w:cstheme="majorBidi" w:eastAsiaTheme="majorEastAsia"/>
      <w:color w:val="595959" w:themeColor="text1" w:themeTint="0000A6"/>
    </w:rPr>
  </w:style>
  <w:style w:type="character" w:styleId="80" w:customStyle="1">
    <w:name w:val="標題 8 字元"/>
    <w:basedOn w:val="a0"/>
    <w:link w:val="8"/>
    <w:uiPriority w:val="9"/>
    <w:semiHidden w:val="1"/>
    <w:rsid w:val="00E701D4"/>
    <w:rPr>
      <w:rFonts w:cstheme="majorBidi" w:eastAsiaTheme="majorEastAsia"/>
      <w:color w:val="272727" w:themeColor="text1" w:themeTint="0000D8"/>
    </w:rPr>
  </w:style>
  <w:style w:type="character" w:styleId="90" w:customStyle="1">
    <w:name w:val="標題 9 字元"/>
    <w:basedOn w:val="a0"/>
    <w:link w:val="9"/>
    <w:uiPriority w:val="9"/>
    <w:semiHidden w:val="1"/>
    <w:rsid w:val="00E701D4"/>
    <w:rPr>
      <w:rFonts w:cstheme="majorBidi" w:eastAsiaTheme="majorEastAsia"/>
      <w:color w:val="272727" w:themeColor="text1" w:themeTint="0000D8"/>
    </w:rPr>
  </w:style>
  <w:style w:type="character" w:styleId="a4" w:customStyle="1">
    <w:name w:val="標題 字元"/>
    <w:basedOn w:val="a0"/>
    <w:link w:val="a3"/>
    <w:uiPriority w:val="10"/>
    <w:rsid w:val="00E701D4"/>
    <w:rPr>
      <w:rFonts w:asciiTheme="majorHAnsi" w:cstheme="majorBidi" w:eastAsiaTheme="majorEastAsia" w:hAnsiTheme="majorHAnsi"/>
      <w:spacing w:val="-10"/>
      <w:kern w:val="28"/>
      <w:sz w:val="56"/>
      <w:szCs w:val="56"/>
    </w:rPr>
  </w:style>
  <w:style w:type="character" w:styleId="a6" w:customStyle="1">
    <w:name w:val="副標題 字元"/>
    <w:basedOn w:val="a0"/>
    <w:link w:val="a5"/>
    <w:uiPriority w:val="11"/>
    <w:rsid w:val="00E701D4"/>
    <w:rPr>
      <w:rFonts w:asciiTheme="majorHAnsi" w:cstheme="majorBidi" w:eastAsiaTheme="majorEastAsia" w:hAnsiTheme="majorHAnsi"/>
      <w:color w:val="595959" w:themeColor="text1" w:themeTint="0000A6"/>
      <w:spacing w:val="15"/>
      <w:sz w:val="28"/>
      <w:szCs w:val="28"/>
    </w:rPr>
  </w:style>
  <w:style w:type="paragraph" w:styleId="a7">
    <w:name w:val="Quote"/>
    <w:basedOn w:val="a"/>
    <w:next w:val="a"/>
    <w:link w:val="a8"/>
    <w:uiPriority w:val="29"/>
    <w:qFormat w:val="1"/>
    <w:rsid w:val="00E701D4"/>
    <w:pPr>
      <w:spacing w:before="160"/>
      <w:jc w:val="center"/>
    </w:pPr>
    <w:rPr>
      <w:i w:val="1"/>
      <w:iCs w:val="1"/>
      <w:color w:val="404040" w:themeColor="text1" w:themeTint="0000BF"/>
    </w:rPr>
  </w:style>
  <w:style w:type="character" w:styleId="a8" w:customStyle="1">
    <w:name w:val="引文 字元"/>
    <w:basedOn w:val="a0"/>
    <w:link w:val="a7"/>
    <w:uiPriority w:val="29"/>
    <w:rsid w:val="00E701D4"/>
    <w:rPr>
      <w:i w:val="1"/>
      <w:iCs w:val="1"/>
      <w:color w:val="404040" w:themeColor="text1" w:themeTint="0000BF"/>
    </w:rPr>
  </w:style>
  <w:style w:type="paragraph" w:styleId="a9">
    <w:name w:val="List Paragraph"/>
    <w:basedOn w:val="a"/>
    <w:uiPriority w:val="34"/>
    <w:qFormat w:val="1"/>
    <w:rsid w:val="00E701D4"/>
    <w:pPr>
      <w:ind w:left="720"/>
      <w:contextualSpacing w:val="1"/>
    </w:pPr>
  </w:style>
  <w:style w:type="character" w:styleId="aa">
    <w:name w:val="Intense Emphasis"/>
    <w:basedOn w:val="a0"/>
    <w:uiPriority w:val="21"/>
    <w:qFormat w:val="1"/>
    <w:rsid w:val="00E701D4"/>
    <w:rPr>
      <w:i w:val="1"/>
      <w:iCs w:val="1"/>
      <w:color w:val="2f5496" w:themeColor="accent1" w:themeShade="0000BF"/>
    </w:rPr>
  </w:style>
  <w:style w:type="paragraph" w:styleId="ab">
    <w:name w:val="Intense Quote"/>
    <w:basedOn w:val="a"/>
    <w:next w:val="a"/>
    <w:link w:val="ac"/>
    <w:uiPriority w:val="30"/>
    <w:qFormat w:val="1"/>
    <w:rsid w:val="00E701D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c" w:customStyle="1">
    <w:name w:val="鮮明引文 字元"/>
    <w:basedOn w:val="a0"/>
    <w:link w:val="ab"/>
    <w:uiPriority w:val="30"/>
    <w:rsid w:val="00E701D4"/>
    <w:rPr>
      <w:i w:val="1"/>
      <w:iCs w:val="1"/>
      <w:color w:val="2f5496" w:themeColor="accent1" w:themeShade="0000BF"/>
    </w:rPr>
  </w:style>
  <w:style w:type="character" w:styleId="ad">
    <w:name w:val="Intense Reference"/>
    <w:basedOn w:val="a0"/>
    <w:uiPriority w:val="32"/>
    <w:qFormat w:val="1"/>
    <w:rsid w:val="00E701D4"/>
    <w:rPr>
      <w:b w:val="1"/>
      <w:bCs w:val="1"/>
      <w:smallCaps w:val="1"/>
      <w:color w:val="2f5496" w:themeColor="accent1" w:themeShade="0000BF"/>
      <w:spacing w:val="5"/>
    </w:rPr>
  </w:style>
  <w:style w:type="table" w:styleId="ae">
    <w:name w:val="Table Grid"/>
    <w:basedOn w:val="a1"/>
    <w:uiPriority w:val="39"/>
    <w:rsid w:val="00E701D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vkekvd" w:customStyle="1">
    <w:name w:val="vkekvd"/>
    <w:basedOn w:val="a0"/>
    <w:rsid w:val="00E701D4"/>
  </w:style>
  <w:style w:type="character" w:styleId="af">
    <w:name w:val="Strong"/>
    <w:basedOn w:val="a0"/>
    <w:uiPriority w:val="22"/>
    <w:qFormat w:val="1"/>
    <w:rsid w:val="00E701D4"/>
    <w:rPr>
      <w:b w:val="1"/>
      <w:bCs w:val="1"/>
    </w:rPr>
  </w:style>
  <w:style w:type="paragraph" w:styleId="Subtitle">
    <w:name w:val="Subtitle"/>
    <w:basedOn w:val="Normal"/>
    <w:next w:val="Normal"/>
    <w:pPr>
      <w:jc w:val="center"/>
    </w:pPr>
    <w:rPr>
      <w:rFonts w:ascii="Calibri" w:cs="Calibri" w:eastAsia="Calibri" w:hAnsi="Calibri"/>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gif"/><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2TqHu86GHaj8FJ7AH9p1Pu66Sw==">CgMxLjAaJQoBMBIgCh4IB0IaCg9UaW1lcyBOZXcgUm9tYW4SB0d1bmdzdWgaJQoBMRIgCh4IB0IaCg9UaW1lcyBOZXcgUm9tYW4SB0d1bmdzdWgaJQoBMhIgCh4IB0IaCg9UaW1lcyBOZXcgUm9tYW4SB0d1bmdzdWgaJQoBMxIgCh4IB0IaCg9UaW1lcyBOZXcgUm9tYW4SB0d1bmdzdWgaIwoBNBIeChwIB0IYCg9UaW1lcyBOZXcgUm9tYW4SBUNhcmRvMg5oLnpmZXUwcTM3MGV0MjIOaC5rcDE1dWk3OWZrMG44AHIhMURYczA3MVZlY0tNZTZtSEZGSXdIUHQ2VmxHSTBaNn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2026-01-21T08:26:00Z</dcterms:created>
  <dc:creator>中華民國管理科學學會 社團法人</dc:creator>
</cp:coreProperties>
</file>