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rFonts w:ascii="Microsoft YaHei" w:hAnsi="Microsoft YaHei" w:eastAsia="Microsoft YaHei"/>
          <w:b/>
          <w:color w:val="1F4E79"/>
          <w:sz w:val="52"/>
        </w:rPr>
        <w:t>V5 历史研究与治理报告</w:t>
      </w:r>
    </w:p>
    <w:p>
      <w:pPr>
        <w:jc w:val="center"/>
      </w:pPr>
      <w:r>
        <w:rPr>
          <w:b/>
          <w:color w:val="1F4E79"/>
          <w:sz w:val="32"/>
        </w:rPr>
        <w:t>v1.0</w:t>
      </w:r>
    </w:p>
    <w:p>
      <w:pPr>
        <w:spacing w:after="160"/>
        <w:jc w:val="center"/>
      </w:pPr>
      <w:r>
        <w:t>历史研究与治理归档版</w:t>
      </w:r>
    </w:p>
    <w:p>
      <w:pPr>
        <w:spacing w:after="160"/>
        <w:jc w:val="center"/>
      </w:pPr>
      <w:r>
        <w:t>正式窗口：2021-05-01 至 2026-05-31</w:t>
      </w:r>
    </w:p>
    <w:p>
      <w:pPr>
        <w:spacing w:after="160"/>
        <w:jc w:val="center"/>
      </w:pPr>
      <w:r>
        <w:t>生成日期：2026-08-07</w:t>
      </w:r>
    </w:p>
    <w:p>
      <w:pPr>
        <w:pStyle w:val="Subtitle"/>
      </w:pPr>
      <w:r>
        <w:t>本报告不是实盘策略说明书、募资材料、投资建议或收益承诺。</w:t>
      </w:r>
    </w:p>
    <w:p>
      <w:r>
        <w:br w:type="page"/>
      </w:r>
    </w:p>
    <w:p>
      <w:pPr>
        <w:pStyle w:val="Heading1"/>
      </w:pPr>
      <w:r>
        <w:t>目录</w:t>
      </w:r>
    </w:p>
    <w:p>
      <w:pPr/>
      <w:r>
        <w:t>执行摘要</w:t>
      </w:r>
    </w:p>
    <w:p>
      <w:pPr/>
      <w:r>
        <w:t>1. 研究范围与治理边界</w:t>
      </w:r>
    </w:p>
    <w:p>
      <w:pPr/>
      <w:r>
        <w:t>2. Startup Preload 修复后的正式基线</w:t>
      </w:r>
    </w:p>
    <w:p>
      <w:pPr/>
      <w:r>
        <w:t>3. 研究演进与边界</w:t>
      </w:r>
    </w:p>
    <w:p>
      <w:pPr/>
      <w:r>
        <w:t>4. 主候选的同合同比较</w:t>
      </w:r>
    </w:p>
    <w:p>
      <w:pPr/>
      <w:r>
        <w:t>5. 基准合同与 ETF 位置</w:t>
      </w:r>
    </w:p>
    <w:p>
      <w:pPr/>
      <w:r>
        <w:t>6. 执行、成本、现金与平台证据</w:t>
      </w:r>
    </w:p>
    <w:p>
      <w:pPr/>
      <w:r>
        <w:t>7. 未进入表现比较的研究线</w:t>
      </w:r>
    </w:p>
    <w:p>
      <w:pPr/>
      <w:r>
        <w:t>8. 主候选结论与升级门槛</w:t>
      </w:r>
    </w:p>
    <w:p>
      <w:pPr/>
      <w:r>
        <w:t>9. 限制与未解证据</w:t>
      </w:r>
    </w:p>
    <w:p>
      <w:pPr/>
      <w:r>
        <w:t>10. 结论</w:t>
      </w:r>
    </w:p>
    <w:p>
      <w:pPr/>
      <w:r>
        <w:t>附录 A：统计口径与证据索引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唯一正式基线为 `v57f_startup_preload_repaired_baseline`。唯一主候选为 `internal_subsleeve_mom12_70_30`，状态为 `primary_forward_paper_candidate_not_accepted`。正式表现正文只包含 2021-05-06 至 2026-05-29 的 1228 个共同交易日 pairwise comparison。</w:t>
      </w:r>
    </w:p>
    <w:p>
      <w:r>
        <w:t>五项限制适用于本摘要、主候选结论和限制章节：strict_cash_nav_unavailable；qmt_contract_incomplete；ETF total-return 合同缺失；validation_not_independent；独立前瞻纸面周期尚未形成。</w:t>
      </w:r>
    </w:p>
    <w:p>
      <w:pPr>
        <w:pStyle w:val="Heading1"/>
      </w:pPr>
      <w:r>
        <w:t>1. 研究范围与治理边界</w:t>
      </w:r>
    </w:p>
    <w:p>
      <w:r>
        <w:t>正式窗口为 2021-05-01 至 2026-05-31，首个有效信号日为 2021-05-06。报告仅归档既有事实，不修改 V57f core、候选规则、权重、频率、统计或模型状态。</w:t>
      </w:r>
    </w:p>
    <w:p>
      <w:pPr>
        <w:pStyle w:val="Heading1"/>
      </w:pPr>
      <w:r>
        <w:t>2. Startup Preload 修复后的正式基线</w:t>
      </w:r>
    </w:p>
    <w:p>
      <w:r>
        <w:t>repaired baseline 由银行、高速基础设施、港口铁路基础设施和电力公用事业四个核心 sleeve 构成。行业研究不能替代该多 sleeve 框架。</w:t>
      </w:r>
    </w:p>
    <w:p>
      <w:pPr>
        <w:pStyle w:val="Heading1"/>
      </w:pPr>
      <w:r>
        <w:t>3. 研究演进与边界</w:t>
      </w:r>
    </w:p>
    <w:p>
      <w:r>
        <w:t>V5c 防守/状态、V5d 分钟执行、V5e 退出/现金、QMT 回放及订单治理均作为过程或证据附录；它们不参与策略表现排序。V5f 内部子 sleeve 动量治理形成当前主候选。</w:t>
      </w:r>
    </w:p>
    <w:p>
      <w:pPr>
        <w:pStyle w:val="Heading1"/>
      </w:pPr>
      <w:r>
        <w:t>4. 主候选的同合同比较</w:t>
      </w:r>
    </w:p>
    <w:p>
      <w:r>
        <w:t>下表是唯一允许进入正式表现正文的比较。单位为百分比或百分点；验证状态为 validation_not_independent。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1699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模型</w:t>
            </w:r>
          </w:p>
        </w:tc>
        <w:tc>
          <w:tcPr>
            <w:tcW w:type="dxa" w:w="662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总收益</w:t>
            </w:r>
          </w:p>
        </w:tc>
        <w:tc>
          <w:tcPr>
            <w:tcW w:type="dxa" w:w="662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年化</w:t>
            </w:r>
          </w:p>
        </w:tc>
        <w:tc>
          <w:tcPr>
            <w:tcW w:type="dxa" w:w="806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最大回撤</w:t>
            </w:r>
          </w:p>
        </w:tc>
        <w:tc>
          <w:tcPr>
            <w:tcW w:type="dxa" w:w="749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波动率</w:t>
            </w:r>
          </w:p>
        </w:tc>
        <w:tc>
          <w:tcPr>
            <w:tcW w:type="dxa" w:w="605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夏普</w:t>
            </w:r>
          </w:p>
        </w:tc>
        <w:tc>
          <w:tcPr>
            <w:tcW w:type="dxa" w:w="634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Alpha</w:t>
            </w:r>
          </w:p>
        </w:tc>
        <w:tc>
          <w:tcPr>
            <w:tcW w:type="dxa" w:w="576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Beta</w:t>
            </w:r>
          </w:p>
        </w:tc>
        <w:tc>
          <w:tcPr>
            <w:tcW w:type="dxa" w:w="576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IR</w:t>
            </w:r>
          </w:p>
        </w:tc>
        <w:tc>
          <w:tcPr>
            <w:tcW w:type="dxa" w:w="720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超额</w:t>
            </w:r>
          </w:p>
        </w:tc>
        <w:tc>
          <w:tcPr>
            <w:tcW w:type="dxa" w:w="749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回撤差</w:t>
            </w:r>
          </w:p>
        </w:tc>
        <w:tc>
          <w:tcPr>
            <w:tcW w:type="dxa" w:w="547"/>
            <w:vAlign w:val="center"/>
            <w:shd w:fill="1F4E79"/>
          </w:tcPr>
          <w:p>
            <w:r>
              <w:rPr>
                <w:b/>
                <w:color w:val="FFFFFF"/>
                <w:sz w:val="15"/>
              </w:rPr>
              <w:t>样本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repaired baseline</w:t>
            </w:r>
          </w:p>
        </w:tc>
        <w:tc>
          <w:tcPr>
            <w:tcW w:type="dxa" w:w="6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109.25%</w:t>
            </w:r>
          </w:p>
        </w:tc>
        <w:tc>
          <w:tcPr>
            <w:tcW w:type="dxa" w:w="6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16.36%</w:t>
            </w:r>
          </w:p>
        </w:tc>
        <w:tc>
          <w:tcPr>
            <w:tcW w:type="dxa" w:w="80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11.93%</w:t>
            </w:r>
          </w:p>
        </w:tc>
        <w:tc>
          <w:tcPr>
            <w:tcW w:type="dxa" w:w="749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15.63%</w:t>
            </w:r>
          </w:p>
        </w:tc>
        <w:tc>
          <w:tcPr>
            <w:tcW w:type="dxa" w:w="6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1.048</w:t>
            </w:r>
          </w:p>
        </w:tc>
        <w:tc>
          <w:tcPr>
            <w:tcW w:type="dxa" w:w="63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0.000%</w:t>
            </w:r>
          </w:p>
        </w:tc>
        <w:tc>
          <w:tcPr>
            <w:tcW w:type="dxa" w:w="5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1.000</w:t>
            </w:r>
          </w:p>
        </w:tc>
        <w:tc>
          <w:tcPr>
            <w:tcW w:type="dxa" w:w="5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N/A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0.00</w:t>
            </w:r>
          </w:p>
        </w:tc>
        <w:tc>
          <w:tcPr>
            <w:tcW w:type="dxa" w:w="749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0.000</w:t>
            </w:r>
          </w:p>
        </w:tc>
        <w:tc>
          <w:tcPr>
            <w:tcW w:type="dxa" w:w="5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1228</w:t>
            </w:r>
          </w:p>
        </w:tc>
      </w:tr>
      <w:tr>
        <w:tc>
          <w:tcPr>
            <w:tcW w:type="dxa" w:w="1699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主候选 mom12 70/30</w:t>
            </w:r>
          </w:p>
        </w:tc>
        <w:tc>
          <w:tcPr>
            <w:tcW w:type="dxa" w:w="6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120.69%</w:t>
            </w:r>
          </w:p>
        </w:tc>
        <w:tc>
          <w:tcPr>
            <w:tcW w:type="dxa" w:w="662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17.64%</w:t>
            </w:r>
          </w:p>
        </w:tc>
        <w:tc>
          <w:tcPr>
            <w:tcW w:type="dxa" w:w="80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11.88%</w:t>
            </w:r>
          </w:p>
        </w:tc>
        <w:tc>
          <w:tcPr>
            <w:tcW w:type="dxa" w:w="749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15.68%</w:t>
            </w:r>
          </w:p>
        </w:tc>
        <w:tc>
          <w:tcPr>
            <w:tcW w:type="dxa" w:w="605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1.115</w:t>
            </w:r>
          </w:p>
        </w:tc>
        <w:tc>
          <w:tcPr>
            <w:tcW w:type="dxa" w:w="634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1.119%</w:t>
            </w:r>
          </w:p>
        </w:tc>
        <w:tc>
          <w:tcPr>
            <w:tcW w:type="dxa" w:w="5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0.999</w:t>
            </w:r>
          </w:p>
        </w:tc>
        <w:tc>
          <w:tcPr>
            <w:tcW w:type="dxa" w:w="576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0.728</w:t>
            </w:r>
          </w:p>
        </w:tc>
        <w:tc>
          <w:tcPr>
            <w:tcW w:type="dxa" w:w="720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11.43</w:t>
            </w:r>
          </w:p>
        </w:tc>
        <w:tc>
          <w:tcPr>
            <w:tcW w:type="dxa" w:w="749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-0.048</w:t>
            </w:r>
          </w:p>
        </w:tc>
        <w:tc>
          <w:tcPr>
            <w:tcW w:type="dxa" w:w="547"/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1228</w:t>
            </w:r>
          </w:p>
        </w:tc>
      </w:tr>
    </w:tbl>
    <w:p>
      <w:r>
        <w:t>历史共同样本中主候选相对 repaired baseline 呈现正向观察，最大回撤差为轻微改善。这是历史样本观察，不是未来预测或策略升级依据。</w:t>
      </w:r>
    </w:p>
    <w:p>
      <w:pPr>
        <w:pStyle w:val="Heading1"/>
      </w:pPr>
      <w:r>
        <w:t>5. 基准合同与 ETF 位置</w:t>
      </w:r>
    </w:p>
    <w:p>
      <w:r>
        <w:t>ETF adjusted price return 只作 economic exposure context。本地没有可追溯的 ETF NAV 加分红 total-return 合同，因此没有正式 ETF Alpha、Beta、信息比率或超额收益。</w:t>
      </w:r>
    </w:p>
    <w:p>
      <w:pPr>
        <w:pStyle w:val="Heading1"/>
      </w:pPr>
      <w:r>
        <w:t>6. 执行、成本、现金与平台证据</w:t>
      </w:r>
    </w:p>
    <w:p>
      <w:r>
        <w:t>佣金、滑点、整手、停牌、涨跌停、partial-buy/skip、订单顺序和现金残余均是现实摩擦。strict_cash_nav_unavailable 与 qmt_contract_incomplete 不阻塞诚实历史报告，但阻塞 accepted、实盘和强收益承诺。</w:t>
      </w:r>
    </w:p>
    <w:p>
      <w:pPr>
        <w:pStyle w:val="Heading1"/>
      </w:pPr>
      <w:r>
        <w:t>7. 未进入表现比较的研究线</w:t>
      </w:r>
    </w:p>
    <w:p>
      <w:r>
        <w:t>V5c 诊断、V5d/V5h/V5i/V5j 执行与技术研究、V5e 现金与退出、QMT 回放、订单治理和 ETF 经济暴露参考均留在证据附录边界，不能参与收益排序。</w:t>
      </w:r>
    </w:p>
    <w:p>
      <w:pPr>
        <w:pStyle w:val="Heading1"/>
      </w:pPr>
      <w:r>
        <w:t>8. 主候选结论与升级门槛</w:t>
      </w:r>
    </w:p>
    <w:p>
      <w:r>
        <w:t>`internal_subsleeve_mom12_70_30` 保持 primary_forward_paper_candidate_not_accepted。其历史表现不足以替代严格现金 NAV、完整 QMT 合同、ETF total-return 合同、独立验证及前瞻纸面闭环。</w:t>
      </w:r>
    </w:p>
    <w:p>
      <w:pPr>
        <w:pStyle w:val="Heading1"/>
      </w:pPr>
      <w:r>
        <w:t>9. 限制与未解证据</w:t>
      </w:r>
    </w:p>
    <w:p>
      <w:pPr/>
      <w:r>
        <w:t>strict_cash_nav_unavailable：阻塞严格现金状态下的历史 NAV 复原，以及 accepted/live 结论</w:t>
      </w:r>
    </w:p>
    <w:p>
      <w:pPr/>
      <w:r>
        <w:t>qmt_contract_incomplete：阻塞历史 target-order-fill-position-cash 的精确平台归因</w:t>
      </w:r>
    </w:p>
    <w:p>
      <w:pPr/>
      <w:r>
        <w:t>ETF total-return 合同缺失：ETF 只能作为经济暴露参考，不能计算正式 ETF Alpha/Beta/IR 或超额收益</w:t>
      </w:r>
    </w:p>
    <w:p>
      <w:pPr/>
      <w:r>
        <w:t>validation_not_independent：阻塞独立验证表述</w:t>
      </w:r>
    </w:p>
    <w:p>
      <w:pPr/>
      <w:r>
        <w:t>独立前瞻纸面周期尚未形成：阻塞前瞻独立证据和候选升级</w:t>
      </w:r>
    </w:p>
    <w:p>
      <w:pPr>
        <w:pStyle w:val="Heading1"/>
      </w:pPr>
      <w:r>
        <w:t>10. 结论</w:t>
      </w:r>
    </w:p>
    <w:p>
      <w:r>
        <w:t>本报告归档的是有限历史合同下的研究观察和治理边界：`v57f_startup_preload_repaired_baseline` 是唯一正式基线，`internal_subsleeve_mom12_70_30` 是唯一 primary forward/paper candidate。报告不证明已 accepted、已独立验证或可实盘。</w:t>
      </w:r>
    </w:p>
    <w:p>
      <w:pPr>
        <w:pStyle w:val="Heading1"/>
      </w:pPr>
      <w:r>
        <w:t>附录 A：统计口径与证据索引</w:t>
      </w:r>
    </w:p>
    <w:p>
      <w:r>
        <w:t>统计与表格复核：v5s_numeric_reconciliation.csv（26 个字段零冲突）。来源与 SHA256：v5t_publication_input_manifest.csv。论断与证据：v5t_final_claim_evidence_register.csv。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V5 历史研究与治理报告 v1.0  |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32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