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股票看板工具完整产品需求文档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一、产品概述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产品定位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本产品是一款轻量化、专业化的个人股票看板工具，核心服务于个人股票投资者，支持自选股票统一可视化管理、股票基础数据查询、专业行情数据可视化展示、AI智能量化分析及持仓决策建议。工具主打</w:t>
      </w:r>
      <w:r>
        <w:rPr>
          <w:rFonts w:eastAsia="等线" w:ascii="Arial" w:cs="Arial" w:hAnsi="Arial"/>
          <w:b w:val="true"/>
          <w:sz w:val="22"/>
        </w:rPr>
        <w:t>简洁直观、数据全面、分析专业、决策落地</w:t>
      </w:r>
      <w:r>
        <w:rPr>
          <w:rFonts w:eastAsia="等线" w:ascii="Arial" w:cs="Arial" w:hAnsi="Arial"/>
          <w:sz w:val="22"/>
        </w:rPr>
        <w:t>，帮助用户快速掌握自选股动态、拆解股票行情趋势、获取可直接参考的持仓操作建议，降低个人股票分析门槛。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统一聚合用户自选股票核心行情数据，实现一站式盯盘；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提供专业的均线、两融、资金流向等深度行情数据，弥补普通行情工具数据短板；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通过AI算法结合股票全维度数据，输出客观、明确、可落地的持仓建议，而非模糊的行情描述；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极简操作逻辑，无需专业炒股知识即可快速上手使用。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整体功能架构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整体分为三大核心页面：首页（自选股看板）、查询页（股票搜索添加）、股票详情页（深度数据展示），配套AI智能分析功能、自选股管理功能，形成「搜索添加-日常盯盘-深度复盘-智能决策」的完整使用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二、全局通用规则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数据刷新规则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盘中时段（9:30-11:30、13:00-15:00）：所有实时行情数据</w:t>
      </w:r>
      <w:r>
        <w:rPr>
          <w:rFonts w:eastAsia="等线" w:ascii="Arial" w:cs="Arial" w:hAnsi="Arial"/>
          <w:b w:val="true"/>
          <w:sz w:val="22"/>
        </w:rPr>
        <w:t>3秒自动刷新</w:t>
      </w:r>
      <w:r>
        <w:rPr>
          <w:rFonts w:eastAsia="等线" w:ascii="Arial" w:cs="Arial" w:hAnsi="Arial"/>
          <w:sz w:val="22"/>
        </w:rPr>
        <w:t>，保证数据实时性；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盘后时段（15:00-次日9:30）：数据固定为当日收盘数据，仅保留手动刷新按钮，无自动刷新；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所有页面支持</w:t>
      </w:r>
      <w:r>
        <w:rPr>
          <w:rFonts w:eastAsia="等线" w:ascii="Arial" w:cs="Arial" w:hAnsi="Arial"/>
          <w:b w:val="true"/>
          <w:sz w:val="22"/>
        </w:rPr>
        <w:t>手动一键刷新</w:t>
      </w:r>
      <w:r>
        <w:rPr>
          <w:rFonts w:eastAsia="等线" w:ascii="Arial" w:cs="Arial" w:hAnsi="Arial"/>
          <w:sz w:val="22"/>
        </w:rPr>
        <w:t>，用户可主动更新最新数据。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涨跌颜色展示规则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上涨、涨跌幅为正数：字体标红；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下跌、涨跌幅为负数：字体标绿；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持平、涨跌幅为0：字体标灰；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所有数据单位统一规范化，价格保留2位小数，涨跌幅保留2位百分比小数。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股票基础信息统一字段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全平台所有股票统一展示：股票代码、股票名称、所属板块（细分行业+概念板块），作为基础标识信息。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三、首页（自选股看板）详细需求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页面功能定位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工具默认首页，核心展示用户所有自选股票的核心极简行情数据，支持自选股基础管理，是用户日常盯盘的核心页面。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页面核心模块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3.2.1 顶部导航栏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固定顶部，包含：首页（默认选中）、查询页入口、刷新按钮、自选股管理按钮。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3.2.2 自选股列表模块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以列表形式展示用户所有自选股票，单条股票信息为一个独立卡片/行，包含固定展示字段与操作按钮，</w:t>
      </w:r>
      <w:r>
        <w:rPr>
          <w:rFonts w:eastAsia="等线" w:ascii="Arial" w:cs="Arial" w:hAnsi="Arial"/>
          <w:b w:val="true"/>
          <w:sz w:val="22"/>
        </w:rPr>
        <w:t>列表支持手动拖拽排序</w:t>
      </w:r>
      <w:r>
        <w:rPr>
          <w:rFonts w:eastAsia="等线" w:ascii="Arial" w:cs="Arial" w:hAnsi="Arial"/>
          <w:sz w:val="22"/>
        </w:rPr>
        <w:t>，用户可自定义自选股展示顺序。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单条自选股展示字段（从左至右）：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股票基础信息</w:t>
      </w:r>
      <w:r>
        <w:rPr>
          <w:rFonts w:eastAsia="等线" w:ascii="Arial" w:cs="Arial" w:hAnsi="Arial"/>
          <w:sz w:val="22"/>
        </w:rPr>
        <w:t>：股票名称、股票代码、所属板块（如：半导体、新能源、白酒概念）；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昨日收盘价</w:t>
      </w:r>
      <w:r>
        <w:rPr>
          <w:rFonts w:eastAsia="等线" w:ascii="Arial" w:cs="Arial" w:hAnsi="Arial"/>
          <w:sz w:val="22"/>
        </w:rPr>
        <w:t>：展示上一交易日收盘价格，固定2位小数；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现价</w:t>
      </w:r>
      <w:r>
        <w:rPr>
          <w:rFonts w:eastAsia="等线" w:ascii="Arial" w:cs="Arial" w:hAnsi="Arial"/>
          <w:sz w:val="22"/>
        </w:rPr>
        <w:t>：实时最新成交价格，盘中动态刷新，颜色随涨跌变化；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涨跌幅</w:t>
      </w:r>
      <w:r>
        <w:rPr>
          <w:rFonts w:eastAsia="等线" w:ascii="Arial" w:cs="Arial" w:hAnsi="Arial"/>
          <w:sz w:val="22"/>
        </w:rPr>
        <w:t>：当日涨跌幅（%），公式：(现价-昨收)/昨收*100%，搭配涨跌颜色；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操作按钮组</w:t>
      </w:r>
      <w:r>
        <w:rPr>
          <w:rFonts w:eastAsia="等线" w:ascii="Arial" w:cs="Arial" w:hAnsi="Arial"/>
          <w:sz w:val="22"/>
        </w:rPr>
        <w:t>：固定右侧两个核心按钮，【详情】、【AI分析】，按钮独立、样式区分、点击无冲突。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首页配套功能</w:t>
      </w:r>
      <w:bookmarkEnd w:id="13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自选股删除</w:t>
      </w:r>
      <w:r>
        <w:rPr>
          <w:rFonts w:eastAsia="等线" w:ascii="Arial" w:cs="Arial" w:hAnsi="Arial"/>
          <w:sz w:val="22"/>
        </w:rPr>
        <w:t>：支持单只股票删除、批量删除自选股；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列表排序</w:t>
      </w:r>
      <w:r>
        <w:rPr>
          <w:rFonts w:eastAsia="等线" w:ascii="Arial" w:cs="Arial" w:hAnsi="Arial"/>
          <w:sz w:val="22"/>
        </w:rPr>
        <w:t>：支持按现价、涨跌幅、名称、代码升降序一键排序；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空状态处理</w:t>
      </w:r>
      <w:r>
        <w:rPr>
          <w:rFonts w:eastAsia="等线" w:ascii="Arial" w:cs="Arial" w:hAnsi="Arial"/>
          <w:sz w:val="22"/>
        </w:rPr>
        <w:t>：用户无自选股时，页面展示空状态提示，搭配「前往查询添加股票」引导按钮。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四、查询页详细需求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页面功能定位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为用户提供股票搜索、自选添加功能，支持精准查找任意A股股票，完成自选股库的扩充。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核心功能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4.2.1 股票搜索功能</w:t>
      </w:r>
      <w:bookmarkEnd w:id="1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支持输入</w:t>
      </w:r>
      <w:r>
        <w:rPr>
          <w:rFonts w:eastAsia="等线" w:ascii="Arial" w:cs="Arial" w:hAnsi="Arial"/>
          <w:b w:val="true"/>
          <w:sz w:val="22"/>
        </w:rPr>
        <w:t>股票名称、股票代码、拼音首字母</w:t>
      </w:r>
      <w:r>
        <w:rPr>
          <w:rFonts w:eastAsia="等线" w:ascii="Arial" w:cs="Arial" w:hAnsi="Arial"/>
          <w:sz w:val="22"/>
        </w:rPr>
        <w:t>三种方式搜索；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实时联想匹配，输入即时展示匹配股票结果；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支持模糊搜索，容错性高，无结果时展示「暂无匹配股票」提示。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4.2.2 搜索结果功能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搜索结果展示股票名称、代码、所属板块、实时现价、涨跌幅，每只股票搭配【添加自选】按钮，已添加的股票按钮变为【已自选】且置灰，不可重复添加。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4.2.3 热门股票推荐（辅助功能）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查询页底部展示当日热门涨跌、热门成交股票，方便用户快速添加优质标的。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五、股票详情页详细需求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5.1 页面功能定位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点击首页【详情】按钮跳转至当前股票专属详情页，集中展示股票中长期技术指标、资金数据、两融数据、实时状态，为用户提供深度复盘依据，页面支持返回首页。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 核心展示模块（全部固定展示）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5.2.1 基础行情模块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顶部复用核心数据：股票名称、代码、所属板块、昨收、现价、当日涨跌幅、今日开盘价、最高价、最低价、成交量。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5.2.2 均线数据模块（技术趋势核心）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精准展示四条核心均线实时数值及走势状态，同时标注</w:t>
      </w:r>
      <w:r>
        <w:rPr>
          <w:rFonts w:eastAsia="等线" w:ascii="Arial" w:cs="Arial" w:hAnsi="Arial"/>
          <w:b w:val="true"/>
          <w:sz w:val="22"/>
        </w:rPr>
        <w:t>当前股价与均线的位置关系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5日均线（MA5）：短期趋势线，展示实时价格、均线涨跌状态；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10日均线（MA10）：短期趋势线，判断短期强弱；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20日均线（MA20）：中期趋势线，俗称月线，判断中期走势；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60日均线（MA60）：中长期趋势线，俗称季线，判断中长期趋势支撑/压力。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额外展示辅助判断：股价站上/跌破各均线、多头排列/空头排列提示。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5.2.3 30天两融数据模块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聚合近30个交易日两融核心数据，支持数据列表+简易趋势曲线图展示，核心字段：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每日融资余额、融资买入额；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每日融券余额、融券卖出量；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30日两融净流入/净流出总额、两融占比变化趋势。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5.2.4 30天资金流向模块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聚合近30个交易日主力资金、散户资金流动数据，可视化展示趋势，核心字段：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主力净流入/流出金额、超大单、大单资金流向；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中单、小单（散户）资金流向；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30日资金整体趋势：持续流入、持续流出、震荡反复。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5.2.5 当前股票状态模块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整合所有数据输出标准化状态标签，直观总结股票当前行情状态，包含：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趋势状态：短期上涨、短期下跌、震荡整理、多头趋势、空头趋势；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资金状态：主力净流入、主力净流出、资金观望；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支撑压力状态：当前处于压力位、支撑位、突破区间、跌破区间；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两融情绪状态：融资做多情绪旺盛、融券做空情绪浓厚、情绪平稳。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六、AI分析功能详细需求（核心特色功能）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6.1 触发方式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用户在首页自选股列表，点击单只股票右侧【AI分析】按钮，即可触发AI智能分析，按钮点击后展示加载状态，禁止重复点击。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6.2 AI分析输入数据（全维度投喂）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系统自动抓取当前股票</w:t>
      </w:r>
      <w:r>
        <w:rPr>
          <w:rFonts w:eastAsia="等线" w:ascii="Arial" w:cs="Arial" w:hAnsi="Arial"/>
          <w:b w:val="true"/>
          <w:sz w:val="22"/>
        </w:rPr>
        <w:t>全部可展示数据</w:t>
      </w:r>
      <w:r>
        <w:rPr>
          <w:rFonts w:eastAsia="等线" w:ascii="Arial" w:cs="Arial" w:hAnsi="Arial"/>
          <w:sz w:val="22"/>
        </w:rPr>
        <w:t>作为AI分析依据，无数据遗漏，包含：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基础数据：股票名称、代码、所属板块、最新现价、昨收、涨跌幅、今日高低价、开盘价；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均线技术数据：MA5/MA10/MA20/MA60实时数值、股价相对均线位置、趋势形态；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资金数据：近30日主力、散户资金流向、单日及累计资金进出情况；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两融数据：近30日融资融券余额、买卖变化、多空情绪；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当前行情状态：趋势、支撑压力、资金情绪、板块联动状态。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6.3 AI分析输出规范（核心要求）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禁止模糊、模棱两可的话术，必须输出</w:t>
      </w:r>
      <w:r>
        <w:rPr>
          <w:rFonts w:eastAsia="等线" w:ascii="Arial" w:cs="Arial" w:hAnsi="Arial"/>
          <w:b w:val="true"/>
          <w:sz w:val="22"/>
        </w:rPr>
        <w:t>结构化、明确、可落地的专业分析+持仓建议</w:t>
      </w:r>
      <w:r>
        <w:rPr>
          <w:rFonts w:eastAsia="等线" w:ascii="Arial" w:cs="Arial" w:hAnsi="Arial"/>
          <w:sz w:val="22"/>
        </w:rPr>
        <w:t>，输出内容分为4个固定模块，逻辑清晰、专业易懂：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6.3.1 行情趋势分析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结合四条均线走势、30日K线趋势，分析股票短期、中期、中长期整体走势，判断趋势强弱、是否突破/破位、震荡方向。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6.3.2 资金与两融情绪分析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根据30日资金流向、主力操盘动向、两融多空数据，解读市场资金态度、散户情绪、机构做多/做空意愿。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6.3.3 风险与机会拆解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明确列出当前股票的</w:t>
      </w:r>
      <w:r>
        <w:rPr>
          <w:rFonts w:eastAsia="等线" w:ascii="Arial" w:cs="Arial" w:hAnsi="Arial"/>
          <w:b w:val="true"/>
          <w:sz w:val="22"/>
        </w:rPr>
        <w:t>核心利好机会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潜在风险点</w:t>
      </w:r>
      <w:r>
        <w:rPr>
          <w:rFonts w:eastAsia="等线" w:ascii="Arial" w:cs="Arial" w:hAnsi="Arial"/>
          <w:sz w:val="22"/>
        </w:rPr>
        <w:t>，结合板块行情、技术形态、资金面综合判断。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6.3.4 明确持仓操作建议（重中之重）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必须给出唯一、清晰、可直接执行的操作结论，禁止「观望为主、谨慎操作」等模糊话术，固定可选建议类型：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积极持仓/加仓</w:t>
      </w:r>
      <w:r>
        <w:rPr>
          <w:rFonts w:eastAsia="等线" w:ascii="Arial" w:cs="Arial" w:hAnsi="Arial"/>
          <w:sz w:val="22"/>
        </w:rPr>
        <w:t>：趋势向好、资金持续流入、无明显风险，适合持有或加仓；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持有观望</w:t>
      </w:r>
      <w:r>
        <w:rPr>
          <w:rFonts w:eastAsia="等线" w:ascii="Arial" w:cs="Arial" w:hAnsi="Arial"/>
          <w:sz w:val="22"/>
        </w:rPr>
        <w:t>：趋势平稳、资金震荡，无明确涨跌信号，维持现有持仓，不操作；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减仓规避</w:t>
      </w:r>
      <w:r>
        <w:rPr>
          <w:rFonts w:eastAsia="等线" w:ascii="Arial" w:cs="Arial" w:hAnsi="Arial"/>
          <w:sz w:val="22"/>
        </w:rPr>
        <w:t>：短期出现压力、资金小幅流出，需降低仓位规避短期回调风险；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清仓离场</w:t>
      </w:r>
      <w:r>
        <w:rPr>
          <w:rFonts w:eastAsia="等线" w:ascii="Arial" w:cs="Arial" w:hAnsi="Arial"/>
          <w:sz w:val="22"/>
        </w:rPr>
        <w:t>：趋势破位、资金持续出逃、空头情绪浓厚，建议全部卖出止损止盈。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同时配套补充：</w:t>
      </w:r>
      <w:r>
        <w:rPr>
          <w:rFonts w:eastAsia="等线" w:ascii="Arial" w:cs="Arial" w:hAnsi="Arial"/>
          <w:b w:val="true"/>
          <w:sz w:val="22"/>
        </w:rPr>
        <w:t>参考支撑位、压力位、合适介入/离场区间</w:t>
      </w:r>
      <w:r>
        <w:rPr>
          <w:rFonts w:eastAsia="等线" w:ascii="Arial" w:cs="Arial" w:hAnsi="Arial"/>
          <w:sz w:val="22"/>
        </w:rPr>
        <w:t>，让建议更落地。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6.4 AI结果展示与留存规则</w:t>
      </w:r>
      <w:bookmarkEnd w:id="36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分析结果弹窗展示，支持一键复制、刷新重新分析；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单只股票保留</w:t>
      </w:r>
      <w:r>
        <w:rPr>
          <w:rFonts w:eastAsia="等线" w:ascii="Arial" w:cs="Arial" w:hAnsi="Arial"/>
          <w:b w:val="true"/>
          <w:sz w:val="22"/>
        </w:rPr>
        <w:t>当日最新AI分析记录</w:t>
      </w:r>
      <w:r>
        <w:rPr>
          <w:rFonts w:eastAsia="等线" w:ascii="Arial" w:cs="Arial" w:hAnsi="Arial"/>
          <w:sz w:val="22"/>
        </w:rPr>
        <w:t>，用户可重复查看，次日自动更新；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分析时长控制在1-3秒，加载过程展示「AI智能分析中，请稍候」提示。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七、新增完善功能（补充原生未提及需求）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7.1 数据可视化优化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均线、30日两融、30日资金流向全部搭配</w:t>
      </w:r>
      <w:r>
        <w:rPr>
          <w:rFonts w:eastAsia="等线" w:ascii="Arial" w:cs="Arial" w:hAnsi="Arial"/>
          <w:b w:val="true"/>
          <w:sz w:val="22"/>
        </w:rPr>
        <w:t>动态曲线图</w:t>
      </w:r>
      <w:r>
        <w:rPr>
          <w:rFonts w:eastAsia="等线" w:ascii="Arial" w:cs="Arial" w:hAnsi="Arial"/>
          <w:sz w:val="22"/>
        </w:rPr>
        <w:t>，数据可视化展示，直观对比历史走势，替代纯文字数据。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7.2 自选股数据缓存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本地缓存用户自选股列表，刷新页面、重启工具后，自选股数据不丢失，无需重复添加。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7.3 异常数据处理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停牌、退市、数据延迟的股票，统一标注异常状态，屏蔽错误数据，提示用户「股票停牌/数据更新延迟」。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7.4 批量操作功能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支持自选股批量刷新数据、批量删除，提升多股票管理效率。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八、非功能需求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8.1 性能需求</w:t>
      </w:r>
      <w:bookmarkEnd w:id="43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页面打开速度≤1秒，数据刷新响应≤0.5秒；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AI分析响应时长≤3秒，无卡顿、无超时报错。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8.2 兼容性需求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支持PC端主流浏览器适配，页面布局自适应，无错乱、无遮挡。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8.3 易用性需求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所有操作层级不超过2级，核心功能（详情、AI分析、添加自选）一键触发，新手零学习成本。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九、功能优先级排序</w:t>
      </w:r>
      <w:bookmarkEnd w:id="46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P0（必做核心）：首页自选股数据展示、查询添加自选、详情页全数据展示、AI明确持仓分析建议；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P1（重要优化）：数据可视化图表、涨跌颜色区分、自动刷新、自选股缓存；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P2（体验优化）：批量操作、热门股票推荐、异常数据处理、结果复制留存。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98661">
    <w:lvl>
      <w:numFmt w:val="bullet"/>
      <w:suff w:val="tab"/>
      <w:lvlText w:val="•"/>
      <w:rPr>
        <w:color w:val="3370ff"/>
      </w:rPr>
    </w:lvl>
  </w:abstractNum>
  <w:abstractNum w:abstractNumId="598662">
    <w:lvl>
      <w:numFmt w:val="bullet"/>
      <w:suff w:val="tab"/>
      <w:lvlText w:val="•"/>
      <w:rPr>
        <w:color w:val="3370ff"/>
      </w:rPr>
    </w:lvl>
  </w:abstractNum>
  <w:abstractNum w:abstractNumId="598663">
    <w:lvl>
      <w:numFmt w:val="bullet"/>
      <w:suff w:val="tab"/>
      <w:lvlText w:val="•"/>
      <w:rPr>
        <w:color w:val="3370ff"/>
      </w:rPr>
    </w:lvl>
  </w:abstractNum>
  <w:abstractNum w:abstractNumId="598664">
    <w:lvl>
      <w:numFmt w:val="bullet"/>
      <w:suff w:val="tab"/>
      <w:lvlText w:val="•"/>
      <w:rPr>
        <w:color w:val="3370ff"/>
      </w:rPr>
    </w:lvl>
  </w:abstractNum>
  <w:abstractNum w:abstractNumId="598665">
    <w:lvl>
      <w:numFmt w:val="bullet"/>
      <w:suff w:val="tab"/>
      <w:lvlText w:val="•"/>
      <w:rPr>
        <w:color w:val="3370ff"/>
      </w:rPr>
    </w:lvl>
  </w:abstractNum>
  <w:abstractNum w:abstractNumId="598666">
    <w:lvl>
      <w:numFmt w:val="bullet"/>
      <w:suff w:val="tab"/>
      <w:lvlText w:val="•"/>
      <w:rPr>
        <w:color w:val="3370ff"/>
      </w:rPr>
    </w:lvl>
  </w:abstractNum>
  <w:abstractNum w:abstractNumId="598667">
    <w:lvl>
      <w:numFmt w:val="bullet"/>
      <w:suff w:val="tab"/>
      <w:lvlText w:val="•"/>
      <w:rPr>
        <w:color w:val="3370ff"/>
      </w:rPr>
    </w:lvl>
  </w:abstractNum>
  <w:abstractNum w:abstractNumId="598668">
    <w:lvl>
      <w:numFmt w:val="bullet"/>
      <w:suff w:val="tab"/>
      <w:lvlText w:val="•"/>
      <w:rPr>
        <w:color w:val="3370ff"/>
      </w:rPr>
    </w:lvl>
  </w:abstractNum>
  <w:abstractNum w:abstractNumId="598669">
    <w:lvl>
      <w:numFmt w:val="bullet"/>
      <w:suff w:val="tab"/>
      <w:lvlText w:val="•"/>
      <w:rPr>
        <w:color w:val="3370ff"/>
      </w:rPr>
    </w:lvl>
  </w:abstractNum>
  <w:abstractNum w:abstractNumId="598670">
    <w:lvl>
      <w:numFmt w:val="bullet"/>
      <w:suff w:val="tab"/>
      <w:lvlText w:val="•"/>
      <w:rPr>
        <w:color w:val="3370ff"/>
      </w:rPr>
    </w:lvl>
  </w:abstractNum>
  <w:abstractNum w:abstractNumId="598671">
    <w:lvl>
      <w:numFmt w:val="bullet"/>
      <w:suff w:val="tab"/>
      <w:lvlText w:val="•"/>
      <w:rPr>
        <w:color w:val="3370ff"/>
      </w:rPr>
    </w:lvl>
  </w:abstractNum>
  <w:abstractNum w:abstractNumId="598672">
    <w:lvl>
      <w:start w:val="1"/>
      <w:numFmt w:val="decimal"/>
      <w:suff w:val="tab"/>
      <w:lvlText w:val="%1."/>
      <w:rPr>
        <w:color w:val="3370ff"/>
      </w:rPr>
    </w:lvl>
  </w:abstractNum>
  <w:abstractNum w:abstractNumId="598673">
    <w:lvl>
      <w:start w:val="2"/>
      <w:numFmt w:val="decimal"/>
      <w:suff w:val="tab"/>
      <w:lvlText w:val="%1."/>
      <w:rPr>
        <w:color w:val="3370ff"/>
      </w:rPr>
    </w:lvl>
  </w:abstractNum>
  <w:abstractNum w:abstractNumId="598674">
    <w:lvl>
      <w:start w:val="3"/>
      <w:numFmt w:val="decimal"/>
      <w:suff w:val="tab"/>
      <w:lvlText w:val="%1."/>
      <w:rPr>
        <w:color w:val="3370ff"/>
      </w:rPr>
    </w:lvl>
  </w:abstractNum>
  <w:abstractNum w:abstractNumId="598675">
    <w:lvl>
      <w:start w:val="4"/>
      <w:numFmt w:val="decimal"/>
      <w:suff w:val="tab"/>
      <w:lvlText w:val="%1."/>
      <w:rPr>
        <w:color w:val="3370ff"/>
      </w:rPr>
    </w:lvl>
  </w:abstractNum>
  <w:abstractNum w:abstractNumId="598676">
    <w:lvl>
      <w:start w:val="5"/>
      <w:numFmt w:val="decimal"/>
      <w:suff w:val="tab"/>
      <w:lvlText w:val="%1."/>
      <w:rPr>
        <w:color w:val="3370ff"/>
      </w:rPr>
    </w:lvl>
  </w:abstractNum>
  <w:abstractNum w:abstractNumId="598677">
    <w:lvl>
      <w:numFmt w:val="bullet"/>
      <w:suff w:val="tab"/>
      <w:lvlText w:val="•"/>
      <w:rPr>
        <w:color w:val="3370ff"/>
      </w:rPr>
    </w:lvl>
  </w:abstractNum>
  <w:abstractNum w:abstractNumId="598678">
    <w:lvl>
      <w:numFmt w:val="bullet"/>
      <w:suff w:val="tab"/>
      <w:lvlText w:val="•"/>
      <w:rPr>
        <w:color w:val="3370ff"/>
      </w:rPr>
    </w:lvl>
  </w:abstractNum>
  <w:abstractNum w:abstractNumId="598679">
    <w:lvl>
      <w:numFmt w:val="bullet"/>
      <w:suff w:val="tab"/>
      <w:lvlText w:val="•"/>
      <w:rPr>
        <w:color w:val="3370ff"/>
      </w:rPr>
    </w:lvl>
  </w:abstractNum>
  <w:abstractNum w:abstractNumId="598680">
    <w:lvl>
      <w:numFmt w:val="bullet"/>
      <w:suff w:val="tab"/>
      <w:lvlText w:val="•"/>
      <w:rPr>
        <w:color w:val="3370ff"/>
      </w:rPr>
    </w:lvl>
  </w:abstractNum>
  <w:abstractNum w:abstractNumId="598681">
    <w:lvl>
      <w:numFmt w:val="bullet"/>
      <w:suff w:val="tab"/>
      <w:lvlText w:val="•"/>
      <w:rPr>
        <w:color w:val="3370ff"/>
      </w:rPr>
    </w:lvl>
  </w:abstractNum>
  <w:abstractNum w:abstractNumId="598682">
    <w:lvl>
      <w:numFmt w:val="bullet"/>
      <w:suff w:val="tab"/>
      <w:lvlText w:val="•"/>
      <w:rPr>
        <w:color w:val="3370ff"/>
      </w:rPr>
    </w:lvl>
  </w:abstractNum>
  <w:abstractNum w:abstractNumId="598683">
    <w:lvl>
      <w:numFmt w:val="bullet"/>
      <w:suff w:val="tab"/>
      <w:lvlText w:val="•"/>
      <w:rPr>
        <w:color w:val="3370ff"/>
      </w:rPr>
    </w:lvl>
  </w:abstractNum>
  <w:abstractNum w:abstractNumId="598684">
    <w:lvl>
      <w:numFmt w:val="bullet"/>
      <w:suff w:val="tab"/>
      <w:lvlText w:val="•"/>
      <w:rPr>
        <w:color w:val="3370ff"/>
      </w:rPr>
    </w:lvl>
  </w:abstractNum>
  <w:abstractNum w:abstractNumId="598685">
    <w:lvl>
      <w:numFmt w:val="bullet"/>
      <w:suff w:val="tab"/>
      <w:lvlText w:val="•"/>
      <w:rPr>
        <w:color w:val="3370ff"/>
      </w:rPr>
    </w:lvl>
  </w:abstractNum>
  <w:abstractNum w:abstractNumId="598686">
    <w:lvl>
      <w:numFmt w:val="bullet"/>
      <w:suff w:val="tab"/>
      <w:lvlText w:val="•"/>
      <w:rPr>
        <w:color w:val="3370ff"/>
      </w:rPr>
    </w:lvl>
  </w:abstractNum>
  <w:abstractNum w:abstractNumId="598687">
    <w:lvl>
      <w:numFmt w:val="bullet"/>
      <w:suff w:val="tab"/>
      <w:lvlText w:val="•"/>
      <w:rPr>
        <w:color w:val="3370ff"/>
      </w:rPr>
    </w:lvl>
  </w:abstractNum>
  <w:abstractNum w:abstractNumId="598688">
    <w:lvl>
      <w:numFmt w:val="bullet"/>
      <w:suff w:val="tab"/>
      <w:lvlText w:val="•"/>
      <w:rPr>
        <w:color w:val="3370ff"/>
      </w:rPr>
    </w:lvl>
  </w:abstractNum>
  <w:abstractNum w:abstractNumId="598689">
    <w:lvl>
      <w:numFmt w:val="bullet"/>
      <w:suff w:val="tab"/>
      <w:lvlText w:val="•"/>
      <w:rPr>
        <w:color w:val="3370ff"/>
      </w:rPr>
    </w:lvl>
  </w:abstractNum>
  <w:abstractNum w:abstractNumId="598690">
    <w:lvl>
      <w:numFmt w:val="bullet"/>
      <w:suff w:val="tab"/>
      <w:lvlText w:val="•"/>
      <w:rPr>
        <w:color w:val="3370ff"/>
      </w:rPr>
    </w:lvl>
  </w:abstractNum>
  <w:abstractNum w:abstractNumId="598691">
    <w:lvl>
      <w:numFmt w:val="bullet"/>
      <w:suff w:val="tab"/>
      <w:lvlText w:val="•"/>
      <w:rPr>
        <w:color w:val="3370ff"/>
      </w:rPr>
    </w:lvl>
  </w:abstractNum>
  <w:abstractNum w:abstractNumId="598692">
    <w:lvl>
      <w:numFmt w:val="bullet"/>
      <w:suff w:val="tab"/>
      <w:lvlText w:val="•"/>
      <w:rPr>
        <w:color w:val="3370ff"/>
      </w:rPr>
    </w:lvl>
  </w:abstractNum>
  <w:abstractNum w:abstractNumId="598693">
    <w:lvl>
      <w:numFmt w:val="bullet"/>
      <w:suff w:val="tab"/>
      <w:lvlText w:val="•"/>
      <w:rPr>
        <w:color w:val="3370ff"/>
      </w:rPr>
    </w:lvl>
  </w:abstractNum>
  <w:abstractNum w:abstractNumId="598694">
    <w:lvl>
      <w:numFmt w:val="bullet"/>
      <w:suff w:val="tab"/>
      <w:lvlText w:val="•"/>
      <w:rPr>
        <w:color w:val="3370ff"/>
      </w:rPr>
    </w:lvl>
  </w:abstractNum>
  <w:abstractNum w:abstractNumId="598695">
    <w:lvl>
      <w:numFmt w:val="bullet"/>
      <w:suff w:val="tab"/>
      <w:lvlText w:val="•"/>
      <w:rPr>
        <w:color w:val="3370ff"/>
      </w:rPr>
    </w:lvl>
  </w:abstractNum>
  <w:abstractNum w:abstractNumId="598696">
    <w:lvl>
      <w:numFmt w:val="bullet"/>
      <w:suff w:val="tab"/>
      <w:lvlText w:val="•"/>
      <w:rPr>
        <w:color w:val="3370ff"/>
      </w:rPr>
    </w:lvl>
  </w:abstractNum>
  <w:abstractNum w:abstractNumId="598697">
    <w:lvl>
      <w:numFmt w:val="bullet"/>
      <w:suff w:val="tab"/>
      <w:lvlText w:val="•"/>
      <w:rPr>
        <w:color w:val="3370ff"/>
      </w:rPr>
    </w:lvl>
  </w:abstractNum>
  <w:abstractNum w:abstractNumId="598698">
    <w:lvl>
      <w:numFmt w:val="bullet"/>
      <w:suff w:val="tab"/>
      <w:lvlText w:val="•"/>
      <w:rPr>
        <w:color w:val="3370ff"/>
      </w:rPr>
    </w:lvl>
  </w:abstractNum>
  <w:abstractNum w:abstractNumId="598699">
    <w:lvl>
      <w:numFmt w:val="bullet"/>
      <w:suff w:val="tab"/>
      <w:lvlText w:val="•"/>
      <w:rPr>
        <w:color w:val="3370ff"/>
      </w:rPr>
    </w:lvl>
  </w:abstractNum>
  <w:abstractNum w:abstractNumId="598700">
    <w:lvl>
      <w:numFmt w:val="bullet"/>
      <w:suff w:val="tab"/>
      <w:lvlText w:val="•"/>
      <w:rPr>
        <w:color w:val="3370ff"/>
      </w:rPr>
    </w:lvl>
  </w:abstractNum>
  <w:abstractNum w:abstractNumId="598701">
    <w:lvl>
      <w:numFmt w:val="bullet"/>
      <w:suff w:val="tab"/>
      <w:lvlText w:val="•"/>
      <w:rPr>
        <w:color w:val="3370ff"/>
      </w:rPr>
    </w:lvl>
  </w:abstractNum>
  <w:abstractNum w:abstractNumId="598702">
    <w:lvl>
      <w:numFmt w:val="bullet"/>
      <w:suff w:val="tab"/>
      <w:lvlText w:val="•"/>
      <w:rPr>
        <w:color w:val="3370ff"/>
      </w:rPr>
    </w:lvl>
  </w:abstractNum>
  <w:abstractNum w:abstractNumId="598703">
    <w:lvl>
      <w:numFmt w:val="bullet"/>
      <w:suff w:val="tab"/>
      <w:lvlText w:val="•"/>
      <w:rPr>
        <w:color w:val="3370ff"/>
      </w:rPr>
    </w:lvl>
  </w:abstractNum>
  <w:abstractNum w:abstractNumId="598704">
    <w:lvl>
      <w:numFmt w:val="bullet"/>
      <w:suff w:val="tab"/>
      <w:lvlText w:val="•"/>
      <w:rPr>
        <w:color w:val="3370ff"/>
      </w:rPr>
    </w:lvl>
  </w:abstractNum>
  <w:abstractNum w:abstractNumId="598705">
    <w:lvl>
      <w:numFmt w:val="bullet"/>
      <w:suff w:val="tab"/>
      <w:lvlText w:val="•"/>
      <w:rPr>
        <w:color w:val="3370ff"/>
      </w:rPr>
    </w:lvl>
  </w:abstractNum>
  <w:abstractNum w:abstractNumId="598706">
    <w:lvl>
      <w:numFmt w:val="bullet"/>
      <w:suff w:val="tab"/>
      <w:lvlText w:val="•"/>
      <w:rPr>
        <w:color w:val="3370ff"/>
      </w:rPr>
    </w:lvl>
  </w:abstractNum>
  <w:abstractNum w:abstractNumId="598707">
    <w:lvl>
      <w:numFmt w:val="bullet"/>
      <w:suff w:val="tab"/>
      <w:lvlText w:val="•"/>
      <w:rPr>
        <w:color w:val="3370ff"/>
      </w:rPr>
    </w:lvl>
  </w:abstractNum>
  <w:abstractNum w:abstractNumId="598708">
    <w:lvl>
      <w:numFmt w:val="bullet"/>
      <w:suff w:val="tab"/>
      <w:lvlText w:val="•"/>
      <w:rPr>
        <w:color w:val="3370ff"/>
      </w:rPr>
    </w:lvl>
  </w:abstractNum>
  <w:abstractNum w:abstractNumId="598709">
    <w:lvl>
      <w:numFmt w:val="bullet"/>
      <w:suff w:val="tab"/>
      <w:lvlText w:val="•"/>
      <w:rPr>
        <w:color w:val="3370ff"/>
      </w:rPr>
    </w:lvl>
  </w:abstractNum>
  <w:abstractNum w:abstractNumId="598710">
    <w:lvl>
      <w:numFmt w:val="bullet"/>
      <w:suff w:val="tab"/>
      <w:lvlText w:val="•"/>
      <w:rPr>
        <w:color w:val="3370ff"/>
      </w:rPr>
    </w:lvl>
  </w:abstractNum>
  <w:abstractNum w:abstractNumId="598711">
    <w:lvl>
      <w:start w:val="1"/>
      <w:numFmt w:val="decimal"/>
      <w:suff w:val="tab"/>
      <w:lvlText w:val="%1."/>
      <w:rPr>
        <w:color w:val="3370ff"/>
      </w:rPr>
    </w:lvl>
  </w:abstractNum>
  <w:abstractNum w:abstractNumId="598712">
    <w:lvl>
      <w:start w:val="2"/>
      <w:numFmt w:val="decimal"/>
      <w:suff w:val="tab"/>
      <w:lvlText w:val="%1."/>
      <w:rPr>
        <w:color w:val="3370ff"/>
      </w:rPr>
    </w:lvl>
  </w:abstractNum>
  <w:abstractNum w:abstractNumId="59871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598661"/>
  </w:num>
  <w:num w:numId="2">
    <w:abstractNumId w:val="598662"/>
  </w:num>
  <w:num w:numId="3">
    <w:abstractNumId w:val="598663"/>
  </w:num>
  <w:num w:numId="4">
    <w:abstractNumId w:val="598664"/>
  </w:num>
  <w:num w:numId="5">
    <w:abstractNumId w:val="598665"/>
  </w:num>
  <w:num w:numId="6">
    <w:abstractNumId w:val="598666"/>
  </w:num>
  <w:num w:numId="7">
    <w:abstractNumId w:val="598667"/>
  </w:num>
  <w:num w:numId="8">
    <w:abstractNumId w:val="598668"/>
  </w:num>
  <w:num w:numId="9">
    <w:abstractNumId w:val="598669"/>
  </w:num>
  <w:num w:numId="10">
    <w:abstractNumId w:val="598670"/>
  </w:num>
  <w:num w:numId="11">
    <w:abstractNumId w:val="598671"/>
  </w:num>
  <w:num w:numId="12">
    <w:abstractNumId w:val="598672"/>
  </w:num>
  <w:num w:numId="13">
    <w:abstractNumId w:val="598673"/>
  </w:num>
  <w:num w:numId="14">
    <w:abstractNumId w:val="598674"/>
  </w:num>
  <w:num w:numId="15">
    <w:abstractNumId w:val="598675"/>
  </w:num>
  <w:num w:numId="16">
    <w:abstractNumId w:val="598676"/>
  </w:num>
  <w:num w:numId="17">
    <w:abstractNumId w:val="598677"/>
  </w:num>
  <w:num w:numId="18">
    <w:abstractNumId w:val="598678"/>
  </w:num>
  <w:num w:numId="19">
    <w:abstractNumId w:val="598679"/>
  </w:num>
  <w:num w:numId="20">
    <w:abstractNumId w:val="598680"/>
  </w:num>
  <w:num w:numId="21">
    <w:abstractNumId w:val="598681"/>
  </w:num>
  <w:num w:numId="22">
    <w:abstractNumId w:val="598682"/>
  </w:num>
  <w:num w:numId="23">
    <w:abstractNumId w:val="598683"/>
  </w:num>
  <w:num w:numId="24">
    <w:abstractNumId w:val="598684"/>
  </w:num>
  <w:num w:numId="25">
    <w:abstractNumId w:val="598685"/>
  </w:num>
  <w:num w:numId="26">
    <w:abstractNumId w:val="598686"/>
  </w:num>
  <w:num w:numId="27">
    <w:abstractNumId w:val="598687"/>
  </w:num>
  <w:num w:numId="28">
    <w:abstractNumId w:val="598688"/>
  </w:num>
  <w:num w:numId="29">
    <w:abstractNumId w:val="598689"/>
  </w:num>
  <w:num w:numId="30">
    <w:abstractNumId w:val="598690"/>
  </w:num>
  <w:num w:numId="31">
    <w:abstractNumId w:val="598691"/>
  </w:num>
  <w:num w:numId="32">
    <w:abstractNumId w:val="598692"/>
  </w:num>
  <w:num w:numId="33">
    <w:abstractNumId w:val="598693"/>
  </w:num>
  <w:num w:numId="34">
    <w:abstractNumId w:val="598694"/>
  </w:num>
  <w:num w:numId="35">
    <w:abstractNumId w:val="598695"/>
  </w:num>
  <w:num w:numId="36">
    <w:abstractNumId w:val="598696"/>
  </w:num>
  <w:num w:numId="37">
    <w:abstractNumId w:val="598697"/>
  </w:num>
  <w:num w:numId="38">
    <w:abstractNumId w:val="598698"/>
  </w:num>
  <w:num w:numId="39">
    <w:abstractNumId w:val="598699"/>
  </w:num>
  <w:num w:numId="40">
    <w:abstractNumId w:val="598700"/>
  </w:num>
  <w:num w:numId="41">
    <w:abstractNumId w:val="598701"/>
  </w:num>
  <w:num w:numId="42">
    <w:abstractNumId w:val="598702"/>
  </w:num>
  <w:num w:numId="43">
    <w:abstractNumId w:val="598703"/>
  </w:num>
  <w:num w:numId="44">
    <w:abstractNumId w:val="598704"/>
  </w:num>
  <w:num w:numId="45">
    <w:abstractNumId w:val="598705"/>
  </w:num>
  <w:num w:numId="46">
    <w:abstractNumId w:val="598706"/>
  </w:num>
  <w:num w:numId="47">
    <w:abstractNumId w:val="598707"/>
  </w:num>
  <w:num w:numId="48">
    <w:abstractNumId w:val="598708"/>
  </w:num>
  <w:num w:numId="49">
    <w:abstractNumId w:val="598709"/>
  </w:num>
  <w:num w:numId="50">
    <w:abstractNumId w:val="598710"/>
  </w:num>
  <w:num w:numId="51">
    <w:abstractNumId w:val="598711"/>
  </w:num>
  <w:num w:numId="52">
    <w:abstractNumId w:val="598712"/>
  </w:num>
  <w:num w:numId="53">
    <w:abstractNumId w:val="5987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2026-08-10T08:34:59Z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{"Label":"1","ContentProducer":"001191110102MACQD9K64010000","ProduceID":"7672318678480194505","ReservedCode1":"","ContentPropagator":"","PropagateID":"","ReservedCode2":""}</vt:lpwstr>
  </property>
</Properties>
</file>