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jc w:val="center"/>
        <w:rPr>
          <w:rFonts w:hint="default"/>
          <w:b/>
          <w:bCs/>
          <w:sz w:val="32"/>
          <w:szCs w:val="40"/>
          <w:vertAlign w:val="baseline"/>
          <w:lang w:val="en-US" w:eastAsia="zh-CN"/>
        </w:rPr>
      </w:pPr>
      <w:r>
        <w:rPr>
          <w:rFonts w:hint="eastAsia"/>
          <w:b/>
          <w:bCs/>
          <w:sz w:val="32"/>
          <w:szCs w:val="40"/>
          <w:vertAlign w:val="baseline"/>
          <w:lang w:val="en-US" w:eastAsia="zh-CN"/>
        </w:rPr>
        <w:t>Data</w:t>
      </w:r>
      <w:r>
        <w:rPr>
          <w:rFonts w:hint="default"/>
          <w:b/>
          <w:bCs/>
          <w:sz w:val="32"/>
          <w:szCs w:val="40"/>
          <w:vertAlign w:val="baseline"/>
          <w:lang w:val="en-US" w:eastAsia="zh-CN"/>
        </w:rPr>
        <w:t xml:space="preserve"> Requirement Specification</w:t>
      </w:r>
      <w:r>
        <w:rPr>
          <w:rFonts w:hint="eastAsia"/>
          <w:b/>
          <w:bCs/>
          <w:sz w:val="32"/>
          <w:szCs w:val="40"/>
          <w:vertAlign w:val="baseline"/>
          <w:lang w:val="en-US" w:eastAsia="zh-CN"/>
        </w:rPr>
        <w:t xml:space="preserve"> </w:t>
      </w:r>
      <w:r>
        <w:rPr>
          <w:rFonts w:hint="default"/>
          <w:b/>
          <w:bCs/>
          <w:sz w:val="32"/>
          <w:szCs w:val="40"/>
          <w:vertAlign w:val="baseline"/>
          <w:lang w:val="en-US" w:eastAsia="zh-CN"/>
        </w:rPr>
        <w:t>(1.0)</w:t>
      </w:r>
    </w:p>
    <w:p>
      <w:pPr>
        <w:numPr>
          <w:ilvl w:val="0"/>
          <w:numId w:val="1"/>
        </w:numPr>
        <w:tabs>
          <w:tab w:val="left" w:pos="420"/>
        </w:tabs>
        <w:jc w:val="left"/>
        <w:rPr>
          <w:rFonts w:hint="default"/>
          <w:b/>
          <w:bCs/>
          <w:sz w:val="21"/>
          <w:szCs w:val="21"/>
          <w:u w:val="none"/>
          <w:vertAlign w:val="baseline"/>
          <w:lang w:val="en-US" w:eastAsia="zh-CN"/>
        </w:rPr>
      </w:pPr>
      <w:r>
        <w:rPr>
          <w:rFonts w:hint="eastAsia"/>
          <w:b/>
          <w:bCs/>
          <w:sz w:val="21"/>
          <w:szCs w:val="21"/>
          <w:u w:val="none"/>
          <w:vertAlign w:val="baseline"/>
          <w:lang w:val="en-US" w:eastAsia="zh-CN"/>
        </w:rPr>
        <w:t>Introduction</w:t>
      </w:r>
    </w:p>
    <w:p>
      <w:pPr>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This document defines the data scope for the Advanced Chooser Option Pricing Model project, covering financial data, macroeconomic data, and market sentiment data. All data support pricing, modeling, and machine learning enhancement for JPMorgan (JPM) chooser options from 2018 to 2024.</w:t>
      </w:r>
    </w:p>
    <w:p>
      <w:pPr>
        <w:numPr>
          <w:numId w:val="0"/>
        </w:numPr>
        <w:tabs>
          <w:tab w:val="left" w:pos="420"/>
        </w:tabs>
        <w:jc w:val="left"/>
        <w:rPr>
          <w:rFonts w:hint="default"/>
          <w:b w:val="0"/>
          <w:bCs w:val="0"/>
          <w:sz w:val="21"/>
          <w:szCs w:val="21"/>
          <w:u w:val="none"/>
          <w:vertAlign w:val="baseline"/>
          <w:lang w:val="en-US" w:eastAsia="zh-CN"/>
        </w:rPr>
      </w:pPr>
    </w:p>
    <w:p>
      <w:pPr>
        <w:numPr>
          <w:ilvl w:val="0"/>
          <w:numId w:val="1"/>
        </w:numPr>
        <w:tabs>
          <w:tab w:val="left" w:pos="420"/>
        </w:tabs>
        <w:jc w:val="left"/>
        <w:rPr>
          <w:rFonts w:hint="default"/>
          <w:b/>
          <w:bCs/>
          <w:sz w:val="21"/>
          <w:szCs w:val="21"/>
          <w:u w:val="single"/>
          <w:vertAlign w:val="baseline"/>
          <w:lang w:val="en-US" w:eastAsia="zh-CN"/>
        </w:rPr>
      </w:pPr>
      <w:r>
        <w:rPr>
          <w:rFonts w:hint="default"/>
          <w:b/>
          <w:bCs/>
          <w:sz w:val="21"/>
          <w:szCs w:val="21"/>
          <w:vertAlign w:val="baseline"/>
          <w:lang w:val="en-US" w:eastAsia="zh-CN"/>
        </w:rPr>
        <w:t>Define Scope for Financial Data</w:t>
      </w: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2.1 Underlying Asset</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Asset: JPMorgan Chase &amp; Co. (JPM) common stock</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Fields: Open, High, Low, Close, Adjusted Close, Volume, Dividend per share, Split factor</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Frequency: Daily</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Period: 2018–2024</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Purpose: Return calculation, volatility estimation, BSM inputs</w:t>
      </w:r>
    </w:p>
    <w:p>
      <w:pPr>
        <w:widowControl w:val="0"/>
        <w:numPr>
          <w:numId w:val="0"/>
        </w:numPr>
        <w:tabs>
          <w:tab w:val="left" w:pos="420"/>
        </w:tabs>
        <w:jc w:val="left"/>
        <w:rPr>
          <w:rFonts w:hint="default"/>
          <w:b w:val="0"/>
          <w:bCs w:val="0"/>
          <w:sz w:val="21"/>
          <w:szCs w:val="21"/>
          <w:u w:val="none"/>
          <w:vertAlign w:val="baseline"/>
          <w:lang w:val="en-US" w:eastAsia="zh-CN"/>
        </w:rPr>
      </w:pP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2.2 Option Data</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Instruments: JPM European call/put options</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Fields: Option type, strike, expiration, bid/ask mid price, implied volatility, delta, gamma, vega, open interest</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Frequency: Daily</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Purpose: Model validation, ML training, error measurement</w:t>
      </w:r>
    </w:p>
    <w:p>
      <w:pPr>
        <w:widowControl w:val="0"/>
        <w:numPr>
          <w:numId w:val="0"/>
        </w:numPr>
        <w:tabs>
          <w:tab w:val="left" w:pos="420"/>
        </w:tabs>
        <w:jc w:val="left"/>
        <w:rPr>
          <w:rFonts w:hint="default"/>
          <w:b w:val="0"/>
          <w:bCs w:val="0"/>
          <w:sz w:val="21"/>
          <w:szCs w:val="21"/>
          <w:u w:val="none"/>
          <w:vertAlign w:val="baseline"/>
          <w:lang w:val="en-US" w:eastAsia="zh-CN"/>
        </w:rPr>
      </w:pPr>
      <w:bookmarkStart w:id="0" w:name="_GoBack"/>
      <w:bookmarkEnd w:id="0"/>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2.3 Volatility &amp; Risk Data</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VIX Index: Daily close</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JPM Realized Volatility: 7d, 14d, 30d, 60d, 90d rolling volatility</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Purpose: Relax BSM constant volatility assumption</w:t>
      </w:r>
    </w:p>
    <w:p>
      <w:pPr>
        <w:widowControl w:val="0"/>
        <w:numPr>
          <w:numId w:val="0"/>
        </w:numPr>
        <w:tabs>
          <w:tab w:val="left" w:pos="420"/>
        </w:tabs>
        <w:jc w:val="left"/>
        <w:rPr>
          <w:rFonts w:hint="default"/>
          <w:b w:val="0"/>
          <w:bCs w:val="0"/>
          <w:sz w:val="21"/>
          <w:szCs w:val="21"/>
          <w:u w:val="none"/>
          <w:vertAlign w:val="baseline"/>
          <w:lang w:val="en-US" w:eastAsia="zh-CN"/>
        </w:rPr>
      </w:pP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2.4 Scope Summary (Financial Data)</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Underlying stock prices &amp; dividends</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Vanilla options (calls/puts) on JPM</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Implied &amp; realized volatility</w:t>
      </w:r>
    </w:p>
    <w:p>
      <w:pPr>
        <w:widowControl w:val="0"/>
        <w:numPr>
          <w:ilvl w:val="0"/>
          <w:numId w:val="2"/>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Trading volume &amp; open interest</w:t>
      </w:r>
    </w:p>
    <w:p>
      <w:pPr>
        <w:widowControl w:val="0"/>
        <w:numPr>
          <w:numId w:val="0"/>
        </w:numPr>
        <w:tabs>
          <w:tab w:val="left" w:pos="420"/>
        </w:tabs>
        <w:jc w:val="left"/>
        <w:rPr>
          <w:rFonts w:hint="default"/>
          <w:b w:val="0"/>
          <w:bCs w:val="0"/>
          <w:sz w:val="21"/>
          <w:szCs w:val="21"/>
          <w:u w:val="none"/>
          <w:vertAlign w:val="baseline"/>
          <w:lang w:val="en-US" w:eastAsia="zh-CN"/>
        </w:rPr>
      </w:pPr>
    </w:p>
    <w:p>
      <w:pPr>
        <w:numPr>
          <w:ilvl w:val="0"/>
          <w:numId w:val="1"/>
        </w:numPr>
        <w:tabs>
          <w:tab w:val="left" w:pos="420"/>
        </w:tabs>
        <w:jc w:val="left"/>
        <w:rPr>
          <w:rFonts w:hint="default"/>
          <w:b/>
          <w:bCs/>
          <w:sz w:val="21"/>
          <w:szCs w:val="21"/>
          <w:u w:val="single"/>
          <w:vertAlign w:val="baseline"/>
          <w:lang w:val="en-US" w:eastAsia="zh-CN"/>
        </w:rPr>
      </w:pPr>
      <w:r>
        <w:rPr>
          <w:rFonts w:hint="eastAsia"/>
          <w:b/>
          <w:bCs/>
          <w:sz w:val="21"/>
          <w:szCs w:val="21"/>
          <w:vertAlign w:val="baseline"/>
          <w:lang w:val="en-US" w:eastAsia="zh-CN"/>
        </w:rPr>
        <w:t>Define</w:t>
      </w:r>
      <w:r>
        <w:rPr>
          <w:rFonts w:hint="default"/>
          <w:b/>
          <w:bCs/>
          <w:sz w:val="21"/>
          <w:szCs w:val="21"/>
          <w:vertAlign w:val="baseline"/>
          <w:lang w:val="en-US" w:eastAsia="zh-CN"/>
        </w:rPr>
        <w:t xml:space="preserve"> Scope for Macroeconomic Data</w:t>
      </w: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3.1 Risk-Free Interest Rates</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Data: U.S. Treasury yields (1m, 3m, 6m, 1y, 2y, 5y, 10y)</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Source: FRED</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Frequency: Daily</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Purpose: Discounting in option pricing</w:t>
      </w: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3.2 Monetary Policy &amp; Macro Indicators</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Federal funds rate</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CPI / PCE inflation</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10y–2y Treasury yield spread</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Corporate credit spread</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FOMC announcement dates</w:t>
      </w: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3.3 Scope Summary (Macroeconomic Data)</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Risk-free rates (full curve)</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Inflation indicators</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Interest rate momentum &amp; term structure</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Credit spreads</w:t>
      </w:r>
    </w:p>
    <w:p>
      <w:pPr>
        <w:widowControl w:val="0"/>
        <w:numPr>
          <w:ilvl w:val="0"/>
          <w:numId w:val="3"/>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Monetary policy events</w:t>
      </w:r>
    </w:p>
    <w:p>
      <w:pPr>
        <w:widowControl w:val="0"/>
        <w:numPr>
          <w:numId w:val="0"/>
        </w:numPr>
        <w:tabs>
          <w:tab w:val="left" w:pos="420"/>
        </w:tabs>
        <w:jc w:val="left"/>
        <w:rPr>
          <w:rFonts w:hint="default"/>
          <w:b w:val="0"/>
          <w:bCs w:val="0"/>
          <w:sz w:val="21"/>
          <w:szCs w:val="21"/>
          <w:u w:val="none"/>
          <w:vertAlign w:val="baseline"/>
          <w:lang w:val="en-US" w:eastAsia="zh-CN"/>
        </w:rPr>
      </w:pPr>
    </w:p>
    <w:p>
      <w:pPr>
        <w:numPr>
          <w:ilvl w:val="0"/>
          <w:numId w:val="1"/>
        </w:numPr>
        <w:tabs>
          <w:tab w:val="left" w:pos="420"/>
        </w:tabs>
        <w:jc w:val="left"/>
        <w:rPr>
          <w:rFonts w:hint="default"/>
          <w:b/>
          <w:bCs/>
          <w:sz w:val="21"/>
          <w:szCs w:val="21"/>
          <w:u w:val="single"/>
          <w:vertAlign w:val="baseline"/>
          <w:lang w:val="en-US" w:eastAsia="zh-CN"/>
        </w:rPr>
      </w:pPr>
      <w:r>
        <w:rPr>
          <w:rFonts w:hint="default"/>
          <w:b/>
          <w:bCs/>
          <w:sz w:val="21"/>
          <w:szCs w:val="21"/>
          <w:vertAlign w:val="baseline"/>
          <w:lang w:val="en-US" w:eastAsia="zh-CN"/>
        </w:rPr>
        <w:t>Define Scope for Sentiment Data</w:t>
      </w: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4.1 News Sentiment</w:t>
      </w:r>
    </w:p>
    <w:p>
      <w:pPr>
        <w:widowControl w:val="0"/>
        <w:numPr>
          <w:ilvl w:val="0"/>
          <w:numId w:val="4"/>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Content: Financial news related to JPM, banking sector, and broader market</w:t>
      </w:r>
    </w:p>
    <w:p>
      <w:pPr>
        <w:widowControl w:val="0"/>
        <w:numPr>
          <w:ilvl w:val="0"/>
          <w:numId w:val="4"/>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Fields: Headline, time, source, sentiment score (0–1)</w:t>
      </w:r>
    </w:p>
    <w:p>
      <w:pPr>
        <w:widowControl w:val="0"/>
        <w:numPr>
          <w:ilvl w:val="0"/>
          <w:numId w:val="4"/>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Frequency: Daily</w:t>
      </w:r>
    </w:p>
    <w:p>
      <w:pPr>
        <w:widowControl w:val="0"/>
        <w:numPr>
          <w:ilvl w:val="0"/>
          <w:numId w:val="4"/>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Purpose: Capture sentiment around earnings, FOMC, and volatility events</w:t>
      </w: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4.2 Options Market Sentiment</w:t>
      </w:r>
    </w:p>
    <w:p>
      <w:pPr>
        <w:widowControl w:val="0"/>
        <w:numPr>
          <w:ilvl w:val="0"/>
          <w:numId w:val="4"/>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Put/call volume ratio (PCR)</w:t>
      </w:r>
    </w:p>
    <w:p>
      <w:pPr>
        <w:widowControl w:val="0"/>
        <w:numPr>
          <w:ilvl w:val="0"/>
          <w:numId w:val="4"/>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Put/call open interest ratio</w:t>
      </w:r>
    </w:p>
    <w:p>
      <w:pPr>
        <w:widowControl w:val="0"/>
        <w:numPr>
          <w:numId w:val="0"/>
        </w:numPr>
        <w:tabs>
          <w:tab w:val="left" w:pos="420"/>
        </w:tabs>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4.3 Scope Summary (Sentiment Data)</w:t>
      </w:r>
    </w:p>
    <w:p>
      <w:pPr>
        <w:widowControl w:val="0"/>
        <w:numPr>
          <w:ilvl w:val="0"/>
          <w:numId w:val="4"/>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News sentiment scores</w:t>
      </w:r>
    </w:p>
    <w:p>
      <w:pPr>
        <w:widowControl w:val="0"/>
        <w:numPr>
          <w:ilvl w:val="0"/>
          <w:numId w:val="4"/>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Option market sentiment indicators (PCR)</w:t>
      </w:r>
    </w:p>
    <w:p>
      <w:pPr>
        <w:widowControl w:val="0"/>
        <w:numPr>
          <w:numId w:val="0"/>
        </w:numPr>
        <w:tabs>
          <w:tab w:val="left" w:pos="420"/>
        </w:tabs>
        <w:jc w:val="left"/>
        <w:rPr>
          <w:rFonts w:hint="default"/>
          <w:b w:val="0"/>
          <w:bCs w:val="0"/>
          <w:sz w:val="21"/>
          <w:szCs w:val="21"/>
          <w:u w:val="none"/>
          <w:vertAlign w:val="baseline"/>
          <w:lang w:val="en-US" w:eastAsia="zh-CN"/>
        </w:rPr>
      </w:pPr>
    </w:p>
    <w:p>
      <w:pPr>
        <w:numPr>
          <w:ilvl w:val="0"/>
          <w:numId w:val="1"/>
        </w:numPr>
        <w:tabs>
          <w:tab w:val="left" w:pos="420"/>
        </w:tabs>
        <w:jc w:val="left"/>
        <w:rPr>
          <w:rFonts w:hint="default"/>
          <w:b/>
          <w:bCs/>
          <w:sz w:val="21"/>
          <w:szCs w:val="21"/>
          <w:u w:val="single"/>
          <w:vertAlign w:val="baseline"/>
          <w:lang w:val="en-US" w:eastAsia="zh-CN"/>
        </w:rPr>
      </w:pPr>
      <w:r>
        <w:rPr>
          <w:rFonts w:hint="default"/>
          <w:b/>
          <w:bCs/>
          <w:sz w:val="21"/>
          <w:szCs w:val="21"/>
          <w:vertAlign w:val="baseline"/>
          <w:lang w:val="en-US" w:eastAsia="zh-CN"/>
        </w:rPr>
        <w:t>Data Sources</w:t>
      </w:r>
    </w:p>
    <w:p>
      <w:pPr>
        <w:widowControl w:val="0"/>
        <w:numPr>
          <w:ilvl w:val="0"/>
          <w:numId w:val="5"/>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Stock &amp; Options: Yahoo Finance, Alpha Vantage</w:t>
      </w:r>
    </w:p>
    <w:p>
      <w:pPr>
        <w:widowControl w:val="0"/>
        <w:numPr>
          <w:ilvl w:val="0"/>
          <w:numId w:val="5"/>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Macroeconomic: FRED</w:t>
      </w:r>
    </w:p>
    <w:p>
      <w:pPr>
        <w:widowControl w:val="0"/>
        <w:numPr>
          <w:ilvl w:val="0"/>
          <w:numId w:val="5"/>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News Sentiment: NewsAPI</w:t>
      </w:r>
    </w:p>
    <w:p>
      <w:pPr>
        <w:widowControl w:val="0"/>
        <w:numPr>
          <w:ilvl w:val="0"/>
          <w:numId w:val="5"/>
        </w:numPr>
        <w:tabs>
          <w:tab w:val="left" w:pos="420"/>
        </w:tabs>
        <w:ind w:left="420" w:leftChars="0" w:hanging="420" w:firstLineChars="0"/>
        <w:jc w:val="left"/>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Option Transactions: CME Historical Data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6C24B"/>
    <w:multiLevelType w:val="singleLevel"/>
    <w:tmpl w:val="B376C24B"/>
    <w:lvl w:ilvl="0" w:tentative="0">
      <w:start w:val="1"/>
      <w:numFmt w:val="bullet"/>
      <w:lvlText w:val=""/>
      <w:lvlJc w:val="left"/>
      <w:pPr>
        <w:ind w:left="420" w:hanging="420"/>
      </w:pPr>
      <w:rPr>
        <w:rFonts w:hint="default" w:ascii="Wingdings" w:hAnsi="Wingdings"/>
      </w:rPr>
    </w:lvl>
  </w:abstractNum>
  <w:abstractNum w:abstractNumId="1">
    <w:nsid w:val="D79C325B"/>
    <w:multiLevelType w:val="singleLevel"/>
    <w:tmpl w:val="D79C325B"/>
    <w:lvl w:ilvl="0" w:tentative="0">
      <w:start w:val="1"/>
      <w:numFmt w:val="bullet"/>
      <w:lvlText w:val=""/>
      <w:lvlJc w:val="left"/>
      <w:pPr>
        <w:ind w:left="420" w:hanging="420"/>
      </w:pPr>
      <w:rPr>
        <w:rFonts w:hint="default" w:ascii="Wingdings" w:hAnsi="Wingdings"/>
      </w:rPr>
    </w:lvl>
  </w:abstractNum>
  <w:abstractNum w:abstractNumId="2">
    <w:nsid w:val="F9BBC49E"/>
    <w:multiLevelType w:val="singleLevel"/>
    <w:tmpl w:val="F9BBC49E"/>
    <w:lvl w:ilvl="0" w:tentative="0">
      <w:start w:val="1"/>
      <w:numFmt w:val="decimal"/>
      <w:suff w:val="space"/>
      <w:lvlText w:val="%1."/>
      <w:lvlJc w:val="left"/>
    </w:lvl>
  </w:abstractNum>
  <w:abstractNum w:abstractNumId="3">
    <w:nsid w:val="FDEF5628"/>
    <w:multiLevelType w:val="singleLevel"/>
    <w:tmpl w:val="FDEF5628"/>
    <w:lvl w:ilvl="0" w:tentative="0">
      <w:start w:val="1"/>
      <w:numFmt w:val="bullet"/>
      <w:lvlText w:val=""/>
      <w:lvlJc w:val="left"/>
      <w:pPr>
        <w:ind w:left="420" w:hanging="420"/>
      </w:pPr>
      <w:rPr>
        <w:rFonts w:hint="default" w:ascii="Wingdings" w:hAnsi="Wingdings"/>
      </w:rPr>
    </w:lvl>
  </w:abstractNum>
  <w:abstractNum w:abstractNumId="4">
    <w:nsid w:val="FF7F7E02"/>
    <w:multiLevelType w:val="singleLevel"/>
    <w:tmpl w:val="FF7F7E02"/>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39AA70"/>
    <w:rsid w:val="BF39A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2026-05-04T14:53:00Z</dcterms:created>
  <dc:creator>chenairui050204</dc:creator>
  <cp:lastModifiedBy>chenairui050204</cp:lastModifiedBy>
  <dcterms:modified xsi:type="dcterms:W3CDTF">2026-05-04T15:13:43Z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9D6583E044EA01D05A42F869B3490664_41</vt:lpwstr>
  </property>
</Properties>
</file>