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 pom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 POMs是可以包含到应用中的一个方便的依赖关系描述符集合。你可以获取所有Spring及相关技术的一站式服务，而不需要翻阅示例代码，拷贝粘贴大量的依赖描述符。例如，如果你想使用Spring和JPA进行数据库访问，只需要在你的项目中包含spring-boot-starter-data-jpa依赖，然后你就可以开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该starters包含很多你搭建项目，快速运行所需的依赖，并提供一致的，管理的传递依赖集。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有什么含义：所有的starters遵循一个相似的命名模式：spring-boot-starter-*，在这里*是一种特殊类型的应用程序。该命名结构旨在帮你找到需要的starter。很多IDEs集成的Maven允许你通过名称搜索依赖。例如，使用相应的Eclipse或STS插件，你可以简单地在POM编辑器中点击ctrl-space，然后输入”spring-boot-starter”可以获取一个完整列表。</w:t>
      </w:r>
    </w:p>
    <w:p>
      <w:pPr>
        <w:rPr>
          <w:rFonts w:hint="eastAsia"/>
          <w:lang w:val="en-US" w:eastAsia="zh-CN"/>
        </w:rPr>
      </w:pPr>
    </w:p>
    <w:tbl>
      <w:tblPr>
        <w:tblpPr w:leftFromText="180" w:rightFromText="180" w:vertAnchor="text" w:horzAnchor="page" w:tblpX="539" w:tblpY="342"/>
        <w:tblOverlap w:val="never"/>
        <w:tblW w:w="11132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00"/>
        <w:gridCol w:w="753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核心Spring Boot starter，包括自动配置支持，日志和YAML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spring-boot-starter-actuator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生产准备的特性，用于帮你监控和管理应用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spring-boot-starter-amqp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对”高级消息队列协议”的支持，通过</w:t>
            </w:r>
            <w:r>
              <w:rPr>
                <w:rStyle w:val="12"/>
                <w:rFonts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spring-rabbit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spring-boot-starter-aop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对面向切面编程的支持，包括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spring-aop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和AspectJ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spring-boot-starter-batch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对Spring Batch的支持，包括HSQLDB数据库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spring-boot-starter-cloud-connectors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对Spring Cloud Connectors的支持，简化在云平台下（例如，Cloud Foundry 和Heroku）服务的连接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spring-boot-starter-data-elasticsearch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对Elasticsearch搜索和分析引擎的支持，包括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spring-data-elasticsearch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spring-boot-starter-data-gemfire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对GemFire分布式数据存储的支持，包括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spring-data-gemfire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spring-boot-starter-data-jpa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对”Java持久化API”的支持，包括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spring-data-jpa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spring-orm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和Hibernate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spring-boot-starter-data-mongodb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对MongoDB NOSQL数据库的支持，包括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spring-data-mongodb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spring-boot-starter-data-rest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对通过REST暴露Spring Data仓库的支持，通过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spring-data-rest-webmvc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spring-boot-starter-data-solr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对Apache Solr搜索平台的支持，包括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spring-data-solr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spring-boot-starter-freemarker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对FreeMarker模板引擎的支持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spring-boot-starter-groovy-templates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对Groovy模板引擎的支持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spring-boot-starter-hateoas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对基于HATEOAS的RESTful服务的支持，通过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spring-hateoas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spring-boot-starter-hornetq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对”Java消息服务API”的支持，通过HornetQ实现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spring-boot-starter-integration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对普通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spring-integration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模块的支持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spring-boot-starter-jdbc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对JDBC数据库的支持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spring-boot-starter-jersey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对Jersey RESTful Web服务框架的支持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spring-boot-starter-jta-atomikos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对JTA分布式事务的支持，通过Atomikos实现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spring-boot-starter-jta-bitronix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对JTA分布式事务的支持，通过Bitronix实现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spring-boot-starter-mail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javax.mail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spring-boot-starter-mobile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spring-mobile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spring-boot-starter-mustache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对Mustache模板引擎的支持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spring-boot-starter-redis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对REDIS键值数据存储的支持，包括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spring-redis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spring-boot-starter-security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spring-security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spring-boot-starter-social-facebook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spring-social-facebook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spring-boot-starter-social-linkedin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spring-social-linkedin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spring-boot-starter-social-twitter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spring-social-twitter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spring-boot-starter-test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对常用测试依赖的支持，包括JUnit, Hamcrest和Mockito，还有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spring-test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模块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spring-boot-starter-thymeleaf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对Thymeleaf模板引擎的支持，包括和Spring的集成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spring-boot-starter-velocity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对Velocity模板引擎的支持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spring-boot-starter-web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对全栈web开发的支持，包括Tomcat和</w:t>
            </w:r>
            <w:r>
              <w:rPr>
                <w:rStyle w:val="12"/>
                <w:rFonts w:hint="default"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spring-webmvc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spring-boot-starter-websocket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对WebSocket开发的支持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spring-boot-starter-ws</w:t>
            </w:r>
          </w:p>
        </w:tc>
        <w:tc>
          <w:tcPr>
            <w:tcW w:w="7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对Spring Web服务的支持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生产准备的starters</w:t>
      </w:r>
    </w:p>
    <w:tbl>
      <w:tblPr>
        <w:tblStyle w:val="9"/>
        <w:tblpPr w:leftFromText="180" w:rightFromText="180" w:vertAnchor="text" w:horzAnchor="page" w:tblpX="1006" w:tblpY="353"/>
        <w:tblOverlap w:val="never"/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06"/>
        <w:gridCol w:w="537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spring-boot-starter-actuator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添加生产准备特性，比如指标和监控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spring-boot-starter-remote-shell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添加远程</w:t>
            </w:r>
            <w:r>
              <w:rPr>
                <w:rStyle w:val="12"/>
                <w:rFonts w:ascii="DejaVu Sans Mono" w:hAnsi="DejaVu Sans Mono" w:eastAsia="DejaVu Sans Mono" w:cs="DejaVu Sans Mono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ssh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 shell支持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technical starters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9"/>
        <w:gridCol w:w="641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spring-boot-starter-jetty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导入Jetty HTTP引擎（作为Tomcat的替代）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spring-boot-starter-log4j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对Log4J日志系统的支持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spring-boot-starter-logging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导入Spring Boot的默认日志系统（Logback）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spring-boot-starter-tomcat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导入Spring Boot的默认HTTP引擎（Tomcat）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spring-boot-starter-undertow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导入Undertow HTTP引擎（作为Tomcat的替代）</w:t>
            </w:r>
          </w:p>
        </w:tc>
      </w:tr>
    </w:tbl>
    <w:p>
      <w:pPr>
        <w:bidi w:val="0"/>
        <w:rPr>
          <w:rFonts w:hint="eastAsia"/>
          <w:highlight w:val="yellow"/>
          <w:lang w:val="en-US" w:eastAsia="zh-CN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JavaConfig</w:t>
      </w:r>
    </w:p>
    <w:p>
      <w:pPr>
        <w:bidi w:val="0"/>
      </w:pPr>
      <w:r>
        <w:rPr>
          <w:rFonts w:hint="eastAsia"/>
          <w:lang w:val="en-US" w:eastAsia="zh-CN"/>
        </w:rPr>
        <w:t>概念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"https://blog.csdn.net/albenxie/article/details/82633775"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https://blog.csdn.net/albenxie/article/details/82633775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根据源码进行讲解：</w:t>
      </w:r>
    </w:p>
    <w:p>
      <w:pPr>
        <w:bidi w:val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"https://baijiahao.baidu.com/s?id=1655850697384425668&amp;wfr=spider&amp;for=pc" </w:instrText>
      </w:r>
      <w:r>
        <w:fldChar w:fldCharType="separate"/>
      </w:r>
      <w:r>
        <w:t>https://baijiahao.baidu.com/s?id=1655850697384425668&amp;wfr=spider&amp;for=pc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spring3.0新增了许多java config的注解，特别是spring boot，基本都是清一色的java config。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在类上打上这一标签，表示这个类是配置类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相当于xml的&lt;context:componentscan basepakage=&gt;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bean的定义，相当于xml的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&lt;bean id="objectMapper" class="org.codehaus.jackson.map.ObjectMapper" /&gt;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@EnableWebMvc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相当于xml的&lt;mvc:annotation-driven&gt;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相当于xml的 &lt;import resource="applicationContext-cache.xml"&gt;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3.1开始引入，它是基于java config的注解，用于读取properties文件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@Profile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spring3.1开始引入,一般用于多环境配置，激活时可用@ActiveProfiles注解,@ActiveProfiles("dev")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等同于xml配置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profile="dev"&gt;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id="beanname" class="com.pz.demo.ProductRPC"/&gt;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激活该profile spring.profiles.active,也可设置默认值 spring.profiles.default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&lt;param-name&gt;spring.profiles.default&lt;/param-name&gt;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&lt;param-value&gt;dev&lt;/param-value&gt;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&lt;/context-param&gt;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bidi w:val="0"/>
      </w:pPr>
      <w:r>
        <w:rPr>
          <w:rFonts w:hint="eastAsia"/>
          <w:lang w:eastAsia="zh-CN"/>
        </w:rPr>
        <w:t>防止</w:t>
      </w:r>
      <w:r>
        <w:t>Spring项目大量的烂用XML</w:t>
      </w:r>
    </w:p>
    <w:p>
      <w:pPr>
        <w:bidi w:val="0"/>
      </w:pPr>
    </w:p>
    <w:p>
      <w:pPr>
        <w:bidi w:val="0"/>
      </w:pPr>
      <w:r>
        <w:rPr>
          <w:rFonts w:hint="eastAsia"/>
        </w:rPr>
        <w:t>XML唯一的问题是，只有在运行时环境时你才能发现各种配置及语法错误，但是如果使用Spring IDE Plugin(或者STS)的话，它会在编码时提示这些问题。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使用XML来配置Bean失去了编译时的类型安全检查。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Spring使用注释来描述Bean的配置与采用XML相比，因类注释是在一个类源代码中，可以获得类型安全检查的好处。可以良好的支持重构。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不同环境的应用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开发一个项目有几个阶段，开发、测试、生产。这代表着它们可能处于不同的环境中，其中针对某一阶段一些配置和配置文件等也不尽相同。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配置文件中使用</w:t>
      </w:r>
      <w:r>
        <w:rPr>
          <w:rFonts w:hint="default"/>
        </w:rPr>
        <w:t>spring.profiles.active</w:t>
      </w:r>
      <w:r>
        <w:rPr>
          <w:rFonts w:hint="eastAsia"/>
          <w:lang w:eastAsia="zh-CN"/>
        </w:rPr>
        <w:t>来指定所处的环境或使用哪一套配置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3D3D"/>
    <w:rsid w:val="055D0456"/>
    <w:rsid w:val="084A74F3"/>
    <w:rsid w:val="0897506D"/>
    <w:rsid w:val="0B613072"/>
    <w:rsid w:val="0BF8518D"/>
    <w:rsid w:val="10373464"/>
    <w:rsid w:val="126B2082"/>
    <w:rsid w:val="1483542C"/>
    <w:rsid w:val="1A6046E2"/>
    <w:rsid w:val="1E9C48EB"/>
    <w:rsid w:val="204C0EC6"/>
    <w:rsid w:val="24EF559C"/>
    <w:rsid w:val="2D6413E6"/>
    <w:rsid w:val="2DE40FC1"/>
    <w:rsid w:val="31932F97"/>
    <w:rsid w:val="3434468D"/>
    <w:rsid w:val="34E83A16"/>
    <w:rsid w:val="395D13E5"/>
    <w:rsid w:val="3AF3012B"/>
    <w:rsid w:val="3DB17FAD"/>
    <w:rsid w:val="3EDD2A05"/>
    <w:rsid w:val="482F267F"/>
    <w:rsid w:val="48FD1351"/>
    <w:rsid w:val="4A1800E8"/>
    <w:rsid w:val="4C7C6088"/>
    <w:rsid w:val="4C891051"/>
    <w:rsid w:val="4E370DE4"/>
    <w:rsid w:val="61A7510B"/>
    <w:rsid w:val="63B1438C"/>
    <w:rsid w:val="680C0DF4"/>
    <w:rsid w:val="6D1C35B9"/>
    <w:rsid w:val="6E5D4944"/>
    <w:rsid w:val="76606464"/>
    <w:rsid w:val="76EA70C6"/>
    <w:rsid w:val="7AF57833"/>
    <w:rsid w:val="7BD47E40"/>
    <w:rsid w:val="7EF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315" w:leftChars="150"/>
      <w:outlineLvl w:val="2"/>
    </w:pPr>
    <w:rPr>
      <w:rFonts w:cs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ind w:left="357" w:leftChars="170"/>
      <w:outlineLvl w:val="3"/>
    </w:pPr>
    <w:rPr>
      <w:rFonts w:ascii="Arial" w:hAnsi="Arial" w:eastAsia="黑体" w:cs="微软雅黑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2020-09-22T03:21:51Z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