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指标计算数学公式（适配PPT）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一、分类指标（基于混淆矩阵）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核心符号定义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TP：真正例（预测正确且为正类）；FP：假正例（预测错误且为正类）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FN：假负例（预测错误且为负类）；TN：真负例（预测正确且为负类）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N：总样本数；C：类别数；Wᵢ：第i类样本权重（样本数占比）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总体准确率（Overall Accuracy）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Accuracy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/>
              </m:nary>
              <m:r>
                <w:rPr>
                  <w:rFonts w:ascii="Cambria Math" w:hAnsi="Cambria Math"/>
                </w:rPr>
                <m:t>T</m:t>
              </m:r>
              <m:sSub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TP+FP+FN+TN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说明：所有类别预测正确的样本数占总样本数的比例（代码中confusion_matrix.compute_metrics()的overall_accuracy）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精确率（Precision）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单类精确率：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Precision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  <m:sSub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  <m:sSub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+F</m:t>
              </m:r>
              <m:sSub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宏平均精确率：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Macro-Precision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/>
          </m:nary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Precision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加权平均精确率：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Weighted-Precision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Precision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说明：预测为第i类的样本中，实际为第i类的比例（代码中precision_per_class及衍生指标）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召回率（Recall）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单类召回率：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Recall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  <m:sSub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  <m:sSub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+F</m:t>
              </m:r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宏平均召回率：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Macro-Recall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/>
          </m:nary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Recall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加权平均召回率：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Weighted-Recall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Recall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说明：实际为第i类的样本中，被正确预测为第i类的比例（代码中recall_per_class及衍生指标）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F1分数（F1-Score）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单类F1分数：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F1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=2×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Precision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Precision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宏平均F1：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Macro-F1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/>
          </m:nary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F1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加权平均F1：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Weighted-F1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F1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说明：精确率与召回率的调和平均数，综合两者性能（代码中f1_per_class及衍生指标）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二、回归指标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核心符号定义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yₚᵣₑd：预测值；yₜᵣᵤₑ：真实值；N：有效样本数；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</m:oMath>
      </m:oMathPara>
      <w:r>
        <w:rPr>
          <w:rFonts w:eastAsia="等线" w:ascii="Arial" w:cs="Arial" w:hAnsi="Arial"/>
          <w:sz w:val="22"/>
        </w:rPr>
        <w:t>：真实值的平均值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 平均绝对误差（MAE）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MAE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pred,i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true,i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说明：预测值与真实值绝对误差的平均值（代码中RegressionMetrics.compute_metrics()的mae）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均方误差（MSE）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MSE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pred,i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true,i</m:t>
              </m:r>
            </m:sub>
          </m:sSub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说明：预测值与真实值平方误差的平均值，放大较大误差（代码中mse）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均方根误差（RMSE）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RMSE</m:t>
          </m:r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r>
                <m:rPr>
                  <m:nor/>
                </m:rPr>
                <w:rPr>
                  <w:rFonts w:ascii="Cambria Math" w:hAnsi="Cambria Math"/>
                </w:rPr>
                <m:t>MSE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pred,i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true,i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说明：MSE的平方根，还原为原始数据量级（代码中rmse）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决定系数（R²）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true,i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pred,i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true,i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ba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说明：衡量模型拟合程度，取值[0,1]，越接近1拟合效果越好（代码中r2）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皮尔逊相关系数（Pearson Correlation）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f>
            <m:fPr>
              <m:type m:val="bar"/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Cov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pred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true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pred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true</m:t>
                      </m:r>
                    </m:sub>
                  </m:sSub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说明：衡量预测值与真实值的线性相关程度，取值[-1,1]（代码中pearson_corr）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对称平均绝对百分比误差（SMAPE）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SMAPE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pred,i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true,i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|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pred,i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|+|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true,i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说明：百分比误差，避免分母为0的情况，更贴合实际场景（代码中smape）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三、检测指标（边界框）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核心符号定义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A∩B：预测框与真实框的交集面积；A∪B：预测框与真实框的并集面积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TP：IoU≥阈值的预测框；FP：IoU&lt;阈值的预测框；FN：未被匹配的真实框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1. 交并比（IoU）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IoU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A∩B</m:t>
              </m:r>
            </m:num>
            <m:den>
              <m:r>
                <w:rPr>
                  <w:rFonts w:ascii="Cambria Math" w:hAnsi="Cambria Math"/>
                </w:rPr>
                <m:t>A∪B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交集面积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并集面积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说明：衡量边界框匹配程度，阈值通常取0.5（代码中BoundingBoxMetrics.iou()）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 检测精确率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Detection-Precision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说明：预测的边界框中，正确匹配的比例（代码中compute_metrics()的precision）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 检测召回率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Detection-Recall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说明：真实的边界框中，被正确检测到的比例（代码中compute_metrics()的recall）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检测F1分数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Detection-F1</m:t>
          </m:r>
          <m:r>
            <w:rPr>
              <w:rFonts w:ascii="Cambria Math" w:hAnsi="Cambria Math"/>
            </w:rPr>
            <m:t>=2×</m:t>
          </m:r>
          <m:f>
            <m:fPr>
              <m:type m:val="bar"/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Detection-Precision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w:rPr>
                  <w:rFonts w:ascii="Cambria Math" w:hAnsi="Cambria Math"/>
                </w:rPr>
                <m:t>Detection-Recall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Detection-Precision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Detection-Recall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说明：综合检测精确率与召回率（代码中compute_metrics()的f1）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四、AUC指标（多类别）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核心符号定义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AUCᵢ：第i类的AUC值；C：类别数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1. 单类AUC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通过ROC曲线计算：AUC = ROC曲线下的面积（代码中ROC_AUC_Calculator.compute_metrics()的auc_scores）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 宏平均AUC（Macro-AUC）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Macro-AUC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/>
          </m:nary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AUC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说明：所有类别AUC值的算术平均值（代码中roc_auc的macro_auc）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 微平均AUC（Micro-AUC）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将多类别标签二值化后，计算整体ROC曲线下面积（代码中roc_auc的micro_auc）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2026-04-08T06:17:33Z</dcterms:created>
  <dc:creator>Apache POI</dc:creator>
</cp:coreProperties>
</file>