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Arial" w:hAnsi="Arial" w:cs="Arial"/>
          <w:b/>
          <w:sz w:val="24"/>
          <w:szCs w:val="24"/>
        </w:rPr>
      </w:pPr>
      <w:bookmarkStart w:id="0" w:name="_Hlk111042767"/>
      <w:bookmarkStart w:id="1" w:name="_Hlk90735319"/>
      <w:r>
        <w:rPr>
          <w:rFonts w:ascii="Arial" w:hAnsi="Arial" w:cs="Arial"/>
          <w:b/>
          <w:sz w:val="24"/>
          <w:szCs w:val="24"/>
        </w:rPr>
        <w:t>Supporting Information for</w:t>
      </w:r>
    </w:p>
    <w:p>
      <w:pPr>
        <w:widowControl/>
        <w:adjustRightInd w:val="0"/>
        <w:snapToGrid w:val="0"/>
        <w:spacing w:before="156" w:beforeLines="50" w:after="156" w:afterLines="50" w:line="360" w:lineRule="auto"/>
        <w:rPr>
          <w:rFonts w:ascii="Arial" w:hAnsi="Arial" w:cs="Arial"/>
          <w:b/>
          <w:sz w:val="28"/>
          <w:szCs w:val="28"/>
        </w:rPr>
      </w:pPr>
      <w:r>
        <w:rPr>
          <w:rFonts w:ascii="Arial" w:hAnsi="Arial" w:cs="Arial"/>
          <w:b/>
          <w:sz w:val="28"/>
          <w:szCs w:val="28"/>
        </w:rPr>
        <w:t>Virus-pathogen interactions make water-quality safer in the world’s largest water diversion canal</w:t>
      </w:r>
    </w:p>
    <w:p>
      <w:pPr>
        <w:widowControl/>
        <w:adjustRightInd w:val="0"/>
        <w:snapToGrid w:val="0"/>
        <w:spacing w:before="312" w:beforeLines="100" w:after="156" w:afterLines="50" w:line="360" w:lineRule="auto"/>
        <w:rPr>
          <w:rFonts w:ascii="Arial" w:hAnsi="Arial" w:eastAsia="宋体" w:cs="Arial"/>
          <w:kern w:val="0"/>
          <w:sz w:val="24"/>
          <w:szCs w:val="24"/>
        </w:rPr>
      </w:pPr>
      <w:r>
        <w:rPr>
          <w:rFonts w:ascii="Arial" w:hAnsi="Arial" w:eastAsia="宋体" w:cs="Arial"/>
          <w:kern w:val="0"/>
          <w:sz w:val="24"/>
          <w:szCs w:val="24"/>
        </w:rPr>
        <w:t>Tianyi Chen, Tang Liu, Zongzhi Wu, Bingxue Wang, Qian Chen, Mi Zhang, Enhang Liang, Jinren Ni</w:t>
      </w:r>
      <w:r>
        <w:rPr>
          <w:rFonts w:ascii="Arial" w:hAnsi="Arial" w:eastAsia="宋体" w:cs="Arial"/>
          <w:kern w:val="0"/>
          <w:sz w:val="24"/>
          <w:szCs w:val="24"/>
          <w:vertAlign w:val="superscript"/>
        </w:rPr>
        <w:t>*</w:t>
      </w:r>
    </w:p>
    <w:bookmarkEnd w:id="0"/>
    <w:p>
      <w:pPr>
        <w:spacing w:before="156" w:beforeLines="50" w:after="156" w:afterLines="50" w:line="360" w:lineRule="auto"/>
        <w:rPr>
          <w:rFonts w:ascii="Arial" w:hAnsi="Arial" w:eastAsia="楷体_GB2312" w:cs="Arial"/>
          <w:sz w:val="24"/>
          <w:szCs w:val="24"/>
        </w:rPr>
      </w:pPr>
      <w:r>
        <w:rPr>
          <w:rFonts w:ascii="Arial" w:hAnsi="Arial" w:eastAsia="楷体_GB2312" w:cs="Arial"/>
          <w:sz w:val="24"/>
          <w:szCs w:val="24"/>
        </w:rPr>
        <w:t>*Jinren Ni, College of Environmental Sciences and Engineering, Peking University, Beijing 100871, P. R.</w:t>
      </w:r>
      <w:r>
        <w:rPr>
          <w:rFonts w:ascii="Arial" w:hAnsi="Arial" w:eastAsia="楷体_GB2312" w:cs="Arial"/>
          <w:i/>
          <w:sz w:val="24"/>
          <w:szCs w:val="24"/>
        </w:rPr>
        <w:t xml:space="preserve"> </w:t>
      </w:r>
      <w:r>
        <w:rPr>
          <w:rFonts w:ascii="Arial" w:hAnsi="Arial" w:eastAsia="楷体_GB2312" w:cs="Arial"/>
          <w:sz w:val="24"/>
          <w:szCs w:val="24"/>
        </w:rPr>
        <w:t xml:space="preserve">China </w:t>
      </w:r>
    </w:p>
    <w:p>
      <w:pPr>
        <w:spacing w:before="50" w:after="156" w:afterLines="50" w:line="360" w:lineRule="auto"/>
        <w:rPr>
          <w:rFonts w:ascii="Arial" w:hAnsi="Arial" w:eastAsia="楷体_GB2312" w:cs="Arial"/>
          <w:sz w:val="24"/>
          <w:szCs w:val="24"/>
        </w:rPr>
      </w:pPr>
      <w:r>
        <w:rPr>
          <w:rFonts w:ascii="Arial" w:hAnsi="Arial" w:eastAsia="楷体_GB2312" w:cs="Arial"/>
          <w:b/>
          <w:bCs/>
          <w:sz w:val="24"/>
          <w:szCs w:val="24"/>
        </w:rPr>
        <w:t>E-mail:</w:t>
      </w:r>
      <w:r>
        <w:rPr>
          <w:rFonts w:ascii="Arial" w:hAnsi="Arial" w:eastAsia="楷体_GB2312" w:cs="Arial"/>
          <w:sz w:val="24"/>
          <w:szCs w:val="24"/>
        </w:rPr>
        <w:t xml:space="preserve"> </w:t>
      </w:r>
      <w:r>
        <w:rPr>
          <w:rFonts w:ascii="Arial" w:hAnsi="Arial" w:eastAsia="楷体_GB2312" w:cs="Arial"/>
          <w:color w:val="0563C1"/>
          <w:sz w:val="24"/>
          <w:szCs w:val="24"/>
          <w:u w:val="single"/>
        </w:rPr>
        <w:t>jinrenni@pku.edu.cn</w:t>
      </w:r>
      <w:r>
        <w:rPr>
          <w:rFonts w:ascii="Arial" w:hAnsi="Arial" w:eastAsia="楷体_GB2312" w:cs="Arial"/>
          <w:sz w:val="24"/>
          <w:szCs w:val="24"/>
        </w:rPr>
        <w:t xml:space="preserve"> (J.R. Ni)</w:t>
      </w:r>
      <w:bookmarkEnd w:id="1"/>
    </w:p>
    <w:p>
      <w:pPr>
        <w:spacing w:line="360" w:lineRule="auto"/>
        <w:rPr>
          <w:rFonts w:ascii="Arial" w:hAnsi="Arial" w:eastAsia="楷体_GB2312" w:cs="Arial"/>
          <w:sz w:val="24"/>
          <w:szCs w:val="24"/>
        </w:rPr>
      </w:pPr>
    </w:p>
    <w:p>
      <w:pPr>
        <w:pStyle w:val="25"/>
      </w:pPr>
      <w:r>
        <w:t>Supplementa</w:t>
      </w:r>
      <w:r>
        <w:rPr>
          <w:rFonts w:hint="eastAsia"/>
        </w:rPr>
        <w:t>l</w:t>
      </w:r>
      <w:r>
        <w:t xml:space="preserve"> Methods</w:t>
      </w:r>
    </w:p>
    <w:p>
      <w:pPr>
        <w:pStyle w:val="3"/>
        <w:spacing w:line="360" w:lineRule="auto"/>
        <w:contextualSpacing/>
        <w:rPr>
          <w:rFonts w:ascii="Arial" w:hAnsi="Arial" w:cs="Arial"/>
          <w:b w:val="0"/>
          <w:bCs w:val="0"/>
          <w:i/>
          <w:iCs/>
        </w:rPr>
      </w:pPr>
      <w:r>
        <w:rPr>
          <w:rFonts w:ascii="Arial" w:hAnsi="Arial" w:cs="Arial"/>
          <w:b w:val="0"/>
          <w:bCs w:val="0"/>
          <w:i/>
          <w:iCs/>
        </w:rPr>
        <w:t>Comparisons of viral sequences in the MR-SNWDC and other freshwater ecosystems</w:t>
      </w:r>
    </w:p>
    <w:p>
      <w:pPr>
        <w:pStyle w:val="3"/>
        <w:spacing w:line="360" w:lineRule="auto"/>
        <w:contextualSpacing/>
        <w:rPr>
          <w:rFonts w:ascii="Arial" w:hAnsi="Arial" w:cs="Arial"/>
          <w:b w:val="0"/>
          <w:bCs w:val="0"/>
          <w:color w:val="000000" w:themeColor="text1"/>
          <w:kern w:val="0"/>
          <w:szCs w:val="24"/>
          <w14:textFill>
            <w14:solidFill>
              <w14:schemeClr w14:val="tx1"/>
            </w14:solidFill>
          </w14:textFill>
        </w:rPr>
      </w:pPr>
      <w:r>
        <w:rPr>
          <w:rFonts w:ascii="Arial" w:hAnsi="Arial" w:cs="Arial"/>
          <w:b w:val="0"/>
          <w:bCs w:val="0"/>
          <w:color w:val="000000" w:themeColor="text1"/>
          <w:kern w:val="0"/>
          <w:szCs w:val="24"/>
          <w14:textFill>
            <w14:solidFill>
              <w14:schemeClr w14:val="tx1"/>
            </w14:solidFill>
          </w14:textFill>
        </w:rPr>
        <w:t xml:space="preserve">Viral contigs with over 90% completeness were selected from the freshwater sources in the IMG/VR database </w:t>
      </w:r>
      <w:r>
        <w:rPr>
          <w:rFonts w:ascii="Arial" w:hAnsi="Arial" w:cs="Arial"/>
          <w:b w:val="0"/>
          <w:bCs w:val="0"/>
          <w:color w:val="000000" w:themeColor="text1"/>
          <w:kern w:val="0"/>
          <w:szCs w:val="24"/>
          <w14:textFill>
            <w14:solidFill>
              <w14:schemeClr w14:val="tx1"/>
            </w14:solidFill>
          </w14:textFill>
        </w:rPr>
        <w:fldChar w:fldCharType="begin"/>
      </w:r>
      <w:r>
        <w:rPr>
          <w:rFonts w:ascii="Arial" w:hAnsi="Arial" w:cs="Arial"/>
          <w:b w:val="0"/>
          <w:bCs w:val="0"/>
          <w:color w:val="000000" w:themeColor="text1"/>
          <w:kern w:val="0"/>
          <w:szCs w:val="24"/>
          <w14:textFill>
            <w14:solidFill>
              <w14:schemeClr w14:val="tx1"/>
            </w14:solidFill>
          </w14:textFill>
        </w:rPr>
        <w:instrText xml:space="preserve"> ADDIN EN.CITE &lt;EndNote&gt;&lt;Cite&gt;&lt;Author&gt;Roux&lt;/Author&gt;&lt;Year&gt;2020&lt;/Year&gt;&lt;RecNum&gt;53&lt;/RecNum&gt;&lt;DisplayText&gt;[1]&lt;/DisplayText&gt;&lt;record&gt;&lt;rec-number&gt;53&lt;/rec-number&gt;&lt;foreign-keys&gt;&lt;key app="EN" db-id="a2frzwzsp5rz9sea50hxrrs3frt2a0pa2wxe" timestamp="1635403286" guid="e0fdce05-9db5-4064-a4b4-34195005e072"&gt;53&lt;/key&gt;&lt;/foreign-keys&gt;&lt;ref-type name="Journal Article"&gt;17&lt;/ref-type&gt;&lt;contributors&gt;&lt;authors&gt;&lt;author&gt;Roux, Simon&lt;/author&gt;&lt;author&gt;Páez-Espino, David&lt;/author&gt;&lt;author&gt;Chen, I-Min A.&lt;/author&gt;&lt;author&gt;Palaniappan, Krishna&lt;/author&gt;&lt;author&gt;Ratner, Anna&lt;/author&gt;&lt;author&gt;Chu, Ken&lt;/author&gt;&lt;author&gt;Reddy, T. B. K.&lt;/author&gt;&lt;author&gt;Nayfach, Stephen&lt;/author&gt;&lt;author&gt;Schulz, Frederik&lt;/author&gt;&lt;author&gt;Call, Lee&lt;/author&gt;&lt;author&gt;Neches, Russell Y.&lt;/author&gt;&lt;author&gt;Woyke, Tanja&lt;/author&gt;&lt;author&gt;Ivanova, Natalia N.&lt;/author&gt;&lt;author&gt;Eloe-Fadrosh, Emiley A.&lt;/author&gt;&lt;author&gt;Kyrpides, Nikos C.&lt;/author&gt;&lt;/authors&gt;&lt;/contributors&gt;&lt;titles&gt;&lt;title&gt;IMG/VR v3: an integrated ecological and evolutionary framework for interrogating genomes of uncultivated viruses&lt;/title&gt;&lt;secondary-title&gt;Nucleic Acids Research&lt;/secondary-title&gt;&lt;/titles&gt;&lt;periodical&gt;&lt;full-title&gt;Nucleic Acids Research&lt;/full-title&gt;&lt;abbr-1&gt;Nucleic Acids Res.&lt;/abbr-1&gt;&lt;abbr-2&gt;Nucleic Acids Res&lt;/abbr-2&gt;&lt;/periodical&gt;&lt;pages&gt;D764-D775&lt;/pages&gt;&lt;volume&gt;49&lt;/volume&gt;&lt;number&gt;D1&lt;/number&gt;&lt;dates&gt;&lt;year&gt;2020&lt;/year&gt;&lt;/dates&gt;&lt;isbn&gt;0305-1048&lt;/isbn&gt;&lt;urls&gt;&lt;/urls&gt;&lt;electronic-resource-num&gt;10.1093/nar/gkaa946 %J Nucleic Acids Research&lt;/electronic-resource-num&gt;&lt;access-date&gt;10/28/2021&lt;/access-date&gt;&lt;/record&gt;&lt;/Cite&gt;&lt;/EndNote&gt;</w:instrText>
      </w:r>
      <w:r>
        <w:rPr>
          <w:rFonts w:ascii="Arial" w:hAnsi="Arial" w:cs="Arial"/>
          <w:b w:val="0"/>
          <w:bCs w:val="0"/>
          <w:color w:val="000000" w:themeColor="text1"/>
          <w:kern w:val="0"/>
          <w:szCs w:val="24"/>
          <w14:textFill>
            <w14:solidFill>
              <w14:schemeClr w14:val="tx1"/>
            </w14:solidFill>
          </w14:textFill>
        </w:rPr>
        <w:fldChar w:fldCharType="separate"/>
      </w:r>
      <w:r>
        <w:rPr>
          <w:rFonts w:ascii="Arial" w:hAnsi="Arial" w:cs="Arial"/>
          <w:b w:val="0"/>
          <w:bCs w:val="0"/>
          <w:color w:val="000000" w:themeColor="text1"/>
          <w:kern w:val="0"/>
          <w:szCs w:val="24"/>
          <w14:textFill>
            <w14:solidFill>
              <w14:schemeClr w14:val="tx1"/>
            </w14:solidFill>
          </w14:textFill>
        </w:rPr>
        <w:t>[1]</w:t>
      </w:r>
      <w:r>
        <w:rPr>
          <w:rFonts w:ascii="Arial" w:hAnsi="Arial" w:cs="Arial"/>
          <w:b w:val="0"/>
          <w:bCs w:val="0"/>
          <w:color w:val="000000" w:themeColor="text1"/>
          <w:kern w:val="0"/>
          <w:szCs w:val="24"/>
          <w14:textFill>
            <w14:solidFill>
              <w14:schemeClr w14:val="tx1"/>
            </w14:solidFill>
          </w14:textFill>
        </w:rPr>
        <w:fldChar w:fldCharType="end"/>
      </w:r>
      <w:r>
        <w:rPr>
          <w:rFonts w:ascii="Arial" w:hAnsi="Arial" w:cs="Arial"/>
          <w:b w:val="0"/>
          <w:bCs w:val="0"/>
          <w:color w:val="000000" w:themeColor="text1"/>
          <w:kern w:val="0"/>
          <w:szCs w:val="24"/>
          <w14:textFill>
            <w14:solidFill>
              <w14:schemeClr w14:val="tx1"/>
            </w14:solidFill>
          </w14:textFill>
        </w:rPr>
        <w:t>, for subsequent viral clustering analysis with vOTUs in the MR-SNWDC. Each reported viral sequence was assigned to a specific ecosystem subtype (</w:t>
      </w:r>
      <w:r>
        <w:rPr>
          <w:rFonts w:ascii="Arial" w:hAnsi="Arial" w:cs="Arial"/>
          <w:b w:val="0"/>
          <w:bCs w:val="0"/>
          <w:szCs w:val="28"/>
        </w:rPr>
        <w:t>lake, lentic, groundwater, sediment, wetlands, river, ice, creek, lotic, pond, or drinking water</w:t>
      </w:r>
      <w:r>
        <w:rPr>
          <w:rFonts w:ascii="Arial" w:hAnsi="Arial" w:cs="Arial"/>
          <w:b w:val="0"/>
          <w:bCs w:val="0"/>
          <w:color w:val="000000" w:themeColor="text1"/>
          <w:kern w:val="0"/>
          <w:szCs w:val="24"/>
          <w14:textFill>
            <w14:solidFill>
              <w14:schemeClr w14:val="tx1"/>
            </w14:solidFill>
          </w14:textFill>
        </w:rPr>
        <w:t xml:space="preserve">). The protein sequences retrieved from Prodigal v2.6.3 </w:t>
      </w:r>
      <w:r>
        <w:rPr>
          <w:rFonts w:ascii="Arial" w:hAnsi="Arial" w:cs="Arial"/>
          <w:b w:val="0"/>
          <w:bCs w:val="0"/>
          <w:color w:val="000000" w:themeColor="text1"/>
          <w:kern w:val="0"/>
          <w:szCs w:val="24"/>
          <w14:textFill>
            <w14:solidFill>
              <w14:schemeClr w14:val="tx1"/>
            </w14:solidFill>
          </w14:textFill>
        </w:rPr>
        <w:fldChar w:fldCharType="begin"/>
      </w:r>
      <w:r>
        <w:rPr>
          <w:rFonts w:ascii="Arial" w:hAnsi="Arial" w:cs="Arial"/>
          <w:b w:val="0"/>
          <w:bCs w:val="0"/>
          <w:color w:val="000000" w:themeColor="text1"/>
          <w:kern w:val="0"/>
          <w:szCs w:val="24"/>
          <w14:textFill>
            <w14:solidFill>
              <w14:schemeClr w14:val="tx1"/>
            </w14:solidFill>
          </w14:textFill>
        </w:rPr>
        <w:instrText xml:space="preserve"> ADDIN EN.CITE &lt;EndNote&gt;&lt;Cite&gt;&lt;Author&gt;Hyatt&lt;/Author&gt;&lt;Year&gt;2010&lt;/Year&gt;&lt;RecNum&gt;27&lt;/RecNum&gt;&lt;DisplayText&gt;[2]&lt;/DisplayText&gt;&lt;record&gt;&lt;rec-number&gt;27&lt;/rec-number&gt;&lt;foreign-keys&gt;&lt;key app="EN" db-id="a2frzwzsp5rz9sea50hxrrs3frt2a0pa2wxe" timestamp="1635386853" guid="a5470acc-ec77-40c8-92a8-41b6cd216b81"&gt;27&lt;/key&gt;&lt;/foreign-keys&gt;&lt;ref-type name="Journal Article"&gt;17&lt;/ref-type&gt;&lt;contributors&gt;&lt;authors&gt;&lt;author&gt;Hyatt, Doug&lt;/author&gt;&lt;author&gt;Chen, Gwo Liang&lt;/author&gt;&lt;author&gt;LoCascio, Philip F.&lt;/author&gt;&lt;author&gt;Land, Miriam L.&lt;/author&gt;&lt;author&gt;Larimer, Frank W.&lt;/author&gt;&lt;author&gt;Hauser, Loren J.&lt;/author&gt;&lt;/authors&gt;&lt;/contributors&gt;&lt;titles&gt;&lt;title&gt;Prodigal: prokaryotic gene recognition and translation initiation site identification&lt;/title&gt;&lt;secondary-title&gt;BMC Bioinformatics&lt;/secondary-title&gt;&lt;/titles&gt;&lt;periodical&gt;&lt;full-title&gt;BMC Bioinformatics&lt;/full-title&gt;&lt;abbr-1&gt;BMC Bioinformatics&lt;/abbr-1&gt;&lt;abbr-2&gt;BMC Bioinformatics&lt;/abbr-2&gt;&lt;/periodical&gt;&lt;pages&gt;119&lt;/pages&gt;&lt;volume&gt;11&lt;/volume&gt;&lt;number&gt;1&lt;/number&gt;&lt;dates&gt;&lt;year&gt;2010&lt;/year&gt;&lt;pub-dates&gt;&lt;date&gt;2010/03/08&lt;/date&gt;&lt;/pub-dates&gt;&lt;/dates&gt;&lt;isbn&gt;1471-2105&lt;/isbn&gt;&lt;urls&gt;&lt;/urls&gt;&lt;electronic-resource-num&gt;10.1186/1471-2105-11-119&lt;/electronic-resource-num&gt;&lt;/record&gt;&lt;/Cite&gt;&lt;/EndNote&gt;</w:instrText>
      </w:r>
      <w:r>
        <w:rPr>
          <w:rFonts w:ascii="Arial" w:hAnsi="Arial" w:cs="Arial"/>
          <w:b w:val="0"/>
          <w:bCs w:val="0"/>
          <w:color w:val="000000" w:themeColor="text1"/>
          <w:kern w:val="0"/>
          <w:szCs w:val="24"/>
          <w14:textFill>
            <w14:solidFill>
              <w14:schemeClr w14:val="tx1"/>
            </w14:solidFill>
          </w14:textFill>
        </w:rPr>
        <w:fldChar w:fldCharType="separate"/>
      </w:r>
      <w:r>
        <w:rPr>
          <w:rFonts w:ascii="Arial" w:hAnsi="Arial" w:cs="Arial"/>
          <w:b w:val="0"/>
          <w:bCs w:val="0"/>
          <w:color w:val="000000" w:themeColor="text1"/>
          <w:kern w:val="0"/>
          <w:szCs w:val="24"/>
          <w14:textFill>
            <w14:solidFill>
              <w14:schemeClr w14:val="tx1"/>
            </w14:solidFill>
          </w14:textFill>
        </w:rPr>
        <w:t>[2]</w:t>
      </w:r>
      <w:r>
        <w:rPr>
          <w:rFonts w:ascii="Arial" w:hAnsi="Arial" w:cs="Arial"/>
          <w:b w:val="0"/>
          <w:bCs w:val="0"/>
          <w:color w:val="000000" w:themeColor="text1"/>
          <w:kern w:val="0"/>
          <w:szCs w:val="24"/>
          <w14:textFill>
            <w14:solidFill>
              <w14:schemeClr w14:val="tx1"/>
            </w14:solidFill>
          </w14:textFill>
        </w:rPr>
        <w:fldChar w:fldCharType="end"/>
      </w:r>
      <w:r>
        <w:rPr>
          <w:rFonts w:ascii="Arial" w:hAnsi="Arial" w:cs="Arial"/>
          <w:b w:val="0"/>
          <w:bCs w:val="0"/>
          <w:color w:val="000000" w:themeColor="text1"/>
          <w:kern w:val="0"/>
          <w:szCs w:val="24"/>
          <w14:textFill>
            <w14:solidFill>
              <w14:schemeClr w14:val="tx1"/>
            </w14:solidFill>
          </w14:textFill>
        </w:rPr>
        <w:t xml:space="preserve"> were used for gene-sharing network analysis through vConTACT2 v0.9.19 </w:t>
      </w:r>
      <w:r>
        <w:rPr>
          <w:rFonts w:ascii="Arial" w:hAnsi="Arial" w:cs="Arial"/>
          <w:b w:val="0"/>
          <w:bCs w:val="0"/>
          <w:color w:val="000000" w:themeColor="text1"/>
          <w:kern w:val="0"/>
          <w:szCs w:val="24"/>
          <w14:textFill>
            <w14:solidFill>
              <w14:schemeClr w14:val="tx1"/>
            </w14:solidFill>
          </w14:textFill>
        </w:rPr>
        <w:fldChar w:fldCharType="begin"/>
      </w:r>
      <w:r>
        <w:rPr>
          <w:rFonts w:ascii="Arial" w:hAnsi="Arial" w:cs="Arial"/>
          <w:b w:val="0"/>
          <w:bCs w:val="0"/>
          <w:color w:val="000000" w:themeColor="text1"/>
          <w:kern w:val="0"/>
          <w:szCs w:val="24"/>
          <w14:textFill>
            <w14:solidFill>
              <w14:schemeClr w14:val="tx1"/>
            </w14:solidFill>
          </w14:textFill>
        </w:rPr>
        <w:instrText xml:space="preserve"> ADDIN EN.CITE &lt;EndNote&gt;&lt;Cite&gt;&lt;Author&gt;Jang&lt;/Author&gt;&lt;Year&gt;2019&lt;/Year&gt;&lt;RecNum&gt;68&lt;/RecNum&gt;&lt;DisplayText&gt;[3]&lt;/DisplayText&gt;&lt;record&gt;&lt;rec-number&gt;68&lt;/rec-number&gt;&lt;foreign-keys&gt;&lt;key app="EN" db-id="a2frzwzsp5rz9sea50hxrrs3frt2a0pa2wxe" timestamp="1636033726" guid="0bfea7c0-a3df-42ef-96af-3e1282f248da"&gt;68&lt;/key&gt;&lt;/foreign-keys&gt;&lt;ref-type name="Journal Article"&gt;17&lt;/ref-type&gt;&lt;contributors&gt;&lt;authors&gt;&lt;author&gt;Jang, Ho Bin&lt;/author&gt;&lt;author&gt;Bolduc, Benjamin&lt;/author&gt;&lt;author&gt;Zablocki, Olivier&lt;/author&gt;&lt;author&gt;Kuhn, Jens H.&lt;/author&gt;&lt;author&gt;Roux, Simon&lt;/author&gt;&lt;author&gt;Adriaenssens, Evelien M.&lt;/author&gt;&lt;author&gt;Brister, J. Rodney&lt;/author&gt;&lt;author&gt;Kropinski, Andrew M.&lt;/author&gt;&lt;author&gt;Krupovic, Mart&lt;/author&gt;&lt;author&gt;Lavigne, Rob&lt;/author&gt;&lt;author&gt;Turner, Dann&lt;/author&gt;&lt;author&gt;Sullivan, Matthew B.&lt;/author&gt;&lt;/authors&gt;&lt;/contributors&gt;&lt;titles&gt;&lt;title&gt;Taxonomic assignment of uncultivated prokaryotic virus genomes is enabled by gene-sharing networks&lt;/title&gt;&lt;secondary-title&gt;Nature Biotechnology&lt;/secondary-title&gt;&lt;/titles&gt;&lt;periodical&gt;&lt;full-title&gt;Nature Biotechnology&lt;/full-title&gt;&lt;abbr-1&gt;Nat. Biotechnol.&lt;/abbr-1&gt;&lt;abbr-2&gt;Nat Biotechnol&lt;/abbr-2&gt;&lt;/periodical&gt;&lt;pages&gt;632-639&lt;/pages&gt;&lt;volume&gt;37&lt;/volume&gt;&lt;number&gt;6&lt;/number&gt;&lt;dates&gt;&lt;year&gt;2019&lt;/year&gt;&lt;pub-dates&gt;&lt;date&gt;2019/06/01&lt;/date&gt;&lt;/pub-dates&gt;&lt;/dates&gt;&lt;isbn&gt;1546-1696&lt;/isbn&gt;&lt;urls&gt;&lt;/urls&gt;&lt;electronic-resource-num&gt;10.1038/s41587-019-0100-8&lt;/electronic-resource-num&gt;&lt;/record&gt;&lt;/Cite&gt;&lt;/EndNote&gt;</w:instrText>
      </w:r>
      <w:r>
        <w:rPr>
          <w:rFonts w:ascii="Arial" w:hAnsi="Arial" w:cs="Arial"/>
          <w:b w:val="0"/>
          <w:bCs w:val="0"/>
          <w:color w:val="000000" w:themeColor="text1"/>
          <w:kern w:val="0"/>
          <w:szCs w:val="24"/>
          <w14:textFill>
            <w14:solidFill>
              <w14:schemeClr w14:val="tx1"/>
            </w14:solidFill>
          </w14:textFill>
        </w:rPr>
        <w:fldChar w:fldCharType="separate"/>
      </w:r>
      <w:r>
        <w:rPr>
          <w:rFonts w:ascii="Arial" w:hAnsi="Arial" w:cs="Arial"/>
          <w:b w:val="0"/>
          <w:bCs w:val="0"/>
          <w:color w:val="000000" w:themeColor="text1"/>
          <w:kern w:val="0"/>
          <w:szCs w:val="24"/>
          <w14:textFill>
            <w14:solidFill>
              <w14:schemeClr w14:val="tx1"/>
            </w14:solidFill>
          </w14:textFill>
        </w:rPr>
        <w:t>[3]</w:t>
      </w:r>
      <w:r>
        <w:rPr>
          <w:rFonts w:ascii="Arial" w:hAnsi="Arial" w:cs="Arial"/>
          <w:b w:val="0"/>
          <w:bCs w:val="0"/>
          <w:color w:val="000000" w:themeColor="text1"/>
          <w:kern w:val="0"/>
          <w:szCs w:val="24"/>
          <w14:textFill>
            <w14:solidFill>
              <w14:schemeClr w14:val="tx1"/>
            </w14:solidFill>
          </w14:textFill>
        </w:rPr>
        <w:fldChar w:fldCharType="end"/>
      </w:r>
      <w:r>
        <w:rPr>
          <w:rFonts w:ascii="Arial" w:hAnsi="Arial" w:cs="Arial"/>
          <w:b w:val="0"/>
          <w:bCs w:val="0"/>
          <w:color w:val="000000" w:themeColor="text1"/>
          <w:kern w:val="0"/>
          <w:szCs w:val="24"/>
          <w14:textFill>
            <w14:solidFill>
              <w14:schemeClr w14:val="tx1"/>
            </w14:solidFill>
          </w14:textFill>
        </w:rPr>
        <w:t xml:space="preserve">. Diamond </w:t>
      </w:r>
      <w:r>
        <w:rPr>
          <w:rFonts w:ascii="Arial" w:hAnsi="Arial" w:cs="Arial"/>
          <w:b w:val="0"/>
          <w:bCs w:val="0"/>
          <w:color w:val="000000" w:themeColor="text1"/>
          <w:kern w:val="0"/>
          <w:szCs w:val="24"/>
          <w14:textFill>
            <w14:solidFill>
              <w14:schemeClr w14:val="tx1"/>
            </w14:solidFill>
          </w14:textFill>
        </w:rPr>
        <w:fldChar w:fldCharType="begin"/>
      </w:r>
      <w:r>
        <w:rPr>
          <w:rFonts w:ascii="Arial" w:hAnsi="Arial" w:cs="Arial"/>
          <w:b w:val="0"/>
          <w:bCs w:val="0"/>
          <w:color w:val="000000" w:themeColor="text1"/>
          <w:kern w:val="0"/>
          <w:szCs w:val="24"/>
          <w14:textFill>
            <w14:solidFill>
              <w14:schemeClr w14:val="tx1"/>
            </w14:solidFill>
          </w14:textFill>
        </w:rPr>
        <w:instrText xml:space="preserve"> ADDIN EN.CITE &lt;EndNote&gt;&lt;Cite&gt;&lt;Author&gt;Buchfink&lt;/Author&gt;&lt;Year&gt;2015&lt;/Year&gt;&lt;RecNum&gt;28&lt;/RecNum&gt;&lt;DisplayText&gt;[4]&lt;/DisplayText&gt;&lt;record&gt;&lt;rec-number&gt;28&lt;/rec-number&gt;&lt;foreign-keys&gt;&lt;key app="EN" db-id="a2frzwzsp5rz9sea50hxrrs3frt2a0pa2wxe" timestamp="1635387079" guid="efc558ff-90aa-4329-a857-9752593bdda7"&gt;28&lt;/key&gt;&lt;/foreign-keys&gt;&lt;ref-type name="Journal Article"&gt;17&lt;/ref-type&gt;&lt;contributors&gt;&lt;authors&gt;&lt;author&gt;Buchfink, Benjamin&lt;/author&gt;&lt;author&gt;Xie, Chao&lt;/author&gt;&lt;author&gt;Huson, Daniel H.&lt;/author&gt;&lt;/authors&gt;&lt;/contributors&gt;&lt;titles&gt;&lt;title&gt;Fast and sensitive protein alignment using DIAMOND&lt;/title&gt;&lt;secondary-title&gt;Nature Methods&lt;/secondary-title&gt;&lt;/titles&gt;&lt;periodical&gt;&lt;full-title&gt;Nature Methods&lt;/full-title&gt;&lt;abbr-1&gt;Nat. Methods&lt;/abbr-1&gt;&lt;abbr-2&gt;Nat Methods&lt;/abbr-2&gt;&lt;/periodical&gt;&lt;pages&gt;59-60&lt;/pages&gt;&lt;volume&gt;12&lt;/volume&gt;&lt;number&gt;1&lt;/number&gt;&lt;dates&gt;&lt;year&gt;2015&lt;/year&gt;&lt;pub-dates&gt;&lt;date&gt;2015/01/01&lt;/date&gt;&lt;/pub-dates&gt;&lt;/dates&gt;&lt;isbn&gt;1548-7105&lt;/isbn&gt;&lt;urls&gt;&lt;/urls&gt;&lt;electronic-resource-num&gt;10.1038/nmeth.3176&lt;/electronic-resource-num&gt;&lt;/record&gt;&lt;/Cite&gt;&lt;/EndNote&gt;</w:instrText>
      </w:r>
      <w:r>
        <w:rPr>
          <w:rFonts w:ascii="Arial" w:hAnsi="Arial" w:cs="Arial"/>
          <w:b w:val="0"/>
          <w:bCs w:val="0"/>
          <w:color w:val="000000" w:themeColor="text1"/>
          <w:kern w:val="0"/>
          <w:szCs w:val="24"/>
          <w14:textFill>
            <w14:solidFill>
              <w14:schemeClr w14:val="tx1"/>
            </w14:solidFill>
          </w14:textFill>
        </w:rPr>
        <w:fldChar w:fldCharType="separate"/>
      </w:r>
      <w:r>
        <w:rPr>
          <w:rFonts w:ascii="Arial" w:hAnsi="Arial" w:cs="Arial"/>
          <w:b w:val="0"/>
          <w:bCs w:val="0"/>
          <w:color w:val="000000" w:themeColor="text1"/>
          <w:kern w:val="0"/>
          <w:szCs w:val="24"/>
          <w14:textFill>
            <w14:solidFill>
              <w14:schemeClr w14:val="tx1"/>
            </w14:solidFill>
          </w14:textFill>
        </w:rPr>
        <w:t>[4]</w:t>
      </w:r>
      <w:r>
        <w:rPr>
          <w:rFonts w:ascii="Arial" w:hAnsi="Arial" w:cs="Arial"/>
          <w:b w:val="0"/>
          <w:bCs w:val="0"/>
          <w:color w:val="000000" w:themeColor="text1"/>
          <w:kern w:val="0"/>
          <w:szCs w:val="24"/>
          <w14:textFill>
            <w14:solidFill>
              <w14:schemeClr w14:val="tx1"/>
            </w14:solidFill>
          </w14:textFill>
        </w:rPr>
        <w:fldChar w:fldCharType="end"/>
      </w:r>
      <w:r>
        <w:rPr>
          <w:rFonts w:ascii="Arial" w:hAnsi="Arial" w:cs="Arial"/>
          <w:b w:val="0"/>
          <w:bCs w:val="0"/>
          <w:color w:val="000000" w:themeColor="text1"/>
          <w:kern w:val="0"/>
          <w:szCs w:val="24"/>
          <w14:textFill>
            <w14:solidFill>
              <w14:schemeClr w14:val="tx1"/>
            </w14:solidFill>
          </w14:textFill>
        </w:rPr>
        <w:t xml:space="preserve"> was applied to estimate the protein-protein similarity. Protein clusters were calculated by the Markov Cluster Algorithm (MCL), with the subsequent VC generation using ClusterONE </w:t>
      </w:r>
      <w:r>
        <w:rPr>
          <w:rFonts w:ascii="Arial" w:hAnsi="Arial" w:cs="Arial"/>
          <w:b w:val="0"/>
          <w:bCs w:val="0"/>
          <w:color w:val="000000" w:themeColor="text1"/>
          <w:kern w:val="0"/>
          <w:szCs w:val="24"/>
          <w14:textFill>
            <w14:solidFill>
              <w14:schemeClr w14:val="tx1"/>
            </w14:solidFill>
          </w14:textFill>
        </w:rPr>
        <w:fldChar w:fldCharType="begin"/>
      </w:r>
      <w:r>
        <w:rPr>
          <w:rFonts w:ascii="Arial" w:hAnsi="Arial" w:cs="Arial"/>
          <w:b w:val="0"/>
          <w:bCs w:val="0"/>
          <w:color w:val="000000" w:themeColor="text1"/>
          <w:kern w:val="0"/>
          <w:szCs w:val="24"/>
          <w14:textFill>
            <w14:solidFill>
              <w14:schemeClr w14:val="tx1"/>
            </w14:solidFill>
          </w14:textFill>
        </w:rPr>
        <w:instrText xml:space="preserve"> ADDIN EN.CITE &lt;EndNote&gt;&lt;Cite&gt;&lt;Author&gt;Nepusz&lt;/Author&gt;&lt;Year&gt;2012&lt;/Year&gt;&lt;RecNum&gt;69&lt;/RecNum&gt;&lt;DisplayText&gt;[5]&lt;/DisplayText&gt;&lt;record&gt;&lt;rec-number&gt;69&lt;/rec-number&gt;&lt;foreign-keys&gt;&lt;key app="EN" db-id="a2frzwzsp5rz9sea50hxrrs3frt2a0pa2wxe" timestamp="1636034277" guid="37149eb2-f3f4-49a6-89e4-55d6a8b9993a"&gt;69&lt;/key&gt;&lt;/foreign-keys&gt;&lt;ref-type name="Journal Article"&gt;17&lt;/ref-type&gt;&lt;contributors&gt;&lt;authors&gt;&lt;author&gt;Nepusz, Tamás&lt;/author&gt;&lt;author&gt;Yu, Hai Yuan&lt;/author&gt;&lt;author&gt;Paccanaro, Alberto&lt;/author&gt;&lt;/authors&gt;&lt;/contributors&gt;&lt;titles&gt;&lt;title&gt;Detecting overlapping protein complexes in protein-protein interaction networks&lt;/title&gt;&lt;secondary-title&gt;Nature Methods&lt;/secondary-title&gt;&lt;/titles&gt;&lt;periodical&gt;&lt;full-title&gt;Nature Methods&lt;/full-title&gt;&lt;abbr-1&gt;Nat. Methods&lt;/abbr-1&gt;&lt;abbr-2&gt;Nat Methods&lt;/abbr-2&gt;&lt;/periodical&gt;&lt;pages&gt;471-472&lt;/pages&gt;&lt;volume&gt;9&lt;/volume&gt;&lt;number&gt;5&lt;/number&gt;&lt;dates&gt;&lt;year&gt;2012&lt;/year&gt;&lt;pub-dates&gt;&lt;date&gt;2012/05/01&lt;/date&gt;&lt;/pub-dates&gt;&lt;/dates&gt;&lt;isbn&gt;1548-7105&lt;/isbn&gt;&lt;urls&gt;&lt;/urls&gt;&lt;electronic-resource-num&gt;10.1038/nmeth.1938&lt;/electronic-resource-num&gt;&lt;/record&gt;&lt;/Cite&gt;&lt;/EndNote&gt;</w:instrText>
      </w:r>
      <w:r>
        <w:rPr>
          <w:rFonts w:ascii="Arial" w:hAnsi="Arial" w:cs="Arial"/>
          <w:b w:val="0"/>
          <w:bCs w:val="0"/>
          <w:color w:val="000000" w:themeColor="text1"/>
          <w:kern w:val="0"/>
          <w:szCs w:val="24"/>
          <w14:textFill>
            <w14:solidFill>
              <w14:schemeClr w14:val="tx1"/>
            </w14:solidFill>
          </w14:textFill>
        </w:rPr>
        <w:fldChar w:fldCharType="separate"/>
      </w:r>
      <w:r>
        <w:rPr>
          <w:rFonts w:ascii="Arial" w:hAnsi="Arial" w:cs="Arial"/>
          <w:b w:val="0"/>
          <w:bCs w:val="0"/>
          <w:color w:val="000000" w:themeColor="text1"/>
          <w:kern w:val="0"/>
          <w:szCs w:val="24"/>
          <w14:textFill>
            <w14:solidFill>
              <w14:schemeClr w14:val="tx1"/>
            </w14:solidFill>
          </w14:textFill>
        </w:rPr>
        <w:t>[5]</w:t>
      </w:r>
      <w:r>
        <w:rPr>
          <w:rFonts w:ascii="Arial" w:hAnsi="Arial" w:cs="Arial"/>
          <w:b w:val="0"/>
          <w:bCs w:val="0"/>
          <w:color w:val="000000" w:themeColor="text1"/>
          <w:kern w:val="0"/>
          <w:szCs w:val="24"/>
          <w14:textFill>
            <w14:solidFill>
              <w14:schemeClr w14:val="tx1"/>
            </w14:solidFill>
          </w14:textFill>
        </w:rPr>
        <w:fldChar w:fldCharType="end"/>
      </w:r>
      <w:r>
        <w:rPr>
          <w:rFonts w:ascii="Arial" w:hAnsi="Arial" w:cs="Arial"/>
          <w:b w:val="0"/>
          <w:bCs w:val="0"/>
          <w:color w:val="000000" w:themeColor="text1"/>
          <w:kern w:val="0"/>
          <w:szCs w:val="24"/>
          <w14:textFill>
            <w14:solidFill>
              <w14:schemeClr w14:val="tx1"/>
            </w14:solidFill>
          </w14:textFill>
        </w:rPr>
        <w:t>.</w:t>
      </w:r>
    </w:p>
    <w:p>
      <w:pPr>
        <w:spacing w:line="360" w:lineRule="auto"/>
        <w:contextualSpacing/>
        <w:rPr>
          <w:rFonts w:ascii="Arial" w:hAnsi="Arial" w:cs="Arial"/>
        </w:rPr>
      </w:pPr>
    </w:p>
    <w:p>
      <w:pPr>
        <w:pStyle w:val="3"/>
        <w:spacing w:line="360" w:lineRule="auto"/>
        <w:contextualSpacing/>
        <w:rPr>
          <w:rFonts w:ascii="Arial" w:hAnsi="Arial" w:cs="Arial"/>
          <w:b w:val="0"/>
          <w:bCs w:val="0"/>
          <w:color w:val="000000" w:themeColor="text1"/>
          <w:kern w:val="0"/>
          <w:szCs w:val="24"/>
          <w14:textFill>
            <w14:solidFill>
              <w14:schemeClr w14:val="tx1"/>
            </w14:solidFill>
          </w14:textFill>
        </w:rPr>
      </w:pPr>
      <w:bookmarkStart w:id="2" w:name="_Hlk113894870"/>
      <w:r>
        <w:rPr>
          <w:rFonts w:ascii="Arial" w:hAnsi="Arial" w:cs="Arial"/>
          <w:b w:val="0"/>
          <w:bCs w:val="0"/>
          <w:i/>
          <w:iCs/>
        </w:rPr>
        <w:t>Construction of virus-host infection network</w:t>
      </w:r>
      <w:bookmarkEnd w:id="2"/>
    </w:p>
    <w:p>
      <w:pPr>
        <w:pStyle w:val="3"/>
        <w:spacing w:line="360" w:lineRule="auto"/>
        <w:contextualSpacing/>
        <w:rPr>
          <w:rFonts w:ascii="Arial" w:hAnsi="Arial" w:cs="Arial"/>
          <w:b w:val="0"/>
          <w:bCs w:val="0"/>
        </w:rPr>
      </w:pPr>
      <w:r>
        <w:rPr>
          <w:rFonts w:ascii="Arial" w:hAnsi="Arial" w:cs="Arial"/>
          <w:b w:val="0"/>
          <w:bCs w:val="0"/>
          <w:color w:val="000000" w:themeColor="text1"/>
          <w:kern w:val="0"/>
          <w:szCs w:val="24"/>
          <w14:textFill>
            <w14:solidFill>
              <w14:schemeClr w14:val="tx1"/>
            </w14:solidFill>
          </w14:textFill>
        </w:rPr>
        <w:t xml:space="preserve">The strain-level virus-host linkages were characterized using the BiMat MatLab package </w:t>
      </w:r>
      <w:r>
        <w:rPr>
          <w:rFonts w:ascii="Arial" w:hAnsi="Arial" w:cs="Arial"/>
          <w:b w:val="0"/>
          <w:bCs w:val="0"/>
          <w:color w:val="000000" w:themeColor="text1"/>
          <w:kern w:val="0"/>
          <w:szCs w:val="24"/>
          <w14:textFill>
            <w14:solidFill>
              <w14:schemeClr w14:val="tx1"/>
            </w14:solidFill>
          </w14:textFill>
        </w:rPr>
        <w:fldChar w:fldCharType="begin"/>
      </w:r>
      <w:r>
        <w:rPr>
          <w:rFonts w:ascii="Arial" w:hAnsi="Arial" w:cs="Arial"/>
          <w:b w:val="0"/>
          <w:bCs w:val="0"/>
          <w:color w:val="000000" w:themeColor="text1"/>
          <w:kern w:val="0"/>
          <w:szCs w:val="24"/>
          <w14:textFill>
            <w14:solidFill>
              <w14:schemeClr w14:val="tx1"/>
            </w14:solidFill>
          </w14:textFill>
        </w:rPr>
        <w:instrText xml:space="preserve"> ADDIN EN.CITE &lt;EndNote&gt;&lt;Cite&gt;&lt;Author&gt;Flores&lt;/Author&gt;&lt;Year&gt;2016&lt;/Year&gt;&lt;RecNum&gt;281&lt;/RecNum&gt;&lt;DisplayText&gt;[6]&lt;/DisplayText&gt;&lt;record&gt;&lt;rec-number&gt;281&lt;/rec-number&gt;&lt;foreign-keys&gt;&lt;key app="EN" db-id="a2frzwzsp5rz9sea50hxrrs3frt2a0pa2wxe" timestamp="1654238529"&gt;281&lt;/key&gt;&lt;/foreign-keys&gt;&lt;ref-type name="Journal Article"&gt;17&lt;/ref-type&gt;&lt;contributors&gt;&lt;authors&gt;&lt;author&gt;Flores, Cesar O.&lt;/author&gt;&lt;author&gt;Poisot, Timothée&lt;/author&gt;&lt;author&gt;Valverde, Sergi&lt;/author&gt;&lt;author&gt;Weitz, Joshua S.&lt;/author&gt;&lt;/authors&gt;&lt;/contributors&gt;&lt;titles&gt;&lt;title&gt;BiMat: a MATLAB package to facilitate the analysis of bipartite networks&lt;/title&gt;&lt;secondary-title&gt;&lt;style face="normal" font="default" size="100%"&gt;Methods&lt;/style&gt;&lt;style face="normal" font="default" charset="134" size="100%"&gt; &lt;/style&gt;&lt;style face="normal" font="default" size="100%"&gt;in Ecology and Evolution&lt;/style&gt;&lt;/secondary-title&gt;&lt;/titles&gt;&lt;periodical&gt;&lt;full-title&gt;Methods in Ecology and Evolution&lt;/full-title&gt;&lt;abbr-1&gt;Methods Ecol. Evol.&lt;/abbr-1&gt;&lt;abbr-2&gt;Methods Ecol Evol&lt;/abbr-2&gt;&lt;/periodical&gt;&lt;pages&gt;127-132&lt;/pages&gt;&lt;volume&gt;7&lt;/volume&gt;&lt;number&gt;1&lt;/number&gt;&lt;dates&gt;&lt;year&gt;2016&lt;/year&gt;&lt;/dates&gt;&lt;isbn&gt;2041-210X&lt;/isbn&gt;&lt;urls&gt;&lt;/urls&gt;&lt;electronic-resource-num&gt;https://doi.org/10.1111/2041-210X.12458&lt;/electronic-resource-num&gt;&lt;/record&gt;&lt;/Cite&gt;&lt;/EndNote&gt;</w:instrText>
      </w:r>
      <w:r>
        <w:rPr>
          <w:rFonts w:ascii="Arial" w:hAnsi="Arial" w:cs="Arial"/>
          <w:b w:val="0"/>
          <w:bCs w:val="0"/>
          <w:color w:val="000000" w:themeColor="text1"/>
          <w:kern w:val="0"/>
          <w:szCs w:val="24"/>
          <w14:textFill>
            <w14:solidFill>
              <w14:schemeClr w14:val="tx1"/>
            </w14:solidFill>
          </w14:textFill>
        </w:rPr>
        <w:fldChar w:fldCharType="separate"/>
      </w:r>
      <w:r>
        <w:rPr>
          <w:rFonts w:ascii="Arial" w:hAnsi="Arial" w:cs="Arial"/>
          <w:b w:val="0"/>
          <w:bCs w:val="0"/>
          <w:color w:val="000000" w:themeColor="text1"/>
          <w:kern w:val="0"/>
          <w:szCs w:val="24"/>
          <w14:textFill>
            <w14:solidFill>
              <w14:schemeClr w14:val="tx1"/>
            </w14:solidFill>
          </w14:textFill>
        </w:rPr>
        <w:t>[6]</w:t>
      </w:r>
      <w:r>
        <w:rPr>
          <w:rFonts w:ascii="Arial" w:hAnsi="Arial" w:cs="Arial"/>
          <w:b w:val="0"/>
          <w:bCs w:val="0"/>
          <w:color w:val="000000" w:themeColor="text1"/>
          <w:kern w:val="0"/>
          <w:szCs w:val="24"/>
          <w14:textFill>
            <w14:solidFill>
              <w14:schemeClr w14:val="tx1"/>
            </w14:solidFill>
          </w14:textFill>
        </w:rPr>
        <w:fldChar w:fldCharType="end"/>
      </w:r>
      <w:r>
        <w:rPr>
          <w:rFonts w:ascii="Arial" w:hAnsi="Arial" w:cs="Arial"/>
          <w:b w:val="0"/>
          <w:bCs w:val="0"/>
          <w:color w:val="000000" w:themeColor="text1"/>
          <w:kern w:val="0"/>
          <w:szCs w:val="24"/>
          <w14:textFill>
            <w14:solidFill>
              <w14:schemeClr w14:val="tx1"/>
            </w14:solidFill>
          </w14:textFill>
        </w:rPr>
        <w:t xml:space="preserve">. Modularity quantification was conducted using leading eigenvector method, with a subsequent Kernighan-Lin tuning step applied to modularity adjustment </w:t>
      </w:r>
      <w:r>
        <w:rPr>
          <w:rFonts w:ascii="Arial" w:hAnsi="Arial" w:cs="Arial"/>
          <w:b w:val="0"/>
          <w:bCs w:val="0"/>
          <w:color w:val="000000" w:themeColor="text1"/>
          <w:kern w:val="0"/>
          <w:szCs w:val="24"/>
          <w14:textFill>
            <w14:solidFill>
              <w14:schemeClr w14:val="tx1"/>
            </w14:solidFill>
          </w14:textFill>
        </w:rPr>
        <w:fldChar w:fldCharType="begin"/>
      </w:r>
      <w:r>
        <w:rPr>
          <w:rFonts w:ascii="Arial" w:hAnsi="Arial" w:cs="Arial"/>
          <w:b w:val="0"/>
          <w:bCs w:val="0"/>
          <w:color w:val="000000" w:themeColor="text1"/>
          <w:kern w:val="0"/>
          <w:szCs w:val="24"/>
          <w14:textFill>
            <w14:solidFill>
              <w14:schemeClr w14:val="tx1"/>
            </w14:solidFill>
          </w14:textFill>
        </w:rPr>
        <w:instrText xml:space="preserve"> ADDIN EN.CITE &lt;EndNote&gt;&lt;Cite&gt;&lt;Author&gt;Kauffman&lt;/Author&gt;&lt;Year&gt;2022&lt;/Year&gt;&lt;RecNum&gt;282&lt;/RecNum&gt;&lt;DisplayText&gt;[7]&lt;/DisplayText&gt;&lt;record&gt;&lt;rec-number&gt;282&lt;/rec-number&gt;&lt;foreign-keys&gt;&lt;key app="EN" db-id="a2frzwzsp5rz9sea50hxrrs3frt2a0pa2wxe" timestamp="1654238620"&gt;282&lt;/key&gt;&lt;/foreign-keys&gt;&lt;ref-type name="Journal Article"&gt;17&lt;/ref-type&gt;&lt;contributors&gt;&lt;authors&gt;&lt;author&gt;Kauffman, Kathryn M.&lt;/author&gt;&lt;author&gt;Chang, William K.&lt;/author&gt;&lt;author&gt;Brown, Julia M.&lt;/author&gt;&lt;author&gt;Hussain, Fatima A.&lt;/author&gt;&lt;author&gt;Yang, Joy&lt;/author&gt;&lt;author&gt;Polz, Martin F.&lt;/author&gt;&lt;author&gt;Kelly, Libusha&lt;/author&gt;&lt;/authors&gt;&lt;/contributors&gt;&lt;titles&gt;&lt;title&gt;Resolving the structure of phage–bacteria interactions in the context of natural diversity&lt;/title&gt;&lt;secondary-title&gt;Nature Communications&lt;/secondary-title&gt;&lt;/titles&gt;&lt;periodical&gt;&lt;full-title&gt;Nature Communications&lt;/full-title&gt;&lt;abbr-1&gt;Nat. Commun.&lt;/abbr-1&gt;&lt;abbr-2&gt;Nat Commun&lt;/abbr-2&gt;&lt;/periodical&gt;&lt;pages&gt;372&lt;/pages&gt;&lt;volume&gt;13&lt;/volume&gt;&lt;number&gt;1&lt;/number&gt;&lt;dates&gt;&lt;year&gt;2022&lt;/year&gt;&lt;pub-dates&gt;&lt;date&gt;2022/01/18&lt;/date&gt;&lt;/pub-dates&gt;&lt;/dates&gt;&lt;isbn&gt;2041-1723&lt;/isbn&gt;&lt;urls&gt;&lt;/urls&gt;&lt;electronic-resource-num&gt;10.1038/s41467-021-27583-z&lt;/electronic-resource-num&gt;&lt;/record&gt;&lt;/Cite&gt;&lt;/EndNote&gt;</w:instrText>
      </w:r>
      <w:r>
        <w:rPr>
          <w:rFonts w:ascii="Arial" w:hAnsi="Arial" w:cs="Arial"/>
          <w:b w:val="0"/>
          <w:bCs w:val="0"/>
          <w:color w:val="000000" w:themeColor="text1"/>
          <w:kern w:val="0"/>
          <w:szCs w:val="24"/>
          <w14:textFill>
            <w14:solidFill>
              <w14:schemeClr w14:val="tx1"/>
            </w14:solidFill>
          </w14:textFill>
        </w:rPr>
        <w:fldChar w:fldCharType="separate"/>
      </w:r>
      <w:r>
        <w:rPr>
          <w:rFonts w:ascii="Arial" w:hAnsi="Arial" w:cs="Arial"/>
          <w:b w:val="0"/>
          <w:bCs w:val="0"/>
          <w:color w:val="000000" w:themeColor="text1"/>
          <w:kern w:val="0"/>
          <w:szCs w:val="24"/>
          <w14:textFill>
            <w14:solidFill>
              <w14:schemeClr w14:val="tx1"/>
            </w14:solidFill>
          </w14:textFill>
        </w:rPr>
        <w:t>[7]</w:t>
      </w:r>
      <w:r>
        <w:rPr>
          <w:rFonts w:ascii="Arial" w:hAnsi="Arial" w:cs="Arial"/>
          <w:b w:val="0"/>
          <w:bCs w:val="0"/>
          <w:color w:val="000000" w:themeColor="text1"/>
          <w:kern w:val="0"/>
          <w:szCs w:val="24"/>
          <w14:textFill>
            <w14:solidFill>
              <w14:schemeClr w14:val="tx1"/>
            </w14:solidFill>
          </w14:textFill>
        </w:rPr>
        <w:fldChar w:fldCharType="end"/>
      </w:r>
      <w:r>
        <w:rPr>
          <w:rFonts w:ascii="Arial" w:hAnsi="Arial" w:cs="Arial"/>
          <w:b w:val="0"/>
          <w:bCs w:val="0"/>
          <w:color w:val="000000" w:themeColor="text1"/>
          <w:kern w:val="0"/>
          <w:szCs w:val="24"/>
          <w14:textFill>
            <w14:solidFill>
              <w14:schemeClr w14:val="tx1"/>
            </w14:solidFill>
          </w14:textFill>
        </w:rPr>
        <w:t>. Overlap and decreasing fill (NODF) was used for nestedness quantification. All statistical significances were performed based on 1000 random permutations using the equiprobable method. Modularity parameters included Q</w:t>
      </w:r>
      <w:r>
        <w:rPr>
          <w:rFonts w:ascii="Arial" w:hAnsi="Arial" w:cs="Arial"/>
          <w:b w:val="0"/>
          <w:bCs w:val="0"/>
          <w:color w:val="000000" w:themeColor="text1"/>
          <w:kern w:val="0"/>
          <w:szCs w:val="24"/>
          <w:vertAlign w:val="subscript"/>
          <w14:textFill>
            <w14:solidFill>
              <w14:schemeClr w14:val="tx1"/>
            </w14:solidFill>
          </w14:textFill>
        </w:rPr>
        <w:t>b</w:t>
      </w:r>
      <w:r>
        <w:rPr>
          <w:rFonts w:ascii="Arial" w:hAnsi="Arial" w:cs="Arial"/>
          <w:b w:val="0"/>
          <w:bCs w:val="0"/>
          <w:color w:val="000000" w:themeColor="text1"/>
          <w:kern w:val="0"/>
          <w:szCs w:val="24"/>
          <w14:textFill>
            <w14:solidFill>
              <w14:schemeClr w14:val="tx1"/>
            </w14:solidFill>
          </w14:textFill>
        </w:rPr>
        <w:t xml:space="preserve"> 0.8491, mean 0.5511, std 0.0030, z-score 99.5177, t-score 314.7025, and percentile 100. The fraction inside module parameters corresponded to Q</w:t>
      </w:r>
      <w:r>
        <w:rPr>
          <w:rFonts w:ascii="Arial" w:hAnsi="Arial" w:cs="Arial"/>
          <w:b w:val="0"/>
          <w:bCs w:val="0"/>
          <w:color w:val="000000" w:themeColor="text1"/>
          <w:kern w:val="0"/>
          <w:szCs w:val="24"/>
          <w:vertAlign w:val="subscript"/>
          <w14:textFill>
            <w14:solidFill>
              <w14:schemeClr w14:val="tx1"/>
            </w14:solidFill>
          </w14:textFill>
        </w:rPr>
        <w:t>r</w:t>
      </w:r>
      <w:r>
        <w:rPr>
          <w:rFonts w:ascii="Arial" w:hAnsi="Arial" w:cs="Arial"/>
          <w:b w:val="0"/>
          <w:bCs w:val="0"/>
          <w:color w:val="000000" w:themeColor="text1"/>
          <w:kern w:val="0"/>
          <w:szCs w:val="24"/>
          <w14:textFill>
            <w14:solidFill>
              <w14:schemeClr w14:val="tx1"/>
            </w14:solidFill>
          </w14:textFill>
        </w:rPr>
        <w:t xml:space="preserve"> 0.8254, mean 0.1834, std 0.0110, z-score 58.1052, t-score 183.7449, and percentile 100. Nestedness parameters covered nestedness value 0.0132, mean 0.0037, std 0, z-score 375.0087, t-score 3750.0874, and percentile 100.</w:t>
      </w:r>
    </w:p>
    <w:p>
      <w:pPr>
        <w:spacing w:line="360" w:lineRule="auto"/>
        <w:contextualSpacing/>
        <w:rPr>
          <w:rFonts w:ascii="Arial" w:hAnsi="Arial" w:cs="Arial"/>
          <w:color w:val="000000" w:themeColor="text1"/>
          <w:kern w:val="0"/>
          <w:sz w:val="24"/>
          <w:szCs w:val="24"/>
          <w14:textFill>
            <w14:solidFill>
              <w14:schemeClr w14:val="tx1"/>
            </w14:solidFill>
          </w14:textFill>
        </w:rPr>
      </w:pPr>
    </w:p>
    <w:p>
      <w:pPr>
        <w:pStyle w:val="3"/>
        <w:spacing w:line="360" w:lineRule="auto"/>
        <w:rPr>
          <w:rFonts w:ascii="Arial" w:hAnsi="Arial" w:cs="Arial"/>
          <w:b w:val="0"/>
          <w:bCs w:val="0"/>
          <w:i/>
          <w:iCs/>
        </w:rPr>
      </w:pPr>
      <w:r>
        <w:rPr>
          <w:rFonts w:ascii="Arial" w:hAnsi="Arial" w:cs="Arial"/>
          <w:b w:val="0"/>
          <w:bCs w:val="0"/>
          <w:i/>
          <w:iCs/>
        </w:rPr>
        <w:t>Identification of auxiliary metabolic genes</w:t>
      </w:r>
    </w:p>
    <w:p>
      <w:pPr>
        <w:pStyle w:val="3"/>
        <w:spacing w:line="360" w:lineRule="auto"/>
        <w:rPr>
          <w:rFonts w:ascii="Arial" w:hAnsi="Arial" w:cs="Arial"/>
          <w:b w:val="0"/>
          <w:bCs w:val="0"/>
        </w:rPr>
      </w:pPr>
      <w:r>
        <w:rPr>
          <w:rFonts w:ascii="Arial" w:hAnsi="Arial" w:cs="Arial"/>
          <w:b w:val="0"/>
          <w:bCs w:val="0"/>
          <w:color w:val="000000" w:themeColor="text1"/>
          <w:kern w:val="0"/>
          <w:szCs w:val="24"/>
          <w14:textFill>
            <w14:solidFill>
              <w14:schemeClr w14:val="tx1"/>
            </w14:solidFill>
          </w14:textFill>
        </w:rPr>
        <w:t xml:space="preserve">Removal of host contamination and identification of prophage boundaries were performed via CheckV </w:t>
      </w:r>
      <w:r>
        <w:rPr>
          <w:rFonts w:ascii="Arial" w:hAnsi="Arial" w:cs="Arial"/>
          <w:b w:val="0"/>
          <w:bCs w:val="0"/>
          <w:color w:val="000000" w:themeColor="text1"/>
          <w:kern w:val="0"/>
          <w:szCs w:val="24"/>
          <w14:textFill>
            <w14:solidFill>
              <w14:schemeClr w14:val="tx1"/>
            </w14:solidFill>
          </w14:textFill>
        </w:rPr>
        <w:fldChar w:fldCharType="begin"/>
      </w:r>
      <w:r>
        <w:rPr>
          <w:rFonts w:ascii="Arial" w:hAnsi="Arial" w:cs="Arial"/>
          <w:b w:val="0"/>
          <w:bCs w:val="0"/>
          <w:color w:val="000000" w:themeColor="text1"/>
          <w:kern w:val="0"/>
          <w:szCs w:val="24"/>
          <w14:textFill>
            <w14:solidFill>
              <w14:schemeClr w14:val="tx1"/>
            </w14:solidFill>
          </w14:textFill>
        </w:rPr>
        <w:instrText xml:space="preserve"> ADDIN EN.CITE &lt;EndNote&gt;&lt;Cite&gt;&lt;Author&gt;Nayfach&lt;/Author&gt;&lt;Year&gt;2021&lt;/Year&gt;&lt;RecNum&gt;12&lt;/RecNum&gt;&lt;DisplayText&gt;[8]&lt;/DisplayText&gt;&lt;record&gt;&lt;rec-number&gt;12&lt;/rec-number&gt;&lt;foreign-keys&gt;&lt;key app="EN" db-id="a2frzwzsp5rz9sea50hxrrs3frt2a0pa2wxe" timestamp="1635344593" guid="9091cd9a-0420-4c03-a79c-d3ced8030945"&gt;12&lt;/key&gt;&lt;/foreign-keys&gt;&lt;ref-type name="Journal Article"&gt;17&lt;/ref-type&gt;&lt;contributors&gt;&lt;authors&gt;&lt;author&gt;Nayfach, Stephen&lt;/author&gt;&lt;author&gt;Camargo, Antonio Pedro&lt;/author&gt;&lt;author&gt;Schulz, Frederik&lt;/author&gt;&lt;author&gt;Eloe-Fadrosh, Emiley&lt;/author&gt;&lt;author&gt;Roux, Simon&lt;/author&gt;&lt;author&gt;Kyrpides, Nikos C.&lt;/author&gt;&lt;/authors&gt;&lt;/contributors&gt;&lt;titles&gt;&lt;title&gt;CheckV assesses the quality and completeness of metagenome-assembled viral genomes&lt;/title&gt;&lt;secondary-title&gt;Nature Biotechnology&lt;/secondary-title&gt;&lt;/titles&gt;&lt;periodical&gt;&lt;full-title&gt;Nature Biotechnology&lt;/full-title&gt;&lt;abbr-1&gt;Nat. Biotechnol.&lt;/abbr-1&gt;&lt;abbr-2&gt;Nat Biotechnol&lt;/abbr-2&gt;&lt;/periodical&gt;&lt;pages&gt;578-585&lt;/pages&gt;&lt;volume&gt;39&lt;/volume&gt;&lt;number&gt;5&lt;/number&gt;&lt;dates&gt;&lt;year&gt;2021&lt;/year&gt;&lt;pub-dates&gt;&lt;date&gt;2021/05/01&lt;/date&gt;&lt;/pub-dates&gt;&lt;/dates&gt;&lt;isbn&gt;1546-1696&lt;/isbn&gt;&lt;urls&gt;&lt;/urls&gt;&lt;electronic-resource-num&gt;10.1038/s41587-020-00774-7&lt;/electronic-resource-num&gt;&lt;/record&gt;&lt;/Cite&gt;&lt;/EndNote&gt;</w:instrText>
      </w:r>
      <w:r>
        <w:rPr>
          <w:rFonts w:ascii="Arial" w:hAnsi="Arial" w:cs="Arial"/>
          <w:b w:val="0"/>
          <w:bCs w:val="0"/>
          <w:color w:val="000000" w:themeColor="text1"/>
          <w:kern w:val="0"/>
          <w:szCs w:val="24"/>
          <w14:textFill>
            <w14:solidFill>
              <w14:schemeClr w14:val="tx1"/>
            </w14:solidFill>
          </w14:textFill>
        </w:rPr>
        <w:fldChar w:fldCharType="separate"/>
      </w:r>
      <w:r>
        <w:rPr>
          <w:rFonts w:ascii="Arial" w:hAnsi="Arial" w:cs="Arial"/>
          <w:b w:val="0"/>
          <w:bCs w:val="0"/>
          <w:color w:val="000000" w:themeColor="text1"/>
          <w:kern w:val="0"/>
          <w:szCs w:val="24"/>
          <w14:textFill>
            <w14:solidFill>
              <w14:schemeClr w14:val="tx1"/>
            </w14:solidFill>
          </w14:textFill>
        </w:rPr>
        <w:t>[8]</w:t>
      </w:r>
      <w:r>
        <w:rPr>
          <w:rFonts w:ascii="Arial" w:hAnsi="Arial" w:cs="Arial"/>
          <w:b w:val="0"/>
          <w:bCs w:val="0"/>
          <w:color w:val="000000" w:themeColor="text1"/>
          <w:kern w:val="0"/>
          <w:szCs w:val="24"/>
          <w14:textFill>
            <w14:solidFill>
              <w14:schemeClr w14:val="tx1"/>
            </w14:solidFill>
          </w14:textFill>
        </w:rPr>
        <w:fldChar w:fldCharType="end"/>
      </w:r>
      <w:r>
        <w:rPr>
          <w:rFonts w:ascii="Arial" w:hAnsi="Arial" w:cs="Arial"/>
          <w:b w:val="0"/>
          <w:bCs w:val="0"/>
          <w:color w:val="000000" w:themeColor="text1"/>
          <w:kern w:val="0"/>
          <w:szCs w:val="24"/>
          <w14:textFill>
            <w14:solidFill>
              <w14:schemeClr w14:val="tx1"/>
            </w14:solidFill>
          </w14:textFill>
        </w:rPr>
        <w:t xml:space="preserve"> in advance. The predicted protein sequences, generated by Prodigal </w:t>
      </w:r>
      <w:r>
        <w:rPr>
          <w:rFonts w:ascii="Arial" w:hAnsi="Arial" w:cs="Arial"/>
          <w:b w:val="0"/>
          <w:bCs w:val="0"/>
          <w:color w:val="000000" w:themeColor="text1"/>
          <w:kern w:val="0"/>
          <w:szCs w:val="24"/>
          <w14:textFill>
            <w14:solidFill>
              <w14:schemeClr w14:val="tx1"/>
            </w14:solidFill>
          </w14:textFill>
        </w:rPr>
        <w:fldChar w:fldCharType="begin"/>
      </w:r>
      <w:r>
        <w:rPr>
          <w:rFonts w:ascii="Arial" w:hAnsi="Arial" w:cs="Arial"/>
          <w:b w:val="0"/>
          <w:bCs w:val="0"/>
          <w:color w:val="000000" w:themeColor="text1"/>
          <w:kern w:val="0"/>
          <w:szCs w:val="24"/>
          <w14:textFill>
            <w14:solidFill>
              <w14:schemeClr w14:val="tx1"/>
            </w14:solidFill>
          </w14:textFill>
        </w:rPr>
        <w:instrText xml:space="preserve"> ADDIN EN.CITE &lt;EndNote&gt;&lt;Cite&gt;&lt;Author&gt;Hyatt&lt;/Author&gt;&lt;Year&gt;2010&lt;/Year&gt;&lt;RecNum&gt;27&lt;/RecNum&gt;&lt;DisplayText&gt;[2]&lt;/DisplayText&gt;&lt;record&gt;&lt;rec-number&gt;27&lt;/rec-number&gt;&lt;foreign-keys&gt;&lt;key app="EN" db-id="a2frzwzsp5rz9sea50hxrrs3frt2a0pa2wxe" timestamp="1635386853" guid="a5470acc-ec77-40c8-92a8-41b6cd216b81"&gt;27&lt;/key&gt;&lt;/foreign-keys&gt;&lt;ref-type name="Journal Article"&gt;17&lt;/ref-type&gt;&lt;contributors&gt;&lt;authors&gt;&lt;author&gt;Hyatt, Doug&lt;/author&gt;&lt;author&gt;Chen, Gwo Liang&lt;/author&gt;&lt;author&gt;LoCascio, Philip F.&lt;/author&gt;&lt;author&gt;Land, Miriam L.&lt;/author&gt;&lt;author&gt;Larimer, Frank W.&lt;/author&gt;&lt;author&gt;Hauser, Loren J.&lt;/author&gt;&lt;/authors&gt;&lt;/contributors&gt;&lt;titles&gt;&lt;title&gt;Prodigal: prokaryotic gene recognition and translation initiation site identification&lt;/title&gt;&lt;secondary-title&gt;BMC Bioinformatics&lt;/secondary-title&gt;&lt;/titles&gt;&lt;periodical&gt;&lt;full-title&gt;BMC Bioinformatics&lt;/full-title&gt;&lt;abbr-1&gt;BMC Bioinformatics&lt;/abbr-1&gt;&lt;abbr-2&gt;BMC Bioinformatics&lt;/abbr-2&gt;&lt;/periodical&gt;&lt;pages&gt;119&lt;/pages&gt;&lt;volume&gt;11&lt;/volume&gt;&lt;number&gt;1&lt;/number&gt;&lt;dates&gt;&lt;year&gt;2010&lt;/year&gt;&lt;pub-dates&gt;&lt;date&gt;2010/03/08&lt;/date&gt;&lt;/pub-dates&gt;&lt;/dates&gt;&lt;isbn&gt;1471-2105&lt;/isbn&gt;&lt;urls&gt;&lt;/urls&gt;&lt;electronic-resource-num&gt;10.1186/1471-2105-11-119&lt;/electronic-resource-num&gt;&lt;/record&gt;&lt;/Cite&gt;&lt;/EndNote&gt;</w:instrText>
      </w:r>
      <w:r>
        <w:rPr>
          <w:rFonts w:ascii="Arial" w:hAnsi="Arial" w:cs="Arial"/>
          <w:b w:val="0"/>
          <w:bCs w:val="0"/>
          <w:color w:val="000000" w:themeColor="text1"/>
          <w:kern w:val="0"/>
          <w:szCs w:val="24"/>
          <w14:textFill>
            <w14:solidFill>
              <w14:schemeClr w14:val="tx1"/>
            </w14:solidFill>
          </w14:textFill>
        </w:rPr>
        <w:fldChar w:fldCharType="separate"/>
      </w:r>
      <w:r>
        <w:rPr>
          <w:rFonts w:ascii="Arial" w:hAnsi="Arial" w:cs="Arial"/>
          <w:b w:val="0"/>
          <w:bCs w:val="0"/>
          <w:color w:val="000000" w:themeColor="text1"/>
          <w:kern w:val="0"/>
          <w:szCs w:val="24"/>
          <w14:textFill>
            <w14:solidFill>
              <w14:schemeClr w14:val="tx1"/>
            </w14:solidFill>
          </w14:textFill>
        </w:rPr>
        <w:t>[2]</w:t>
      </w:r>
      <w:r>
        <w:rPr>
          <w:rFonts w:ascii="Arial" w:hAnsi="Arial" w:cs="Arial"/>
          <w:b w:val="0"/>
          <w:bCs w:val="0"/>
          <w:color w:val="000000" w:themeColor="text1"/>
          <w:kern w:val="0"/>
          <w:szCs w:val="24"/>
          <w14:textFill>
            <w14:solidFill>
              <w14:schemeClr w14:val="tx1"/>
            </w14:solidFill>
          </w14:textFill>
        </w:rPr>
        <w:fldChar w:fldCharType="end"/>
      </w:r>
      <w:r>
        <w:rPr>
          <w:rFonts w:ascii="Arial" w:hAnsi="Arial" w:cs="Arial"/>
          <w:b w:val="0"/>
          <w:bCs w:val="0"/>
          <w:color w:val="000000" w:themeColor="text1"/>
          <w:kern w:val="0"/>
          <w:szCs w:val="24"/>
          <w14:textFill>
            <w14:solidFill>
              <w14:schemeClr w14:val="tx1"/>
            </w14:solidFill>
          </w14:textFill>
        </w:rPr>
        <w:t xml:space="preserve">, were aligned to the eggNOG database </w:t>
      </w:r>
      <w:r>
        <w:rPr>
          <w:rFonts w:ascii="Arial" w:hAnsi="Arial" w:cs="Arial"/>
          <w:b w:val="0"/>
          <w:bCs w:val="0"/>
          <w:color w:val="000000" w:themeColor="text1"/>
          <w:kern w:val="0"/>
          <w:szCs w:val="24"/>
          <w14:textFill>
            <w14:solidFill>
              <w14:schemeClr w14:val="tx1"/>
            </w14:solidFill>
          </w14:textFill>
        </w:rPr>
        <w:fldChar w:fldCharType="begin"/>
      </w:r>
      <w:r>
        <w:rPr>
          <w:rFonts w:ascii="Arial" w:hAnsi="Arial" w:cs="Arial"/>
          <w:b w:val="0"/>
          <w:bCs w:val="0"/>
          <w:color w:val="000000" w:themeColor="text1"/>
          <w:kern w:val="0"/>
          <w:szCs w:val="24"/>
          <w14:textFill>
            <w14:solidFill>
              <w14:schemeClr w14:val="tx1"/>
            </w14:solidFill>
          </w14:textFill>
        </w:rPr>
        <w:instrText xml:space="preserve"> ADDIN EN.CITE &lt;EndNote&gt;&lt;Cite&gt;&lt;Author&gt;Huerta-Cepas&lt;/Author&gt;&lt;Year&gt;2018&lt;/Year&gt;&lt;RecNum&gt;174&lt;/RecNum&gt;&lt;DisplayText&gt;[9]&lt;/DisplayText&gt;&lt;record&gt;&lt;rec-number&gt;174&lt;/rec-number&gt;&lt;foreign-keys&gt;&lt;key app="EN" db-id="a2frzwzsp5rz9sea50hxrrs3frt2a0pa2wxe" timestamp="1645948017" guid="30c86024-dd8a-44c1-9f2c-ebf79499b515"&gt;174&lt;/key&gt;&lt;/foreign-keys&gt;&lt;ref-type name="Journal Article"&gt;17&lt;/ref-type&gt;&lt;contributors&gt;&lt;authors&gt;&lt;author&gt;Huerta-Cepas, Jaime&lt;/author&gt;&lt;author&gt;Szklarczyk, Damian&lt;/author&gt;&lt;author&gt;Heller, Davide&lt;/author&gt;&lt;author&gt;Hernández-Plaza, Ana&lt;/author&gt;&lt;author&gt;Forslund, Sofia K.&lt;/author&gt;&lt;author&gt;Cook, Helen&lt;/author&gt;&lt;author&gt;Mende, Daniel R.&lt;/author&gt;&lt;author&gt;Letunic, Ivica&lt;/author&gt;&lt;author&gt;Rattei, Thomas&lt;/author&gt;&lt;author&gt;Jensen, Lars J.&lt;/author&gt;&lt;author&gt;von Mering, Christian&lt;/author&gt;&lt;author&gt;Bork, Peer&lt;/author&gt;&lt;/authors&gt;&lt;/contributors&gt;&lt;titles&gt;&lt;title&gt;eggNOG 5.0: a hierarchical, functionally and phylogenetically annotated orthology resource based on 5090 organisms and 2502 viruses&lt;/title&gt;&lt;secondary-title&gt;Nucleic Acids Research&lt;/secondary-title&gt;&lt;/titles&gt;&lt;periodical&gt;&lt;full-title&gt;Nucleic Acids Research&lt;/full-title&gt;&lt;abbr-1&gt;Nucleic Acids Res.&lt;/abbr-1&gt;&lt;abbr-2&gt;Nucleic Acids Res&lt;/abbr-2&gt;&lt;/periodical&gt;&lt;pages&gt;D309-D314&lt;/pages&gt;&lt;volume&gt;47&lt;/volume&gt;&lt;number&gt;D1&lt;/number&gt;&lt;dates&gt;&lt;year&gt;2018&lt;/year&gt;&lt;/dates&gt;&lt;isbn&gt;0305-1048&lt;/isbn&gt;&lt;urls&gt;&lt;/urls&gt;&lt;electronic-resource-num&gt;10.1093/nar/gky1085 %J Nucleic Acids Research&lt;/electronic-resource-num&gt;&lt;access-date&gt;2/27/2022&lt;/access-date&gt;&lt;/record&gt;&lt;/Cite&gt;&lt;/EndNote&gt;</w:instrText>
      </w:r>
      <w:r>
        <w:rPr>
          <w:rFonts w:ascii="Arial" w:hAnsi="Arial" w:cs="Arial"/>
          <w:b w:val="0"/>
          <w:bCs w:val="0"/>
          <w:color w:val="000000" w:themeColor="text1"/>
          <w:kern w:val="0"/>
          <w:szCs w:val="24"/>
          <w14:textFill>
            <w14:solidFill>
              <w14:schemeClr w14:val="tx1"/>
            </w14:solidFill>
          </w14:textFill>
        </w:rPr>
        <w:fldChar w:fldCharType="separate"/>
      </w:r>
      <w:r>
        <w:rPr>
          <w:rFonts w:ascii="Arial" w:hAnsi="Arial" w:cs="Arial"/>
          <w:b w:val="0"/>
          <w:bCs w:val="0"/>
          <w:color w:val="000000" w:themeColor="text1"/>
          <w:kern w:val="0"/>
          <w:szCs w:val="24"/>
          <w14:textFill>
            <w14:solidFill>
              <w14:schemeClr w14:val="tx1"/>
            </w14:solidFill>
          </w14:textFill>
        </w:rPr>
        <w:t>[9]</w:t>
      </w:r>
      <w:r>
        <w:rPr>
          <w:rFonts w:ascii="Arial" w:hAnsi="Arial" w:cs="Arial"/>
          <w:b w:val="0"/>
          <w:bCs w:val="0"/>
          <w:color w:val="000000" w:themeColor="text1"/>
          <w:kern w:val="0"/>
          <w:szCs w:val="24"/>
          <w14:textFill>
            <w14:solidFill>
              <w14:schemeClr w14:val="tx1"/>
            </w14:solidFill>
          </w14:textFill>
        </w:rPr>
        <w:fldChar w:fldCharType="end"/>
      </w:r>
      <w:r>
        <w:rPr>
          <w:rFonts w:ascii="Arial" w:hAnsi="Arial" w:cs="Arial"/>
          <w:b w:val="0"/>
          <w:bCs w:val="0"/>
          <w:color w:val="000000" w:themeColor="text1"/>
          <w:kern w:val="0"/>
          <w:szCs w:val="24"/>
          <w14:textFill>
            <w14:solidFill>
              <w14:schemeClr w14:val="tx1"/>
            </w14:solidFill>
          </w14:textFill>
        </w:rPr>
        <w:t xml:space="preserve"> using emapper.py v1.0.3 </w:t>
      </w:r>
      <w:r>
        <w:rPr>
          <w:rFonts w:ascii="Arial" w:hAnsi="Arial" w:cs="Arial"/>
          <w:b w:val="0"/>
          <w:bCs w:val="0"/>
          <w:color w:val="000000" w:themeColor="text1"/>
          <w:kern w:val="0"/>
          <w:szCs w:val="24"/>
          <w14:textFill>
            <w14:solidFill>
              <w14:schemeClr w14:val="tx1"/>
            </w14:solidFill>
          </w14:textFill>
        </w:rPr>
        <w:fldChar w:fldCharType="begin"/>
      </w:r>
      <w:r>
        <w:rPr>
          <w:rFonts w:ascii="Arial" w:hAnsi="Arial" w:cs="Arial"/>
          <w:b w:val="0"/>
          <w:bCs w:val="0"/>
          <w:color w:val="000000" w:themeColor="text1"/>
          <w:kern w:val="0"/>
          <w:szCs w:val="24"/>
          <w14:textFill>
            <w14:solidFill>
              <w14:schemeClr w14:val="tx1"/>
            </w14:solidFill>
          </w14:textFill>
        </w:rPr>
        <w:instrText xml:space="preserve"> ADDIN EN.CITE &lt;EndNote&gt;&lt;Cite&gt;&lt;Author&gt;Huerta-Cepas&lt;/Author&gt;&lt;Year&gt;2017&lt;/Year&gt;&lt;RecNum&gt;175&lt;/RecNum&gt;&lt;DisplayText&gt;[10]&lt;/DisplayText&gt;&lt;record&gt;&lt;rec-number&gt;175&lt;/rec-number&gt;&lt;foreign-keys&gt;&lt;key app="EN" db-id="a2frzwzsp5rz9sea50hxrrs3frt2a0pa2wxe" timestamp="1645948169" guid="9ddc4701-65a7-49f3-93b5-b0baa85a05dd"&gt;175&lt;/key&gt;&lt;/foreign-keys&gt;&lt;ref-type name="Journal Article"&gt;17&lt;/ref-type&gt;&lt;contributors&gt;&lt;authors&gt;&lt;author&gt;Huerta-Cepas, Jaime&lt;/author&gt;&lt;author&gt;Forslund, Kristoffer&lt;/author&gt;&lt;author&gt;Coelho, Luis Pedro&lt;/author&gt;&lt;author&gt;Szklarczyk, Damian&lt;/author&gt;&lt;author&gt;Jensen, Lars Juhl&lt;/author&gt;&lt;author&gt;von Mering, Christian&lt;/author&gt;&lt;author&gt;Bork, Peer&lt;/author&gt;&lt;/authors&gt;&lt;/contributors&gt;&lt;titles&gt;&lt;title&gt;Fast genome-wide functional annotation through orthology assignment by eggNOG-mapper&lt;/title&gt;&lt;secondary-title&gt;Molecular Biology and Evolution&lt;/secondary-title&gt;&lt;/titles&gt;&lt;periodical&gt;&lt;full-title&gt;Molecular Biology and Evolution&lt;/full-title&gt;&lt;abbr-1&gt;Mol. Biol. Evol.&lt;/abbr-1&gt;&lt;abbr-2&gt;Mol Biol Evol&lt;/abbr-2&gt;&lt;/periodical&gt;&lt;pages&gt;2115-2122&lt;/pages&gt;&lt;volume&gt;34&lt;/volume&gt;&lt;number&gt;8&lt;/number&gt;&lt;dates&gt;&lt;year&gt;2017&lt;/year&gt;&lt;/dates&gt;&lt;isbn&gt;0737-4038&lt;/isbn&gt;&lt;urls&gt;&lt;/urls&gt;&lt;electronic-resource-num&gt;10.1093/molbev/msx148 %J Molecular Biology and Evolution&lt;/electronic-resource-num&gt;&lt;access-date&gt;2/27/2022&lt;/access-date&gt;&lt;/record&gt;&lt;/Cite&gt;&lt;/EndNote&gt;</w:instrText>
      </w:r>
      <w:r>
        <w:rPr>
          <w:rFonts w:ascii="Arial" w:hAnsi="Arial" w:cs="Arial"/>
          <w:b w:val="0"/>
          <w:bCs w:val="0"/>
          <w:color w:val="000000" w:themeColor="text1"/>
          <w:kern w:val="0"/>
          <w:szCs w:val="24"/>
          <w14:textFill>
            <w14:solidFill>
              <w14:schemeClr w14:val="tx1"/>
            </w14:solidFill>
          </w14:textFill>
        </w:rPr>
        <w:fldChar w:fldCharType="separate"/>
      </w:r>
      <w:r>
        <w:rPr>
          <w:rFonts w:ascii="Arial" w:hAnsi="Arial" w:cs="Arial"/>
          <w:b w:val="0"/>
          <w:bCs w:val="0"/>
          <w:color w:val="000000" w:themeColor="text1"/>
          <w:kern w:val="0"/>
          <w:szCs w:val="24"/>
          <w14:textFill>
            <w14:solidFill>
              <w14:schemeClr w14:val="tx1"/>
            </w14:solidFill>
          </w14:textFill>
        </w:rPr>
        <w:t>[10]</w:t>
      </w:r>
      <w:r>
        <w:rPr>
          <w:rFonts w:ascii="Arial" w:hAnsi="Arial" w:cs="Arial"/>
          <w:b w:val="0"/>
          <w:bCs w:val="0"/>
          <w:color w:val="000000" w:themeColor="text1"/>
          <w:kern w:val="0"/>
          <w:szCs w:val="24"/>
          <w14:textFill>
            <w14:solidFill>
              <w14:schemeClr w14:val="tx1"/>
            </w14:solidFill>
          </w14:textFill>
        </w:rPr>
        <w:fldChar w:fldCharType="end"/>
      </w:r>
      <w:r>
        <w:rPr>
          <w:rFonts w:ascii="Arial" w:hAnsi="Arial" w:cs="Arial"/>
          <w:b w:val="0"/>
          <w:bCs w:val="0"/>
          <w:color w:val="000000" w:themeColor="text1"/>
          <w:kern w:val="0"/>
          <w:szCs w:val="24"/>
          <w14:textFill>
            <w14:solidFill>
              <w14:schemeClr w14:val="tx1"/>
            </w14:solidFill>
          </w14:textFill>
        </w:rPr>
        <w:t xml:space="preserve"> (-m diamond; --seed_orthology_evalue 1e-5). Each protein was assigned a COG annotation. AMG identification was first conducted by VIBRANT </w:t>
      </w:r>
      <w:r>
        <w:rPr>
          <w:rFonts w:ascii="Arial" w:hAnsi="Arial" w:cs="Arial"/>
          <w:b w:val="0"/>
          <w:bCs w:val="0"/>
          <w:color w:val="000000" w:themeColor="text1"/>
          <w:kern w:val="0"/>
          <w:szCs w:val="24"/>
          <w14:textFill>
            <w14:solidFill>
              <w14:schemeClr w14:val="tx1"/>
            </w14:solidFill>
          </w14:textFill>
        </w:rPr>
        <w:fldChar w:fldCharType="begin"/>
      </w:r>
      <w:r>
        <w:rPr>
          <w:rFonts w:ascii="Arial" w:hAnsi="Arial" w:cs="Arial"/>
          <w:b w:val="0"/>
          <w:bCs w:val="0"/>
          <w:color w:val="000000" w:themeColor="text1"/>
          <w:kern w:val="0"/>
          <w:szCs w:val="24"/>
          <w14:textFill>
            <w14:solidFill>
              <w14:schemeClr w14:val="tx1"/>
            </w14:solidFill>
          </w14:textFill>
        </w:rPr>
        <w:instrText xml:space="preserve"> ADDIN EN.CITE &lt;EndNote&gt;&lt;Cite&gt;&lt;Author&gt;Kieft&lt;/Author&gt;&lt;Year&gt;2020&lt;/Year&gt;&lt;RecNum&gt;7&lt;/RecNum&gt;&lt;DisplayText&gt;[11]&lt;/DisplayText&gt;&lt;record&gt;&lt;rec-number&gt;7&lt;/rec-number&gt;&lt;foreign-keys&gt;&lt;key app="EN" db-id="a2frzwzsp5rz9sea50hxrrs3frt2a0pa2wxe" timestamp="1635343918" guid="a2496e82-9766-4b90-87e5-1a33c0288998"&gt;7&lt;/key&gt;&lt;/foreign-keys&gt;&lt;ref-type name="Journal Article"&gt;17&lt;/ref-type&gt;&lt;contributors&gt;&lt;authors&gt;&lt;author&gt;Kieft, Kristopher&lt;/author&gt;&lt;author&gt;Zhou, Zhi Chao&lt;/author&gt;&lt;author&gt;Anantharaman, Karthik&lt;/author&gt;&lt;/authors&gt;&lt;/contributors&gt;&lt;titles&gt;&lt;title&gt;VIBRANT: automated recovery, annotation and curation of microbial viruses, and evaluation of viral community function from genomic sequences&lt;/title&gt;&lt;secondary-title&gt;Microbiome&lt;/secondary-title&gt;&lt;/titles&gt;&lt;periodical&gt;&lt;full-title&gt;Microbiome&lt;/full-title&gt;&lt;abbr-1&gt;Microbiome&lt;/abbr-1&gt;&lt;abbr-2&gt;Microbiome&lt;/abbr-2&gt;&lt;/periodical&gt;&lt;pages&gt;90&lt;/pages&gt;&lt;volume&gt;8&lt;/volume&gt;&lt;number&gt;1&lt;/number&gt;&lt;dates&gt;&lt;year&gt;2020&lt;/year&gt;&lt;pub-dates&gt;&lt;date&gt;2020/06/10&lt;/date&gt;&lt;/pub-dates&gt;&lt;/dates&gt;&lt;isbn&gt;2049-2618&lt;/isbn&gt;&lt;urls&gt;&lt;/urls&gt;&lt;electronic-resource-num&gt;10.1186/s40168-020-00867-0&lt;/electronic-resource-num&gt;&lt;/record&gt;&lt;/Cite&gt;&lt;/EndNote&gt;</w:instrText>
      </w:r>
      <w:r>
        <w:rPr>
          <w:rFonts w:ascii="Arial" w:hAnsi="Arial" w:cs="Arial"/>
          <w:b w:val="0"/>
          <w:bCs w:val="0"/>
          <w:color w:val="000000" w:themeColor="text1"/>
          <w:kern w:val="0"/>
          <w:szCs w:val="24"/>
          <w14:textFill>
            <w14:solidFill>
              <w14:schemeClr w14:val="tx1"/>
            </w14:solidFill>
          </w14:textFill>
        </w:rPr>
        <w:fldChar w:fldCharType="separate"/>
      </w:r>
      <w:r>
        <w:rPr>
          <w:rFonts w:ascii="Arial" w:hAnsi="Arial" w:cs="Arial"/>
          <w:b w:val="0"/>
          <w:bCs w:val="0"/>
          <w:color w:val="000000" w:themeColor="text1"/>
          <w:kern w:val="0"/>
          <w:szCs w:val="24"/>
          <w14:textFill>
            <w14:solidFill>
              <w14:schemeClr w14:val="tx1"/>
            </w14:solidFill>
          </w14:textFill>
        </w:rPr>
        <w:t>[11]</w:t>
      </w:r>
      <w:r>
        <w:rPr>
          <w:rFonts w:ascii="Arial" w:hAnsi="Arial" w:cs="Arial"/>
          <w:b w:val="0"/>
          <w:bCs w:val="0"/>
          <w:color w:val="000000" w:themeColor="text1"/>
          <w:kern w:val="0"/>
          <w:szCs w:val="24"/>
          <w14:textFill>
            <w14:solidFill>
              <w14:schemeClr w14:val="tx1"/>
            </w14:solidFill>
          </w14:textFill>
        </w:rPr>
        <w:fldChar w:fldCharType="end"/>
      </w:r>
      <w:r>
        <w:rPr>
          <w:rFonts w:ascii="Arial" w:hAnsi="Arial" w:cs="Arial"/>
          <w:b w:val="0"/>
          <w:bCs w:val="0"/>
          <w:color w:val="000000" w:themeColor="text1"/>
          <w:kern w:val="0"/>
          <w:szCs w:val="24"/>
          <w14:textFill>
            <w14:solidFill>
              <w14:schemeClr w14:val="tx1"/>
            </w14:solidFill>
          </w14:textFill>
        </w:rPr>
        <w:t xml:space="preserve"> according to KEGG, Pfam and VOG databases. The genes with annotations “metabolic pathways” and “sulfur relay system” were regarded as putative AMGs. VirSorter2 </w:t>
      </w:r>
      <w:r>
        <w:rPr>
          <w:rFonts w:ascii="Arial" w:hAnsi="Arial" w:cs="Arial"/>
          <w:b w:val="0"/>
          <w:bCs w:val="0"/>
          <w:color w:val="000000" w:themeColor="text1"/>
          <w:kern w:val="0"/>
          <w:szCs w:val="24"/>
          <w14:textFill>
            <w14:solidFill>
              <w14:schemeClr w14:val="tx1"/>
            </w14:solidFill>
          </w14:textFill>
        </w:rPr>
        <w:fldChar w:fldCharType="begin"/>
      </w:r>
      <w:r>
        <w:rPr>
          <w:rFonts w:ascii="Arial" w:hAnsi="Arial" w:cs="Arial"/>
          <w:b w:val="0"/>
          <w:bCs w:val="0"/>
          <w:color w:val="000000" w:themeColor="text1"/>
          <w:kern w:val="0"/>
          <w:szCs w:val="24"/>
          <w14:textFill>
            <w14:solidFill>
              <w14:schemeClr w14:val="tx1"/>
            </w14:solidFill>
          </w14:textFill>
        </w:rPr>
        <w:instrText xml:space="preserve"> ADDIN EN.CITE &lt;EndNote&gt;&lt;Cite&gt;&lt;Author&gt;Guo&lt;/Author&gt;&lt;Year&gt;2021&lt;/Year&gt;&lt;RecNum&gt;11&lt;/RecNum&gt;&lt;DisplayText&gt;[12]&lt;/DisplayText&gt;&lt;record&gt;&lt;rec-number&gt;11&lt;/rec-number&gt;&lt;foreign-keys&gt;&lt;key app="EN" db-id="a2frzwzsp5rz9sea50hxrrs3frt2a0pa2wxe" timestamp="1635344506" guid="30c6e989-0dac-496b-95dc-826f2a4dbd29"&gt;11&lt;/key&gt;&lt;/foreign-keys&gt;&lt;ref-type name="Journal Article"&gt;17&lt;/ref-type&gt;&lt;contributors&gt;&lt;authors&gt;&lt;author&gt;Guo, Jiarong&lt;/author&gt;&lt;author&gt;Bolduc, Ben&lt;/author&gt;&lt;author&gt;Zayed, Ahmed A.&lt;/author&gt;&lt;author&gt;Varsani, Arvind&lt;/author&gt;&lt;author&gt;Dominguez-Huerta, Guillermo&lt;/author&gt;&lt;author&gt;Delmont, Tom O.&lt;/author&gt;&lt;author&gt;Pratama, Akbar Adjie&lt;/author&gt;&lt;author&gt;Gazitúa, M. Consuelo&lt;/author&gt;&lt;author&gt;Vik, Dean&lt;/author&gt;&lt;author&gt;Sullivan, Matthew B.&lt;/author&gt;&lt;author&gt;Roux, Simon&lt;/author&gt;&lt;/authors&gt;&lt;/contributors&gt;&lt;titles&gt;&lt;title&gt;VirSorter2: a multi-classifier, expert-guided approach to detect diverse DNA and RNA viruses&lt;/title&gt;&lt;secondary-title&gt;Microbiome&lt;/secondary-title&gt;&lt;/titles&gt;&lt;periodical&gt;&lt;full-title&gt;Microbiome&lt;/full-title&gt;&lt;abbr-1&gt;Microbiome&lt;/abbr-1&gt;&lt;abbr-2&gt;Microbiome&lt;/abbr-2&gt;&lt;/periodical&gt;&lt;pages&gt;37&lt;/pages&gt;&lt;volume&gt;9&lt;/volume&gt;&lt;number&gt;1&lt;/number&gt;&lt;dates&gt;&lt;year&gt;2021&lt;/year&gt;&lt;pub-dates&gt;&lt;date&gt;2021/02/01&lt;/date&gt;&lt;/pub-dates&gt;&lt;/dates&gt;&lt;isbn&gt;2049-2618&lt;/isbn&gt;&lt;urls&gt;&lt;/urls&gt;&lt;electronic-resource-num&gt;10.1186/s40168-020-00990-y&lt;/electronic-resource-num&gt;&lt;/record&gt;&lt;/Cite&gt;&lt;/EndNote&gt;</w:instrText>
      </w:r>
      <w:r>
        <w:rPr>
          <w:rFonts w:ascii="Arial" w:hAnsi="Arial" w:cs="Arial"/>
          <w:b w:val="0"/>
          <w:bCs w:val="0"/>
          <w:color w:val="000000" w:themeColor="text1"/>
          <w:kern w:val="0"/>
          <w:szCs w:val="24"/>
          <w14:textFill>
            <w14:solidFill>
              <w14:schemeClr w14:val="tx1"/>
            </w14:solidFill>
          </w14:textFill>
        </w:rPr>
        <w:fldChar w:fldCharType="separate"/>
      </w:r>
      <w:r>
        <w:rPr>
          <w:rFonts w:ascii="Arial" w:hAnsi="Arial" w:cs="Arial"/>
          <w:b w:val="0"/>
          <w:bCs w:val="0"/>
          <w:color w:val="000000" w:themeColor="text1"/>
          <w:kern w:val="0"/>
          <w:szCs w:val="24"/>
          <w14:textFill>
            <w14:solidFill>
              <w14:schemeClr w14:val="tx1"/>
            </w14:solidFill>
          </w14:textFill>
        </w:rPr>
        <w:t>[12]</w:t>
      </w:r>
      <w:r>
        <w:rPr>
          <w:rFonts w:ascii="Arial" w:hAnsi="Arial" w:cs="Arial"/>
          <w:b w:val="0"/>
          <w:bCs w:val="0"/>
          <w:color w:val="000000" w:themeColor="text1"/>
          <w:kern w:val="0"/>
          <w:szCs w:val="24"/>
          <w14:textFill>
            <w14:solidFill>
              <w14:schemeClr w14:val="tx1"/>
            </w14:solidFill>
          </w14:textFill>
        </w:rPr>
        <w:fldChar w:fldCharType="end"/>
      </w:r>
      <w:r>
        <w:rPr>
          <w:rFonts w:ascii="Arial" w:hAnsi="Arial" w:cs="Arial"/>
          <w:b w:val="0"/>
          <w:bCs w:val="0"/>
          <w:color w:val="000000" w:themeColor="text1"/>
          <w:kern w:val="0"/>
          <w:szCs w:val="24"/>
          <w14:textFill>
            <w14:solidFill>
              <w14:schemeClr w14:val="tx1"/>
            </w14:solidFill>
          </w14:textFill>
        </w:rPr>
        <w:t xml:space="preserve"> provided the information of virus-associated and viral hallmark genes within contigs, and generated annotation files for DRAM-v </w:t>
      </w:r>
      <w:r>
        <w:rPr>
          <w:rFonts w:ascii="Arial" w:hAnsi="Arial" w:cs="Arial"/>
          <w:b w:val="0"/>
          <w:bCs w:val="0"/>
          <w:color w:val="000000" w:themeColor="text1"/>
          <w:kern w:val="0"/>
          <w:szCs w:val="24"/>
          <w14:textFill>
            <w14:solidFill>
              <w14:schemeClr w14:val="tx1"/>
            </w14:solidFill>
          </w14:textFill>
        </w:rPr>
        <w:fldChar w:fldCharType="begin"/>
      </w:r>
      <w:r>
        <w:rPr>
          <w:rFonts w:ascii="Arial" w:hAnsi="Arial" w:cs="Arial"/>
          <w:b w:val="0"/>
          <w:bCs w:val="0"/>
          <w:color w:val="000000" w:themeColor="text1"/>
          <w:kern w:val="0"/>
          <w:szCs w:val="24"/>
          <w14:textFill>
            <w14:solidFill>
              <w14:schemeClr w14:val="tx1"/>
            </w14:solidFill>
          </w14:textFill>
        </w:rPr>
        <w:instrText xml:space="preserve"> ADDIN EN.CITE &lt;EndNote&gt;&lt;Cite&gt;&lt;Author&gt;Shaffer&lt;/Author&gt;&lt;Year&gt;2020&lt;/Year&gt;&lt;RecNum&gt;178&lt;/RecNum&gt;&lt;DisplayText&gt;[13]&lt;/DisplayText&gt;&lt;record&gt;&lt;rec-number&gt;178&lt;/rec-number&gt;&lt;foreign-keys&gt;&lt;key app="EN" db-id="a2frzwzsp5rz9sea50hxrrs3frt2a0pa2wxe" timestamp="1646275695" guid="8c59ea5a-4946-43e2-8349-aa2d22cc49a2"&gt;178&lt;/key&gt;&lt;/foreign-keys&gt;&lt;ref-type name="Journal Article"&gt;17&lt;/ref-type&gt;&lt;contributors&gt;&lt;authors&gt;&lt;author&gt;Shaffer, Michael&lt;/author&gt;&lt;author&gt;Borton, Mikayla A.&lt;/author&gt;&lt;author&gt;McGivern, Bridget B.&lt;/author&gt;&lt;author&gt;Zayed, Ahmed A.&lt;/author&gt;&lt;author&gt;La Rosa, Sabina Leanti&lt;/author&gt;&lt;author&gt;Solden, Lindsey M.&lt;/author&gt;&lt;author&gt;Liu, Peng Fei&lt;/author&gt;&lt;author&gt;Narrowe, Adrienne B.&lt;/author&gt;&lt;author&gt;Rodríguez-Ramos, Josué&lt;/author&gt;&lt;author&gt;Bolduc, Benjamin&lt;/author&gt;&lt;author&gt;Gazitúa, M Consuelo&lt;/author&gt;&lt;author&gt;Daly, Rebecca A.&lt;/author&gt;&lt;author&gt;Smith, Garrett J.&lt;/author&gt;&lt;author&gt;Vik, Dean R.&lt;/author&gt;&lt;author&gt;Pope, Phil B.&lt;/author&gt;&lt;author&gt;Sullivan, Matthew B.&lt;/author&gt;&lt;author&gt;Roux, Simon&lt;/author&gt;&lt;author&gt;Wrighton, Kelly C.&lt;/author&gt;&lt;/authors&gt;&lt;/contributors&gt;&lt;titles&gt;&lt;title&gt;DRAM for distilling microbial metabolism to automate the curation of microbiome function&lt;/title&gt;&lt;secondary-title&gt;Nucleic Acids Research&lt;/secondary-title&gt;&lt;/titles&gt;&lt;periodical&gt;&lt;full-title&gt;Nucleic Acids Research&lt;/full-title&gt;&lt;abbr-1&gt;Nucleic Acids Res.&lt;/abbr-1&gt;&lt;abbr-2&gt;Nucleic Acids Res&lt;/abbr-2&gt;&lt;/periodical&gt;&lt;pages&gt;8883-8900&lt;/pages&gt;&lt;volume&gt;48&lt;/volume&gt;&lt;number&gt;16&lt;/number&gt;&lt;dates&gt;&lt;year&gt;2020&lt;/year&gt;&lt;/dates&gt;&lt;isbn&gt;0305-1048&lt;/isbn&gt;&lt;urls&gt;&lt;/urls&gt;&lt;electronic-resource-num&gt;10.1093/nar/gkaa621 %J Nucleic Acids Research&lt;/electronic-resource-num&gt;&lt;access-date&gt;3/3/2022&lt;/access-date&gt;&lt;/record&gt;&lt;/Cite&gt;&lt;/EndNote&gt;</w:instrText>
      </w:r>
      <w:r>
        <w:rPr>
          <w:rFonts w:ascii="Arial" w:hAnsi="Arial" w:cs="Arial"/>
          <w:b w:val="0"/>
          <w:bCs w:val="0"/>
          <w:color w:val="000000" w:themeColor="text1"/>
          <w:kern w:val="0"/>
          <w:szCs w:val="24"/>
          <w14:textFill>
            <w14:solidFill>
              <w14:schemeClr w14:val="tx1"/>
            </w14:solidFill>
          </w14:textFill>
        </w:rPr>
        <w:fldChar w:fldCharType="separate"/>
      </w:r>
      <w:r>
        <w:rPr>
          <w:rFonts w:ascii="Arial" w:hAnsi="Arial" w:cs="Arial"/>
          <w:b w:val="0"/>
          <w:bCs w:val="0"/>
          <w:color w:val="000000" w:themeColor="text1"/>
          <w:kern w:val="0"/>
          <w:szCs w:val="24"/>
          <w14:textFill>
            <w14:solidFill>
              <w14:schemeClr w14:val="tx1"/>
            </w14:solidFill>
          </w14:textFill>
        </w:rPr>
        <w:t>[13]</w:t>
      </w:r>
      <w:r>
        <w:rPr>
          <w:rFonts w:ascii="Arial" w:hAnsi="Arial" w:cs="Arial"/>
          <w:b w:val="0"/>
          <w:bCs w:val="0"/>
          <w:color w:val="000000" w:themeColor="text1"/>
          <w:kern w:val="0"/>
          <w:szCs w:val="24"/>
          <w14:textFill>
            <w14:solidFill>
              <w14:schemeClr w14:val="tx1"/>
            </w14:solidFill>
          </w14:textFill>
        </w:rPr>
        <w:fldChar w:fldCharType="end"/>
      </w:r>
      <w:r>
        <w:rPr>
          <w:rFonts w:ascii="Arial" w:hAnsi="Arial" w:cs="Arial"/>
          <w:b w:val="0"/>
          <w:bCs w:val="0"/>
          <w:color w:val="000000" w:themeColor="text1"/>
          <w:kern w:val="0"/>
          <w:szCs w:val="24"/>
          <w14:textFill>
            <w14:solidFill>
              <w14:schemeClr w14:val="tx1"/>
            </w14:solidFill>
          </w14:textFill>
        </w:rPr>
        <w:t xml:space="preserve"> to perform the parallel AMG identification. The genes with M/F flag assignments and auxiliary scores of ≤ 3 were regarded as putative AMGs. In order to avoid false positive results, only the AMGs located between two virus-associated or viral hallmark genes and those located alongside the viral-associated or viral hallmark genes were selected for further analysis </w:t>
      </w:r>
      <w:r>
        <w:rPr>
          <w:rFonts w:ascii="Arial" w:hAnsi="Arial" w:cs="Arial"/>
          <w:b w:val="0"/>
          <w:bCs w:val="0"/>
          <w:color w:val="000000" w:themeColor="text1"/>
          <w:kern w:val="0"/>
          <w:szCs w:val="24"/>
          <w14:textFill>
            <w14:solidFill>
              <w14:schemeClr w14:val="tx1"/>
            </w14:solidFill>
          </w14:textFill>
        </w:rPr>
        <w:fldChar w:fldCharType="begin"/>
      </w:r>
      <w:r>
        <w:rPr>
          <w:rFonts w:ascii="Arial" w:hAnsi="Arial" w:cs="Arial"/>
          <w:b w:val="0"/>
          <w:bCs w:val="0"/>
          <w:color w:val="000000" w:themeColor="text1"/>
          <w:kern w:val="0"/>
          <w:szCs w:val="24"/>
          <w14:textFill>
            <w14:solidFill>
              <w14:schemeClr w14:val="tx1"/>
            </w14:solidFill>
          </w14:textFill>
        </w:rPr>
        <w:instrText xml:space="preserve"> ADDIN EN.CITE &lt;EndNote&gt;&lt;Cite&gt;&lt;Author&gt;Pratama&lt;/Author&gt;&lt;Year&gt;2021&lt;/Year&gt;&lt;RecNum&gt;29&lt;/RecNum&gt;&lt;DisplayText&gt;[14]&lt;/DisplayText&gt;&lt;record&gt;&lt;rec-number&gt;29&lt;/rec-number&gt;&lt;foreign-keys&gt;&lt;key app="EN" db-id="a2frzwzsp5rz9sea50hxrrs3frt2a0pa2wxe" timestamp="1635387502" guid="730213e0-f1e8-4f09-8825-a6da9006c903"&gt;29&lt;/key&gt;&lt;/foreign-keys&gt;&lt;ref-type name="Journal Article"&gt;17&lt;/ref-type&gt;&lt;contributors&gt;&lt;authors&gt;&lt;author&gt;Pratama, Akbar Adjie&lt;/author&gt;&lt;author&gt;Bolduc, Benjamin&lt;/author&gt;&lt;author&gt;Zayed, Ahmed A.&lt;/author&gt;&lt;author&gt;Zhong, Zhi Ping&lt;/author&gt;&lt;author&gt;Guo, Jia Rong&lt;/author&gt;&lt;author&gt;Vik, Dean R.&lt;/author&gt;&lt;author&gt;Gazitúa, Maria Consuelo&lt;/author&gt;&lt;author&gt;Wainaina, James M.&lt;/author&gt;&lt;author&gt;Roux, Simon&lt;/author&gt;&lt;author&gt;Sullivan, Matthew B.&lt;/author&gt;&lt;/authors&gt;&lt;secondary-authors&gt;&lt;author&gt;Lefkowitz, Elliot&lt;/author&gt;&lt;/secondary-authors&gt;&lt;/contributors&gt;&lt;titles&gt;&lt;title&gt;Expanding standards in viromics: in silico evaluation of dsDNA viral genome identification, classification, and auxiliary metabolic gene curation&lt;/title&gt;&lt;secondary-title&gt;PeerJ&lt;/secondary-title&gt;&lt;alt-title&gt;PeerJ&lt;/alt-title&gt;&lt;/titles&gt;&lt;periodical&gt;&lt;full-title&gt;PeerJ&lt;/full-title&gt;&lt;abbr-1&gt;PeerJ&lt;/abbr-1&gt;&lt;abbr-2&gt;PeerJ&lt;/abbr-2&gt;&lt;/periodical&gt;&lt;alt-periodical&gt;&lt;full-title&gt;PeerJ&lt;/full-title&gt;&lt;abbr-1&gt;PeerJ&lt;/abbr-1&gt;&lt;abbr-2&gt;PeerJ&lt;/abbr-2&gt;&lt;/alt-periodical&gt;&lt;pages&gt;e11447&lt;/pages&gt;&lt;volume&gt;9&lt;/volume&gt;&lt;keywords&gt;&lt;keyword&gt;Benchmarks&lt;/keyword&gt;&lt;keyword&gt;Standard operating procedure&lt;/keyword&gt;&lt;keyword&gt;Viruses&lt;/keyword&gt;&lt;keyword&gt;Viromics&lt;/keyword&gt;&lt;keyword&gt;Ecology&lt;/keyword&gt;&lt;/keywords&gt;&lt;dates&gt;&lt;year&gt;2021&lt;/year&gt;&lt;pub-dates&gt;&lt;date&gt;2021/06/14&lt;/date&gt;&lt;/pub-dates&gt;&lt;/dates&gt;&lt;isbn&gt;2167-8359&lt;/isbn&gt;&lt;urls&gt;&lt;/urls&gt;&lt;electronic-resource-num&gt;10.7717/peerj.11447&lt;/electronic-resource-num&gt;&lt;/record&gt;&lt;/Cite&gt;&lt;/EndNote&gt;</w:instrText>
      </w:r>
      <w:r>
        <w:rPr>
          <w:rFonts w:ascii="Arial" w:hAnsi="Arial" w:cs="Arial"/>
          <w:b w:val="0"/>
          <w:bCs w:val="0"/>
          <w:color w:val="000000" w:themeColor="text1"/>
          <w:kern w:val="0"/>
          <w:szCs w:val="24"/>
          <w14:textFill>
            <w14:solidFill>
              <w14:schemeClr w14:val="tx1"/>
            </w14:solidFill>
          </w14:textFill>
        </w:rPr>
        <w:fldChar w:fldCharType="separate"/>
      </w:r>
      <w:r>
        <w:rPr>
          <w:rFonts w:ascii="Arial" w:hAnsi="Arial" w:cs="Arial"/>
          <w:b w:val="0"/>
          <w:bCs w:val="0"/>
          <w:color w:val="000000" w:themeColor="text1"/>
          <w:kern w:val="0"/>
          <w:szCs w:val="24"/>
          <w14:textFill>
            <w14:solidFill>
              <w14:schemeClr w14:val="tx1"/>
            </w14:solidFill>
          </w14:textFill>
        </w:rPr>
        <w:t>[14]</w:t>
      </w:r>
      <w:r>
        <w:rPr>
          <w:rFonts w:ascii="Arial" w:hAnsi="Arial" w:cs="Arial"/>
          <w:b w:val="0"/>
          <w:bCs w:val="0"/>
          <w:color w:val="000000" w:themeColor="text1"/>
          <w:kern w:val="0"/>
          <w:szCs w:val="24"/>
          <w14:textFill>
            <w14:solidFill>
              <w14:schemeClr w14:val="tx1"/>
            </w14:solidFill>
          </w14:textFill>
        </w:rPr>
        <w:fldChar w:fldCharType="end"/>
      </w:r>
      <w:r>
        <w:rPr>
          <w:rFonts w:ascii="Arial" w:hAnsi="Arial" w:cs="Arial"/>
          <w:b w:val="0"/>
          <w:bCs w:val="0"/>
          <w:color w:val="000000" w:themeColor="text1"/>
          <w:kern w:val="0"/>
          <w:szCs w:val="24"/>
          <w14:textFill>
            <w14:solidFill>
              <w14:schemeClr w14:val="tx1"/>
            </w14:solidFill>
          </w14:textFill>
        </w:rPr>
        <w:t xml:space="preserve">. Phyre2 </w:t>
      </w:r>
      <w:r>
        <w:rPr>
          <w:rFonts w:ascii="Arial" w:hAnsi="Arial" w:cs="Arial"/>
          <w:b w:val="0"/>
          <w:bCs w:val="0"/>
          <w:color w:val="000000" w:themeColor="text1"/>
          <w:kern w:val="0"/>
          <w:szCs w:val="24"/>
          <w14:textFill>
            <w14:solidFill>
              <w14:schemeClr w14:val="tx1"/>
            </w14:solidFill>
          </w14:textFill>
        </w:rPr>
        <w:fldChar w:fldCharType="begin"/>
      </w:r>
      <w:r>
        <w:rPr>
          <w:rFonts w:ascii="Arial" w:hAnsi="Arial" w:cs="Arial"/>
          <w:b w:val="0"/>
          <w:bCs w:val="0"/>
          <w:color w:val="000000" w:themeColor="text1"/>
          <w:kern w:val="0"/>
          <w:szCs w:val="24"/>
          <w14:textFill>
            <w14:solidFill>
              <w14:schemeClr w14:val="tx1"/>
            </w14:solidFill>
          </w14:textFill>
        </w:rPr>
        <w:instrText xml:space="preserve"> ADDIN EN.CITE &lt;EndNote&gt;&lt;Cite&gt;&lt;Author&gt;Kelley&lt;/Author&gt;&lt;Year&gt;2015&lt;/Year&gt;&lt;RecNum&gt;31&lt;/RecNum&gt;&lt;DisplayText&gt;[15]&lt;/DisplayText&gt;&lt;record&gt;&lt;rec-number&gt;31&lt;/rec-number&gt;&lt;foreign-keys&gt;&lt;key app="EN" db-id="a2frzwzsp5rz9sea50hxrrs3frt2a0pa2wxe" timestamp="1635387887" guid="a7c81ab7-6ffe-4805-b2de-75b3590d0ece"&gt;31&lt;/key&gt;&lt;/foreign-keys&gt;&lt;ref-type name="Journal Article"&gt;17&lt;/ref-type&gt;&lt;contributors&gt;&lt;authors&gt;&lt;author&gt;Kelley, Lawrence A.&lt;/author&gt;&lt;author&gt;Mezulis, Stefans&lt;/author&gt;&lt;author&gt;Yates, Christopher M.&lt;/author&gt;&lt;author&gt;Wass, Mark N.&lt;/author&gt;&lt;author&gt;Sternberg, Michael J. E.&lt;/author&gt;&lt;/authors&gt;&lt;/contributors&gt;&lt;titles&gt;&lt;title&gt;The Phyre2 web portal for protein modeling, prediction and analysis&lt;/title&gt;&lt;secondary-title&gt;Nature Protocols&lt;/secondary-title&gt;&lt;/titles&gt;&lt;periodical&gt;&lt;full-title&gt;Nature Protocols&lt;/full-title&gt;&lt;abbr-1&gt;Nat. Protoc.&lt;/abbr-1&gt;&lt;abbr-2&gt;Nat Protoc&lt;/abbr-2&gt;&lt;/periodical&gt;&lt;pages&gt;845-858&lt;/pages&gt;&lt;volume&gt;10&lt;/volume&gt;&lt;number&gt;6&lt;/number&gt;&lt;dates&gt;&lt;year&gt;2015&lt;/year&gt;&lt;pub-dates&gt;&lt;date&gt;2015/06/01&lt;/date&gt;&lt;/pub-dates&gt;&lt;/dates&gt;&lt;isbn&gt;1750-2799&lt;/isbn&gt;&lt;urls&gt;&lt;/urls&gt;&lt;electronic-resource-num&gt;10.1038/nprot.2015.053&lt;/electronic-resource-num&gt;&lt;/record&gt;&lt;/Cite&gt;&lt;/EndNote&gt;</w:instrText>
      </w:r>
      <w:r>
        <w:rPr>
          <w:rFonts w:ascii="Arial" w:hAnsi="Arial" w:cs="Arial"/>
          <w:b w:val="0"/>
          <w:bCs w:val="0"/>
          <w:color w:val="000000" w:themeColor="text1"/>
          <w:kern w:val="0"/>
          <w:szCs w:val="24"/>
          <w14:textFill>
            <w14:solidFill>
              <w14:schemeClr w14:val="tx1"/>
            </w14:solidFill>
          </w14:textFill>
        </w:rPr>
        <w:fldChar w:fldCharType="separate"/>
      </w:r>
      <w:r>
        <w:rPr>
          <w:rFonts w:ascii="Arial" w:hAnsi="Arial" w:cs="Arial"/>
          <w:b w:val="0"/>
          <w:bCs w:val="0"/>
          <w:color w:val="000000" w:themeColor="text1"/>
          <w:kern w:val="0"/>
          <w:szCs w:val="24"/>
          <w14:textFill>
            <w14:solidFill>
              <w14:schemeClr w14:val="tx1"/>
            </w14:solidFill>
          </w14:textFill>
        </w:rPr>
        <w:t>[15]</w:t>
      </w:r>
      <w:r>
        <w:rPr>
          <w:rFonts w:ascii="Arial" w:hAnsi="Arial" w:cs="Arial"/>
          <w:b w:val="0"/>
          <w:bCs w:val="0"/>
          <w:color w:val="000000" w:themeColor="text1"/>
          <w:kern w:val="0"/>
          <w:szCs w:val="24"/>
          <w14:textFill>
            <w14:solidFill>
              <w14:schemeClr w14:val="tx1"/>
            </w14:solidFill>
          </w14:textFill>
        </w:rPr>
        <w:fldChar w:fldCharType="end"/>
      </w:r>
      <w:r>
        <w:rPr>
          <w:rFonts w:ascii="Arial" w:hAnsi="Arial" w:cs="Arial"/>
          <w:b w:val="0"/>
          <w:bCs w:val="0"/>
          <w:color w:val="000000" w:themeColor="text1"/>
          <w:kern w:val="0"/>
          <w:szCs w:val="24"/>
          <w14:textFill>
            <w14:solidFill>
              <w14:schemeClr w14:val="tx1"/>
            </w14:solidFill>
          </w14:textFill>
        </w:rPr>
        <w:t xml:space="preserve"> was applied to identify tertiary protein structures with confidence &gt; 90% and coverage &gt; 70%. PROSITE </w:t>
      </w:r>
      <w:r>
        <w:rPr>
          <w:rFonts w:ascii="Arial" w:hAnsi="Arial" w:cs="Arial"/>
          <w:b w:val="0"/>
          <w:bCs w:val="0"/>
          <w:color w:val="000000" w:themeColor="text1"/>
          <w:kern w:val="0"/>
          <w:szCs w:val="24"/>
          <w14:textFill>
            <w14:solidFill>
              <w14:schemeClr w14:val="tx1"/>
            </w14:solidFill>
          </w14:textFill>
        </w:rPr>
        <w:fldChar w:fldCharType="begin"/>
      </w:r>
      <w:r>
        <w:rPr>
          <w:rFonts w:ascii="Arial" w:hAnsi="Arial" w:cs="Arial"/>
          <w:b w:val="0"/>
          <w:bCs w:val="0"/>
          <w:color w:val="000000" w:themeColor="text1"/>
          <w:kern w:val="0"/>
          <w:szCs w:val="24"/>
          <w14:textFill>
            <w14:solidFill>
              <w14:schemeClr w14:val="tx1"/>
            </w14:solidFill>
          </w14:textFill>
        </w:rPr>
        <w:instrText xml:space="preserve"> ADDIN EN.CITE &lt;EndNote&gt;&lt;Cite&gt;&lt;Author&gt;Sigrist&lt;/Author&gt;&lt;Year&gt;2012&lt;/Year&gt;&lt;RecNum&gt;30&lt;/RecNum&gt;&lt;DisplayText&gt;[16]&lt;/DisplayText&gt;&lt;record&gt;&lt;rec-number&gt;30&lt;/rec-number&gt;&lt;foreign-keys&gt;&lt;key app="EN" db-id="a2frzwzsp5rz9sea50hxrrs3frt2a0pa2wxe" timestamp="1635387727" guid="e26cf62c-b4cd-443f-8e8c-4838b872244c"&gt;30&lt;/key&gt;&lt;/foreign-keys&gt;&lt;ref-type name="Journal Article"&gt;17&lt;/ref-type&gt;&lt;contributors&gt;&lt;authors&gt;&lt;author&gt;Sigrist, Christian J. A.&lt;/author&gt;&lt;author&gt;de Castro, Edouard&lt;/author&gt;&lt;author&gt;Cerutti, Lorenzo&lt;/author&gt;&lt;author&gt;Cuche, Béatrice A.&lt;/author&gt;&lt;author&gt;Hulo, Nicolas&lt;/author&gt;&lt;author&gt;Bridge, Alan&lt;/author&gt;&lt;author&gt;Bougueleret, Lydie&lt;/author&gt;&lt;author&gt;Xenarios, Ioannis&lt;/author&gt;&lt;/authors&gt;&lt;/contributors&gt;&lt;titles&gt;&lt;title&gt;New and continuing developments at PROSITE&lt;/title&gt;&lt;secondary-title&gt;Nucleic Acids Research&lt;/secondary-title&gt;&lt;/titles&gt;&lt;periodical&gt;&lt;full-title&gt;Nucleic Acids Research&lt;/full-title&gt;&lt;abbr-1&gt;Nucleic Acids Res.&lt;/abbr-1&gt;&lt;abbr-2&gt;Nucleic Acids Res&lt;/abbr-2&gt;&lt;/periodical&gt;&lt;pages&gt;D344-D347&lt;/pages&gt;&lt;volume&gt;41&lt;/volume&gt;&lt;number&gt;D1&lt;/number&gt;&lt;dates&gt;&lt;year&gt;2012&lt;/year&gt;&lt;/dates&gt;&lt;isbn&gt;0305-1048&lt;/isbn&gt;&lt;urls&gt;&lt;/urls&gt;&lt;electronic-resource-num&gt;10.1093/nar/gks1067 %J Nucleic Acids Research&lt;/electronic-resource-num&gt;&lt;access-date&gt;10/28/2021&lt;/access-date&gt;&lt;/record&gt;&lt;/Cite&gt;&lt;/EndNote&gt;</w:instrText>
      </w:r>
      <w:r>
        <w:rPr>
          <w:rFonts w:ascii="Arial" w:hAnsi="Arial" w:cs="Arial"/>
          <w:b w:val="0"/>
          <w:bCs w:val="0"/>
          <w:color w:val="000000" w:themeColor="text1"/>
          <w:kern w:val="0"/>
          <w:szCs w:val="24"/>
          <w14:textFill>
            <w14:solidFill>
              <w14:schemeClr w14:val="tx1"/>
            </w14:solidFill>
          </w14:textFill>
        </w:rPr>
        <w:fldChar w:fldCharType="separate"/>
      </w:r>
      <w:r>
        <w:rPr>
          <w:rFonts w:ascii="Arial" w:hAnsi="Arial" w:cs="Arial"/>
          <w:b w:val="0"/>
          <w:bCs w:val="0"/>
          <w:color w:val="000000" w:themeColor="text1"/>
          <w:kern w:val="0"/>
          <w:szCs w:val="24"/>
          <w14:textFill>
            <w14:solidFill>
              <w14:schemeClr w14:val="tx1"/>
            </w14:solidFill>
          </w14:textFill>
        </w:rPr>
        <w:t>[16]</w:t>
      </w:r>
      <w:r>
        <w:rPr>
          <w:rFonts w:ascii="Arial" w:hAnsi="Arial" w:cs="Arial"/>
          <w:b w:val="0"/>
          <w:bCs w:val="0"/>
          <w:color w:val="000000" w:themeColor="text1"/>
          <w:kern w:val="0"/>
          <w:szCs w:val="24"/>
          <w14:textFill>
            <w14:solidFill>
              <w14:schemeClr w14:val="tx1"/>
            </w14:solidFill>
          </w14:textFill>
        </w:rPr>
        <w:fldChar w:fldCharType="end"/>
      </w:r>
      <w:r>
        <w:rPr>
          <w:rFonts w:ascii="Arial" w:hAnsi="Arial" w:cs="Arial"/>
          <w:b w:val="0"/>
          <w:bCs w:val="0"/>
          <w:color w:val="000000" w:themeColor="text1"/>
          <w:kern w:val="0"/>
          <w:szCs w:val="24"/>
          <w14:textFill>
            <w14:solidFill>
              <w14:schemeClr w14:val="tx1"/>
            </w14:solidFill>
          </w14:textFill>
        </w:rPr>
        <w:t xml:space="preserve"> was used to analyze conserved regions and active sites of putative AMGs based on PROSITE collection of motifs.</w:t>
      </w:r>
      <w:r>
        <w:rPr>
          <w:rFonts w:ascii="Arial" w:hAnsi="Arial" w:cs="Arial"/>
          <w:b w:val="0"/>
          <w:bCs w:val="0"/>
        </w:rPr>
        <w:t xml:space="preserve"> </w:t>
      </w:r>
      <w:r>
        <w:rPr>
          <w:rFonts w:ascii="Arial" w:hAnsi="Arial" w:cs="Arial"/>
          <w:b w:val="0"/>
          <w:bCs w:val="0"/>
          <w:color w:val="000000" w:themeColor="text1"/>
          <w:kern w:val="0"/>
          <w:szCs w:val="24"/>
          <w14:textFill>
            <w14:solidFill>
              <w14:schemeClr w14:val="tx1"/>
            </w14:solidFill>
          </w14:textFill>
        </w:rPr>
        <w:t>Genome maps for AMG-containing viral contigs were visualized based on COG, VIBRANT, VirSorter2 and DRAM-v annotations.</w:t>
      </w:r>
    </w:p>
    <w:p>
      <w:pPr>
        <w:spacing w:line="360" w:lineRule="auto"/>
        <w:contextualSpacing/>
        <w:rPr>
          <w:rFonts w:ascii="Arial" w:hAnsi="Arial" w:cs="Arial"/>
          <w:color w:val="000000" w:themeColor="text1"/>
          <w:kern w:val="0"/>
          <w:sz w:val="24"/>
          <w:szCs w:val="24"/>
          <w14:textFill>
            <w14:solidFill>
              <w14:schemeClr w14:val="tx1"/>
            </w14:solidFill>
          </w14:textFill>
        </w:rPr>
      </w:pPr>
    </w:p>
    <w:p>
      <w:pPr>
        <w:pStyle w:val="25"/>
      </w:pPr>
      <w:r>
        <w:t>Supplementa</w:t>
      </w:r>
      <w:r>
        <w:rPr>
          <w:rFonts w:hint="eastAsia"/>
        </w:rPr>
        <w:t>l</w:t>
      </w:r>
      <w:r>
        <w:t xml:space="preserve"> Results</w:t>
      </w:r>
    </w:p>
    <w:p>
      <w:pPr>
        <w:pStyle w:val="3"/>
        <w:spacing w:line="360" w:lineRule="auto"/>
        <w:rPr>
          <w:rFonts w:ascii="Arial" w:hAnsi="Arial" w:cs="Arial"/>
          <w:b w:val="0"/>
          <w:bCs w:val="0"/>
          <w:i/>
          <w:iCs/>
          <w:szCs w:val="28"/>
        </w:rPr>
      </w:pPr>
      <w:r>
        <w:rPr>
          <w:rFonts w:ascii="Arial" w:hAnsi="Arial" w:cs="Arial"/>
          <w:b w:val="0"/>
          <w:bCs w:val="0"/>
          <w:i/>
          <w:iCs/>
          <w:szCs w:val="28"/>
        </w:rPr>
        <w:t>Phosphorus dynamics in the MR-SNWDC</w:t>
      </w:r>
    </w:p>
    <w:p>
      <w:pPr>
        <w:pStyle w:val="3"/>
        <w:spacing w:line="360" w:lineRule="auto"/>
        <w:rPr>
          <w:rFonts w:ascii="Arial" w:hAnsi="Arial" w:cs="Arial"/>
          <w:b w:val="0"/>
          <w:bCs w:val="0"/>
          <w:szCs w:val="24"/>
        </w:rPr>
      </w:pPr>
      <w:r>
        <w:rPr>
          <w:rFonts w:ascii="Arial" w:hAnsi="Arial" w:cs="Arial"/>
          <w:b w:val="0"/>
          <w:bCs w:val="0"/>
          <w:szCs w:val="24"/>
        </w:rPr>
        <w:t>Over seven years (2015-2021) of water quality monitoring in the MR-SWNDC provided evidence of long-lasting limited total phosphorus (TP) concentration below the national standard threshold of</w:t>
      </w:r>
      <w:r>
        <w:rPr>
          <w:rFonts w:cs="Times New Roman"/>
          <w:b w:val="0"/>
          <w:bCs w:val="0"/>
          <w:szCs w:val="24"/>
        </w:rPr>
        <w:t xml:space="preserve"> </w:t>
      </w:r>
      <w:r>
        <w:rPr>
          <w:rFonts w:eastAsia="宋体" w:cs="Times New Roman"/>
          <w:b w:val="0"/>
          <w:bCs w:val="0"/>
          <w:szCs w:val="24"/>
        </w:rPr>
        <w:t>Ⅰ</w:t>
      </w:r>
      <w:r>
        <w:rPr>
          <w:rFonts w:cs="Times New Roman"/>
          <w:b w:val="0"/>
          <w:bCs w:val="0"/>
          <w:szCs w:val="24"/>
        </w:rPr>
        <w:t xml:space="preserve"> </w:t>
      </w:r>
      <w:r>
        <w:rPr>
          <w:rFonts w:ascii="Arial" w:hAnsi="Arial" w:cs="Arial"/>
          <w:b w:val="0"/>
          <w:bCs w:val="0"/>
          <w:szCs w:val="24"/>
        </w:rPr>
        <w:t>class surface water (≤ 0.02 mg/L), with the annual average TP content ND~0.01 mg/L in the last three years (</w:t>
      </w:r>
      <w:r>
        <w:rPr>
          <w:rFonts w:ascii="Arial" w:hAnsi="Arial" w:cs="Arial"/>
          <w:b w:val="0"/>
          <w:bCs w:val="0"/>
          <w:color w:val="000000" w:themeColor="text1"/>
          <w:kern w:val="0"/>
          <w:szCs w:val="24"/>
          <w14:textFill>
            <w14:solidFill>
              <w14:schemeClr w14:val="tx1"/>
            </w14:solidFill>
          </w14:textFill>
        </w:rPr>
        <w:t>Fig. S1a)</w:t>
      </w:r>
      <w:r>
        <w:rPr>
          <w:rFonts w:ascii="Arial" w:hAnsi="Arial" w:cs="Arial"/>
          <w:b w:val="0"/>
          <w:bCs w:val="0"/>
          <w:szCs w:val="24"/>
        </w:rPr>
        <w:t>. Importantly, a rapid decay of annual average TP content showed presence along the main canal, decreasing from 0.0112 mg/L in the upstream Henan province to 0.0065 mg/L in downstream Beijing and Tianjin municipals (</w:t>
      </w:r>
      <w:r>
        <w:rPr>
          <w:rFonts w:ascii="Arial" w:hAnsi="Arial" w:cs="Arial"/>
          <w:b w:val="0"/>
          <w:bCs w:val="0"/>
          <w:color w:val="000000" w:themeColor="text1"/>
          <w:kern w:val="0"/>
          <w:szCs w:val="24"/>
          <w14:textFill>
            <w14:solidFill>
              <w14:schemeClr w14:val="tx1"/>
            </w14:solidFill>
          </w14:textFill>
        </w:rPr>
        <w:t>Fig. S1b)</w:t>
      </w:r>
    </w:p>
    <w:p>
      <w:pPr>
        <w:spacing w:line="360" w:lineRule="auto"/>
      </w:pPr>
    </w:p>
    <w:p>
      <w:pPr>
        <w:pStyle w:val="3"/>
        <w:spacing w:line="360" w:lineRule="auto"/>
        <w:contextualSpacing/>
        <w:rPr>
          <w:rFonts w:ascii="Arial" w:hAnsi="Arial" w:cs="Arial"/>
          <w:b w:val="0"/>
          <w:bCs w:val="0"/>
          <w:i/>
          <w:iCs/>
          <w:szCs w:val="28"/>
        </w:rPr>
      </w:pPr>
      <w:r>
        <w:rPr>
          <w:rFonts w:ascii="Arial" w:hAnsi="Arial" w:cs="Arial"/>
          <w:b w:val="0"/>
          <w:bCs w:val="0"/>
          <w:i/>
          <w:iCs/>
          <w:szCs w:val="28"/>
        </w:rPr>
        <w:t>Relationship between MR-SNWDC vOTUs and publicly reported viral sequences in the IMG/VR database</w:t>
      </w:r>
    </w:p>
    <w:p>
      <w:pPr>
        <w:pStyle w:val="3"/>
        <w:spacing w:line="360" w:lineRule="auto"/>
        <w:contextualSpacing/>
        <w:rPr>
          <w:rFonts w:ascii="Arial" w:hAnsi="Arial" w:cs="Arial"/>
          <w:szCs w:val="24"/>
        </w:rPr>
      </w:pPr>
      <w:r>
        <w:rPr>
          <w:rFonts w:ascii="Arial" w:hAnsi="Arial" w:cs="Arial"/>
          <w:b w:val="0"/>
          <w:bCs w:val="0"/>
          <w:szCs w:val="24"/>
        </w:rPr>
        <w:t xml:space="preserve">Gene-sharing network analysis was performed to evaluate the relationship between 40,261 vOTUs in the MR-SNWDC and 37,364 viral sequences (&gt;90% completeness) from a broader diversity of freshwater ecosystems in the IMG/VR database </w:t>
      </w:r>
      <w:r>
        <w:rPr>
          <w:rFonts w:ascii="Arial" w:hAnsi="Arial" w:cs="Arial"/>
          <w:b w:val="0"/>
          <w:bCs w:val="0"/>
          <w:color w:val="000000" w:themeColor="text1"/>
          <w:kern w:val="0"/>
          <w:szCs w:val="24"/>
          <w14:textFill>
            <w14:solidFill>
              <w14:schemeClr w14:val="tx1"/>
            </w14:solidFill>
          </w14:textFill>
        </w:rPr>
        <w:fldChar w:fldCharType="begin"/>
      </w:r>
      <w:r>
        <w:rPr>
          <w:rFonts w:ascii="Arial" w:hAnsi="Arial" w:cs="Arial"/>
          <w:b w:val="0"/>
          <w:bCs w:val="0"/>
          <w:color w:val="000000" w:themeColor="text1"/>
          <w:kern w:val="0"/>
          <w:szCs w:val="24"/>
          <w14:textFill>
            <w14:solidFill>
              <w14:schemeClr w14:val="tx1"/>
            </w14:solidFill>
          </w14:textFill>
        </w:rPr>
        <w:instrText xml:space="preserve"> ADDIN EN.CITE &lt;EndNote&gt;&lt;Cite&gt;&lt;Author&gt;Roux&lt;/Author&gt;&lt;Year&gt;2020&lt;/Year&gt;&lt;RecNum&gt;53&lt;/RecNum&gt;&lt;DisplayText&gt;[1]&lt;/DisplayText&gt;&lt;record&gt;&lt;rec-number&gt;53&lt;/rec-number&gt;&lt;foreign-keys&gt;&lt;key app="EN" db-id="a2frzwzsp5rz9sea50hxrrs3frt2a0pa2wxe" timestamp="1635403286" guid="e0fdce05-9db5-4064-a4b4-34195005e072"&gt;53&lt;/key&gt;&lt;/foreign-keys&gt;&lt;ref-type name="Journal Article"&gt;17&lt;/ref-type&gt;&lt;contributors&gt;&lt;authors&gt;&lt;author&gt;Roux, Simon&lt;/author&gt;&lt;author&gt;Páez-Espino, David&lt;/author&gt;&lt;author&gt;Chen, I-Min A.&lt;/author&gt;&lt;author&gt;Palaniappan, Krishna&lt;/author&gt;&lt;author&gt;Ratner, Anna&lt;/author&gt;&lt;author&gt;Chu, Ken&lt;/author&gt;&lt;author&gt;Reddy, T. B. K.&lt;/author&gt;&lt;author&gt;Nayfach, Stephen&lt;/author&gt;&lt;author&gt;Schulz, Frederik&lt;/author&gt;&lt;author&gt;Call, Lee&lt;/author&gt;&lt;author&gt;Neches, Russell Y.&lt;/author&gt;&lt;author&gt;Woyke, Tanja&lt;/author&gt;&lt;author&gt;Ivanova, Natalia N.&lt;/author&gt;&lt;author&gt;Eloe-Fadrosh, Emiley A.&lt;/author&gt;&lt;author&gt;Kyrpides, Nikos C.&lt;/author&gt;&lt;/authors&gt;&lt;/contributors&gt;&lt;titles&gt;&lt;title&gt;IMG/VR v3: an integrated ecological and evolutionary framework for interrogating genomes of uncultivated viruses&lt;/title&gt;&lt;secondary-title&gt;Nucleic Acids Research&lt;/secondary-title&gt;&lt;/titles&gt;&lt;periodical&gt;&lt;full-title&gt;Nucleic Acids Research&lt;/full-title&gt;&lt;abbr-1&gt;Nucleic Acids Res.&lt;/abbr-1&gt;&lt;abbr-2&gt;Nucleic Acids Res&lt;/abbr-2&gt;&lt;/periodical&gt;&lt;pages&gt;D764-D775&lt;/pages&gt;&lt;volume&gt;49&lt;/volume&gt;&lt;number&gt;D1&lt;/number&gt;&lt;dates&gt;&lt;year&gt;2020&lt;/year&gt;&lt;/dates&gt;&lt;isbn&gt;0305-1048&lt;/isbn&gt;&lt;urls&gt;&lt;/urls&gt;&lt;electronic-resource-num&gt;10.1093/nar/gkaa946 %J Nucleic Acids Research&lt;/electronic-resource-num&gt;&lt;access-date&gt;10/28/2021&lt;/access-date&gt;&lt;/record&gt;&lt;/Cite&gt;&lt;/EndNote&gt;</w:instrText>
      </w:r>
      <w:r>
        <w:rPr>
          <w:rFonts w:ascii="Arial" w:hAnsi="Arial" w:cs="Arial"/>
          <w:b w:val="0"/>
          <w:bCs w:val="0"/>
          <w:color w:val="000000" w:themeColor="text1"/>
          <w:kern w:val="0"/>
          <w:szCs w:val="24"/>
          <w14:textFill>
            <w14:solidFill>
              <w14:schemeClr w14:val="tx1"/>
            </w14:solidFill>
          </w14:textFill>
        </w:rPr>
        <w:fldChar w:fldCharType="separate"/>
      </w:r>
      <w:r>
        <w:rPr>
          <w:rFonts w:ascii="Arial" w:hAnsi="Arial" w:cs="Arial"/>
          <w:b w:val="0"/>
          <w:bCs w:val="0"/>
          <w:color w:val="000000" w:themeColor="text1"/>
          <w:kern w:val="0"/>
          <w:szCs w:val="24"/>
          <w14:textFill>
            <w14:solidFill>
              <w14:schemeClr w14:val="tx1"/>
            </w14:solidFill>
          </w14:textFill>
        </w:rPr>
        <w:t>[1]</w:t>
      </w:r>
      <w:r>
        <w:rPr>
          <w:rFonts w:ascii="Arial" w:hAnsi="Arial" w:cs="Arial"/>
          <w:b w:val="0"/>
          <w:bCs w:val="0"/>
          <w:color w:val="000000" w:themeColor="text1"/>
          <w:kern w:val="0"/>
          <w:szCs w:val="24"/>
          <w14:textFill>
            <w14:solidFill>
              <w14:schemeClr w14:val="tx1"/>
            </w14:solidFill>
          </w14:textFill>
        </w:rPr>
        <w:fldChar w:fldCharType="end"/>
      </w:r>
      <w:r>
        <w:rPr>
          <w:rFonts w:ascii="Arial" w:hAnsi="Arial" w:cs="Arial"/>
          <w:b w:val="0"/>
          <w:bCs w:val="0"/>
          <w:color w:val="000000" w:themeColor="text1"/>
          <w:kern w:val="0"/>
          <w:szCs w:val="24"/>
          <w14:textFill>
            <w14:solidFill>
              <w14:schemeClr w14:val="tx1"/>
            </w14:solidFill>
          </w14:textFill>
        </w:rPr>
        <w:t xml:space="preserve">. Around half of vOTUs in the canal </w:t>
      </w:r>
      <w:r>
        <w:rPr>
          <w:rFonts w:ascii="Arial" w:hAnsi="Arial" w:cs="Arial"/>
          <w:b w:val="0"/>
          <w:bCs w:val="0"/>
          <w:szCs w:val="24"/>
        </w:rPr>
        <w:t>were assigned to 7,389 viral clusters (VCs) at the genus level, with 68.2% VCs not including viruses from any other ecosystems in the IMG/VR database (</w:t>
      </w:r>
      <w:bookmarkStart w:id="3" w:name="OLE_LINK1"/>
      <w:r>
        <w:rPr>
          <w:rFonts w:ascii="Arial" w:hAnsi="Arial" w:cs="Arial"/>
          <w:b w:val="0"/>
          <w:bCs w:val="0"/>
          <w:color w:val="000000" w:themeColor="text1"/>
          <w:kern w:val="0"/>
          <w:szCs w:val="24"/>
          <w14:textFill>
            <w14:solidFill>
              <w14:schemeClr w14:val="tx1"/>
            </w14:solidFill>
          </w14:textFill>
        </w:rPr>
        <w:t xml:space="preserve">Fig. </w:t>
      </w:r>
      <w:bookmarkEnd w:id="3"/>
      <w:r>
        <w:rPr>
          <w:rFonts w:ascii="Arial" w:hAnsi="Arial" w:cs="Arial"/>
          <w:b w:val="0"/>
          <w:bCs w:val="0"/>
          <w:color w:val="000000" w:themeColor="text1"/>
          <w:kern w:val="0"/>
          <w:szCs w:val="24"/>
          <w14:textFill>
            <w14:solidFill>
              <w14:schemeClr w14:val="tx1"/>
            </w14:solidFill>
          </w14:textFill>
        </w:rPr>
        <w:t>S6a</w:t>
      </w:r>
      <w:r>
        <w:rPr>
          <w:rFonts w:ascii="Arial" w:hAnsi="Arial" w:cs="Arial"/>
          <w:b w:val="0"/>
          <w:bCs w:val="0"/>
          <w:szCs w:val="24"/>
        </w:rPr>
        <w:t xml:space="preserve">). </w:t>
      </w:r>
      <w:r>
        <w:rPr>
          <w:rFonts w:ascii="Arial" w:hAnsi="Arial" w:cs="Arial"/>
          <w:b w:val="0"/>
          <w:bCs w:val="0"/>
          <w:color w:val="000000" w:themeColor="text1"/>
          <w:kern w:val="0"/>
          <w:szCs w:val="24"/>
          <w14:textFill>
            <w14:solidFill>
              <w14:schemeClr w14:val="tx1"/>
            </w14:solidFill>
          </w14:textFill>
        </w:rPr>
        <w:t>Only 9.1% of identified vOTUs were clustered with publicly reported viruses, which contributed to the expansion of existing virosphere and proved the MR-SNWDC as an endemic pool of diverse</w:t>
      </w:r>
      <w:bookmarkStart w:id="4" w:name="_Hlk115426000"/>
      <w:r>
        <w:rPr>
          <w:rFonts w:ascii="Arial" w:hAnsi="Arial" w:cs="Arial"/>
          <w:b w:val="0"/>
          <w:bCs w:val="0"/>
          <w:color w:val="000000" w:themeColor="text1"/>
          <w:kern w:val="0"/>
          <w:szCs w:val="24"/>
          <w14:textFill>
            <w14:solidFill>
              <w14:schemeClr w14:val="tx1"/>
            </w14:solidFill>
          </w14:textFill>
        </w:rPr>
        <w:t xml:space="preserve"> and</w:t>
      </w:r>
      <w:bookmarkEnd w:id="4"/>
      <w:r>
        <w:rPr>
          <w:rFonts w:ascii="Arial" w:hAnsi="Arial" w:cs="Arial"/>
          <w:b w:val="0"/>
          <w:bCs w:val="0"/>
          <w:color w:val="000000" w:themeColor="text1"/>
          <w:kern w:val="0"/>
          <w:szCs w:val="24"/>
          <w14:textFill>
            <w14:solidFill>
              <w14:schemeClr w14:val="tx1"/>
            </w14:solidFill>
          </w14:textFill>
        </w:rPr>
        <w:t xml:space="preserve"> novel freshwater viruses. Among 3,670 vOTUs which shared VCs with publicly available viruses</w:t>
      </w:r>
      <w:r>
        <w:rPr>
          <w:rFonts w:ascii="Arial" w:hAnsi="Arial" w:cs="Arial"/>
          <w:b w:val="0"/>
          <w:bCs w:val="0"/>
          <w:szCs w:val="24"/>
        </w:rPr>
        <w:t>, over 85% were clustered with viral sequences from the lake source. In addition, about one thirds of lake-derived viral genera were clustered with MR-SNWDC vOTUs, ranking the most among all freshwater sources (</w:t>
      </w:r>
      <w:r>
        <w:rPr>
          <w:rFonts w:ascii="Arial" w:hAnsi="Arial" w:cs="Arial"/>
          <w:b w:val="0"/>
          <w:bCs w:val="0"/>
          <w:color w:val="000000" w:themeColor="text1"/>
          <w:kern w:val="0"/>
          <w:szCs w:val="24"/>
          <w14:textFill>
            <w14:solidFill>
              <w14:schemeClr w14:val="tx1"/>
            </w14:solidFill>
          </w14:textFill>
        </w:rPr>
        <w:t>Fig. S6b</w:t>
      </w:r>
      <w:r>
        <w:rPr>
          <w:rFonts w:ascii="Arial" w:hAnsi="Arial" w:cs="Arial"/>
          <w:b w:val="0"/>
          <w:bCs w:val="0"/>
          <w:szCs w:val="24"/>
        </w:rPr>
        <w:t>), which highlighted the role of Danjiangkou Reservoir (lake-like) in shaping the viral communities across the canal.</w:t>
      </w:r>
      <w:r>
        <w:rPr>
          <w:rFonts w:ascii="Arial" w:hAnsi="Arial" w:cs="Arial"/>
          <w:szCs w:val="24"/>
        </w:rPr>
        <w:br w:type="page"/>
      </w:r>
    </w:p>
    <w:p>
      <w:pPr>
        <w:pStyle w:val="25"/>
      </w:pPr>
      <w:r>
        <w:t>Supplemental Figures</w:t>
      </w:r>
    </w:p>
    <w:p>
      <w:pPr>
        <w:pStyle w:val="7"/>
        <w:spacing w:before="0" w:beforeAutospacing="0" w:after="0" w:afterAutospacing="0" w:line="360" w:lineRule="auto"/>
        <w:jc w:val="center"/>
        <w:rPr>
          <w:rFonts w:ascii="Arial" w:hAnsi="Arial" w:eastAsia="等线" w:cs="Arial"/>
          <w:color w:val="000000"/>
        </w:rPr>
      </w:pPr>
      <w:r>
        <w:drawing>
          <wp:inline distT="0" distB="0" distL="0" distR="0">
            <wp:extent cx="4782820" cy="55086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782929" cy="5508704"/>
                    </a:xfrm>
                    <a:prstGeom prst="rect">
                      <a:avLst/>
                    </a:prstGeom>
                    <a:noFill/>
                    <a:ln>
                      <a:noFill/>
                    </a:ln>
                  </pic:spPr>
                </pic:pic>
              </a:graphicData>
            </a:graphic>
          </wp:inline>
        </w:drawing>
      </w:r>
    </w:p>
    <w:p>
      <w:pPr>
        <w:pStyle w:val="25"/>
        <w:rPr>
          <w:b w:val="0"/>
          <w:bCs w:val="0"/>
          <w:sz w:val="24"/>
          <w:szCs w:val="24"/>
        </w:rPr>
        <w:sectPr>
          <w:pgSz w:w="11906" w:h="16838"/>
          <w:pgMar w:top="1440" w:right="1800" w:bottom="1440" w:left="1800" w:header="851" w:footer="992" w:gutter="0"/>
          <w:cols w:space="425" w:num="1"/>
          <w:docGrid w:type="lines" w:linePitch="312" w:charSpace="0"/>
        </w:sectPr>
      </w:pPr>
      <w:r>
        <w:rPr>
          <w:sz w:val="24"/>
          <w:szCs w:val="24"/>
        </w:rPr>
        <w:t>Fig. S1 Long-term dynamics of total phosphorus concentration in the MR-SNWDC.</w:t>
      </w:r>
      <w:r>
        <w:rPr>
          <w:b w:val="0"/>
          <w:bCs w:val="0"/>
          <w:sz w:val="24"/>
          <w:szCs w:val="24"/>
        </w:rPr>
        <w:t xml:space="preserve"> </w:t>
      </w:r>
      <w:r>
        <w:rPr>
          <w:sz w:val="24"/>
          <w:szCs w:val="24"/>
        </w:rPr>
        <w:t>a</w:t>
      </w:r>
      <w:r>
        <w:rPr>
          <w:b w:val="0"/>
          <w:bCs w:val="0"/>
          <w:sz w:val="24"/>
          <w:szCs w:val="24"/>
        </w:rPr>
        <w:t xml:space="preserve"> Monthly and annual average TP concentrations across 7 years from 2015 to 2021. The gray area displays standard deviation of monthly average TP content. </w:t>
      </w:r>
      <w:r>
        <w:rPr>
          <w:sz w:val="24"/>
          <w:szCs w:val="24"/>
        </w:rPr>
        <w:t>b</w:t>
      </w:r>
      <w:r>
        <w:rPr>
          <w:b w:val="0"/>
          <w:bCs w:val="0"/>
          <w:sz w:val="24"/>
          <w:szCs w:val="24"/>
        </w:rPr>
        <w:t xml:space="preserve"> Changes in annually TP concentration along the main-canal. The error bar corresponds to the 95% confidence interval.</w:t>
      </w:r>
    </w:p>
    <w:p>
      <w:pPr>
        <w:spacing w:line="360" w:lineRule="auto"/>
        <w:jc w:val="center"/>
        <w:rPr>
          <w:rFonts w:ascii="Times New Roman" w:hAnsi="Times New Roman" w:eastAsia="等线" w:cs="Times New Roman"/>
          <w:b/>
          <w:bCs/>
          <w:color w:val="000000"/>
          <w:sz w:val="24"/>
          <w:szCs w:val="28"/>
        </w:rPr>
      </w:pPr>
      <w:r>
        <w:drawing>
          <wp:inline distT="0" distB="0" distL="0" distR="0">
            <wp:extent cx="3045460" cy="44723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059028" cy="4492048"/>
                    </a:xfrm>
                    <a:prstGeom prst="rect">
                      <a:avLst/>
                    </a:prstGeom>
                    <a:noFill/>
                    <a:ln>
                      <a:noFill/>
                    </a:ln>
                  </pic:spPr>
                </pic:pic>
              </a:graphicData>
            </a:graphic>
          </wp:inline>
        </w:drawing>
      </w:r>
    </w:p>
    <w:p>
      <w:pPr>
        <w:spacing w:line="360" w:lineRule="auto"/>
        <w:rPr>
          <w:sz w:val="24"/>
          <w:szCs w:val="28"/>
        </w:rPr>
      </w:pPr>
      <w:r>
        <w:rPr>
          <w:rFonts w:ascii="Arial" w:hAnsi="Arial" w:cs="Arial"/>
          <w:b/>
          <w:bCs/>
          <w:sz w:val="24"/>
          <w:szCs w:val="24"/>
        </w:rPr>
        <w:t xml:space="preserve">Fig. S2 Sketch map of the MR-SNWDC. </w:t>
      </w:r>
      <w:r>
        <w:rPr>
          <w:rFonts w:ascii="Arial" w:hAnsi="Arial" w:cs="Arial"/>
          <w:sz w:val="24"/>
          <w:szCs w:val="24"/>
        </w:rPr>
        <w:t xml:space="preserve">Sampling sites are distributed at 32 monitoring stations along the water canal (see Table S1). </w:t>
      </w:r>
      <w:bookmarkStart w:id="5" w:name="_Hlk116400721"/>
      <w:r>
        <w:rPr>
          <w:rFonts w:ascii="Arial" w:hAnsi="Arial" w:cs="Arial"/>
          <w:sz w:val="24"/>
          <w:szCs w:val="24"/>
        </w:rPr>
        <w:t xml:space="preserve">The length of the canal (1,432 km) is measured by the sum of the dendritic distances of each two sampling sites from upstream to downstream, as an indication of canal network density, rather than the straight-line distance between the water source area and the canal end. </w:t>
      </w:r>
      <w:bookmarkEnd w:id="5"/>
      <w:r>
        <w:rPr>
          <w:rFonts w:ascii="Arial" w:hAnsi="Arial" w:cs="Arial"/>
          <w:sz w:val="24"/>
          <w:szCs w:val="24"/>
        </w:rPr>
        <w:t>Sampling campaigns are carried out at the same sites in August 2020 and March 2021, respectively.</w:t>
      </w:r>
      <w:r>
        <w:rPr>
          <w:sz w:val="24"/>
          <w:szCs w:val="28"/>
        </w:rPr>
        <w:br w:type="page"/>
      </w:r>
    </w:p>
    <w:p>
      <w:pPr>
        <w:pStyle w:val="7"/>
        <w:spacing w:before="0" w:beforeAutospacing="0" w:after="0" w:afterAutospacing="0" w:line="360" w:lineRule="auto"/>
        <w:jc w:val="center"/>
        <w:rPr>
          <w:rFonts w:ascii="Arial" w:hAnsi="Arial" w:eastAsia="等线" w:cs="Arial"/>
          <w:color w:val="000000"/>
        </w:rPr>
      </w:pPr>
      <w:r>
        <w:drawing>
          <wp:inline distT="0" distB="0" distL="0" distR="0">
            <wp:extent cx="5274310" cy="24485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2448560"/>
                    </a:xfrm>
                    <a:prstGeom prst="rect">
                      <a:avLst/>
                    </a:prstGeom>
                    <a:noFill/>
                    <a:ln>
                      <a:noFill/>
                    </a:ln>
                  </pic:spPr>
                </pic:pic>
              </a:graphicData>
            </a:graphic>
          </wp:inline>
        </w:drawing>
      </w:r>
    </w:p>
    <w:p>
      <w:pPr>
        <w:spacing w:line="360" w:lineRule="auto"/>
        <w:rPr>
          <w:rFonts w:ascii="Arial" w:hAnsi="Arial" w:cs="Arial"/>
          <w:sz w:val="24"/>
          <w:szCs w:val="24"/>
        </w:rPr>
      </w:pPr>
      <w:r>
        <w:rPr>
          <w:rFonts w:ascii="Arial" w:hAnsi="Arial" w:eastAsia="等线" w:cs="Arial"/>
          <w:b/>
          <w:bCs/>
          <w:color w:val="000000"/>
          <w:sz w:val="24"/>
          <w:szCs w:val="28"/>
        </w:rPr>
        <w:t xml:space="preserve">Fig. S3 </w:t>
      </w:r>
      <w:r>
        <w:rPr>
          <w:rFonts w:ascii="Arial" w:hAnsi="Arial" w:cs="Arial"/>
          <w:b/>
          <w:bCs/>
          <w:sz w:val="24"/>
          <w:szCs w:val="24"/>
        </w:rPr>
        <w:t xml:space="preserve">Regional similarity of viral communities in autumn (a) and spring (b). </w:t>
      </w:r>
      <w:r>
        <w:rPr>
          <w:rFonts w:ascii="Arial" w:hAnsi="Arial" w:cs="Arial"/>
          <w:sz w:val="24"/>
          <w:szCs w:val="24"/>
        </w:rPr>
        <w:t>Sorenson similarity is calculated for relative abundances of vOTUs. The width of each curve represents the similarity value between paired regions.</w:t>
      </w:r>
      <w:r>
        <w:t xml:space="preserve"> </w:t>
      </w:r>
      <w:r>
        <w:rPr>
          <w:rFonts w:ascii="Arial" w:hAnsi="Arial" w:cs="Arial"/>
          <w:sz w:val="24"/>
          <w:szCs w:val="24"/>
        </w:rPr>
        <w:t>Source data are provided in the Source Data file.</w:t>
      </w:r>
      <w:r>
        <w:rPr>
          <w:rFonts w:ascii="Arial" w:hAnsi="Arial" w:cs="Arial"/>
          <w:sz w:val="24"/>
          <w:szCs w:val="24"/>
        </w:rPr>
        <w:br w:type="page"/>
      </w:r>
    </w:p>
    <w:p>
      <w:pPr>
        <w:pStyle w:val="7"/>
        <w:spacing w:before="0" w:beforeAutospacing="0" w:after="0" w:afterAutospacing="0" w:line="360" w:lineRule="auto"/>
        <w:jc w:val="center"/>
        <w:rPr>
          <w:rFonts w:ascii="Times New Roman" w:hAnsi="Times New Roman" w:eastAsia="等线" w:cs="Times New Roman"/>
          <w:color w:val="000000"/>
        </w:rPr>
      </w:pPr>
      <w:r>
        <w:drawing>
          <wp:inline distT="0" distB="0" distL="0" distR="0">
            <wp:extent cx="4481830" cy="45224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
                    <a:stretch>
                      <a:fillRect/>
                    </a:stretch>
                  </pic:blipFill>
                  <pic:spPr>
                    <a:xfrm>
                      <a:off x="0" y="0"/>
                      <a:ext cx="4494251" cy="4534921"/>
                    </a:xfrm>
                    <a:prstGeom prst="rect">
                      <a:avLst/>
                    </a:prstGeom>
                    <a:noFill/>
                    <a:ln>
                      <a:noFill/>
                    </a:ln>
                  </pic:spPr>
                </pic:pic>
              </a:graphicData>
            </a:graphic>
          </wp:inline>
        </w:drawing>
      </w:r>
    </w:p>
    <w:p>
      <w:pPr>
        <w:spacing w:line="360" w:lineRule="auto"/>
        <w:rPr>
          <w:rFonts w:ascii="Arial" w:hAnsi="Arial" w:cs="Arial"/>
          <w:sz w:val="24"/>
          <w:szCs w:val="24"/>
        </w:rPr>
      </w:pPr>
      <w:r>
        <w:rPr>
          <w:rFonts w:ascii="Arial" w:hAnsi="Arial" w:cs="Arial"/>
          <w:b/>
          <w:bCs/>
          <w:sz w:val="24"/>
          <w:szCs w:val="24"/>
        </w:rPr>
        <w:t>Fig. S4 Spatiotemporal distribution of bacterial communities in autumn and spring.</w:t>
      </w:r>
      <w:r>
        <w:rPr>
          <w:rFonts w:ascii="Arial" w:hAnsi="Arial" w:cs="Arial"/>
          <w:sz w:val="24"/>
          <w:szCs w:val="24"/>
        </w:rPr>
        <w:t xml:space="preserve"> Non-metric multidimensional scaling (NMDS) analyses visualize the seasonal shift of bacterial β-diversity (</w:t>
      </w:r>
      <w:r>
        <w:rPr>
          <w:rFonts w:ascii="Arial" w:hAnsi="Arial" w:cs="Arial"/>
          <w:b/>
          <w:bCs/>
          <w:sz w:val="24"/>
          <w:szCs w:val="24"/>
        </w:rPr>
        <w:t>a</w:t>
      </w:r>
      <w:r>
        <w:rPr>
          <w:rFonts w:ascii="Arial" w:hAnsi="Arial" w:cs="Arial"/>
          <w:sz w:val="24"/>
          <w:szCs w:val="24"/>
        </w:rPr>
        <w:t>) as well as the distinct partition of bacterial communities into four ecological regions in autumn (</w:t>
      </w:r>
      <w:r>
        <w:rPr>
          <w:rFonts w:ascii="Arial" w:hAnsi="Arial" w:cs="Arial"/>
          <w:b/>
          <w:bCs/>
          <w:sz w:val="24"/>
          <w:szCs w:val="24"/>
        </w:rPr>
        <w:t>b</w:t>
      </w:r>
      <w:r>
        <w:rPr>
          <w:rFonts w:ascii="Arial" w:hAnsi="Arial" w:cs="Arial"/>
          <w:sz w:val="24"/>
          <w:szCs w:val="24"/>
        </w:rPr>
        <w:t>) and spring (</w:t>
      </w:r>
      <w:r>
        <w:rPr>
          <w:rFonts w:ascii="Arial" w:hAnsi="Arial" w:cs="Arial"/>
          <w:b/>
          <w:bCs/>
          <w:sz w:val="24"/>
          <w:szCs w:val="24"/>
        </w:rPr>
        <w:t>c</w:t>
      </w:r>
      <w:r>
        <w:rPr>
          <w:rFonts w:ascii="Arial" w:hAnsi="Arial" w:cs="Arial"/>
          <w:sz w:val="24"/>
          <w:szCs w:val="24"/>
        </w:rPr>
        <w:t xml:space="preserve">), based on the Bray-Curtis dissimilarity matrix calculated from relative abundances of prokaryotic MAGs. The stress value denotes the ordination fitness of each NMDS plot. Each group is encircled by an ellipse at 95% confidence interval. One outlier sample (06A) is excluded from subsequent analyses. </w:t>
      </w:r>
      <w:r>
        <w:rPr>
          <w:rFonts w:ascii="Arial" w:hAnsi="Arial" w:cs="Arial"/>
          <w:b/>
          <w:bCs/>
          <w:sz w:val="24"/>
          <w:szCs w:val="24"/>
        </w:rPr>
        <w:t>d</w:t>
      </w:r>
      <w:r>
        <w:rPr>
          <w:rFonts w:ascii="Arial" w:hAnsi="Arial" w:cs="Arial"/>
          <w:sz w:val="24"/>
          <w:szCs w:val="24"/>
        </w:rPr>
        <w:t xml:space="preserve"> The richness of observed bacterial species transported from the water source area (Reg1) to downstream regions (Reg2-4) in autumn (Upper panel) and spring (Lower panel). Source data are provided in the Source Data file.</w:t>
      </w:r>
      <w:r>
        <w:rPr>
          <w:rFonts w:ascii="Arial" w:hAnsi="Arial" w:cs="Arial"/>
          <w:sz w:val="24"/>
          <w:szCs w:val="24"/>
        </w:rPr>
        <w:br w:type="page"/>
      </w:r>
    </w:p>
    <w:p>
      <w:pPr>
        <w:spacing w:line="360" w:lineRule="auto"/>
      </w:pPr>
      <w:r>
        <w:drawing>
          <wp:inline distT="0" distB="0" distL="0" distR="0">
            <wp:extent cx="5274310" cy="27362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8"/>
                    <a:srcRect/>
                    <a:stretch>
                      <a:fillRect/>
                    </a:stretch>
                  </pic:blipFill>
                  <pic:spPr>
                    <a:xfrm>
                      <a:off x="0" y="0"/>
                      <a:ext cx="5274310" cy="2736215"/>
                    </a:xfrm>
                    <a:prstGeom prst="rect">
                      <a:avLst/>
                    </a:prstGeom>
                    <a:noFill/>
                    <a:ln>
                      <a:noFill/>
                    </a:ln>
                  </pic:spPr>
                </pic:pic>
              </a:graphicData>
            </a:graphic>
          </wp:inline>
        </w:drawing>
      </w:r>
    </w:p>
    <w:p>
      <w:pPr>
        <w:pStyle w:val="7"/>
        <w:spacing w:line="360" w:lineRule="auto"/>
        <w:jc w:val="both"/>
        <w:rPr>
          <w:rFonts w:ascii="Arial" w:hAnsi="Arial" w:cs="Arial" w:eastAsiaTheme="minorEastAsia"/>
          <w:kern w:val="2"/>
        </w:rPr>
        <w:sectPr>
          <w:pgSz w:w="11906" w:h="16838"/>
          <w:pgMar w:top="1440" w:right="1800" w:bottom="1440" w:left="1800" w:header="851" w:footer="992" w:gutter="0"/>
          <w:cols w:space="425" w:num="1"/>
          <w:docGrid w:type="lines" w:linePitch="312" w:charSpace="0"/>
        </w:sectPr>
      </w:pPr>
      <w:r>
        <w:rPr>
          <w:rFonts w:ascii="Arial" w:hAnsi="Arial" w:cs="Arial" w:eastAsiaTheme="minorEastAsia"/>
          <w:b/>
          <w:bCs/>
          <w:kern w:val="2"/>
        </w:rPr>
        <w:t>Fig. S5 M</w:t>
      </w:r>
      <w:r>
        <w:rPr>
          <w:rFonts w:hint="eastAsia" w:ascii="Arial" w:hAnsi="Arial" w:cs="Arial" w:eastAsiaTheme="minorEastAsia"/>
          <w:b/>
          <w:bCs/>
          <w:kern w:val="2"/>
        </w:rPr>
        <w:t>olecular</w:t>
      </w:r>
      <w:r>
        <w:rPr>
          <w:rFonts w:ascii="Arial" w:hAnsi="Arial" w:cs="Arial" w:eastAsiaTheme="minorEastAsia"/>
          <w:b/>
          <w:bCs/>
          <w:kern w:val="2"/>
        </w:rPr>
        <w:t xml:space="preserve"> propert</w:t>
      </w:r>
      <w:r>
        <w:rPr>
          <w:rFonts w:hint="eastAsia" w:ascii="Arial" w:hAnsi="Arial" w:cs="Arial" w:eastAsiaTheme="minorEastAsia"/>
          <w:b/>
          <w:bCs/>
          <w:kern w:val="2"/>
        </w:rPr>
        <w:t>ies</w:t>
      </w:r>
      <w:r>
        <w:rPr>
          <w:rFonts w:ascii="Arial" w:hAnsi="Arial" w:cs="Arial" w:eastAsiaTheme="minorEastAsia"/>
          <w:b/>
          <w:bCs/>
          <w:kern w:val="2"/>
        </w:rPr>
        <w:t xml:space="preserve"> of viral genomes in the MR-SNWDC and the IMG/VR database.</w:t>
      </w:r>
      <w:r>
        <w:rPr>
          <w:rFonts w:ascii="Arial" w:hAnsi="Arial" w:cs="Arial" w:eastAsiaTheme="minorEastAsia"/>
          <w:kern w:val="2"/>
        </w:rPr>
        <w:t xml:space="preserve"> Differences in GC content (</w:t>
      </w:r>
      <w:r>
        <w:rPr>
          <w:rFonts w:ascii="Arial" w:hAnsi="Arial" w:cs="Arial" w:eastAsiaTheme="minorEastAsia"/>
          <w:b/>
          <w:bCs/>
          <w:kern w:val="2"/>
        </w:rPr>
        <w:t>a</w:t>
      </w:r>
      <w:r>
        <w:rPr>
          <w:rFonts w:ascii="Arial" w:hAnsi="Arial" w:cs="Arial" w:eastAsiaTheme="minorEastAsia"/>
          <w:kern w:val="2"/>
        </w:rPr>
        <w:t>) and specific amino acid frequencies (</w:t>
      </w:r>
      <w:r>
        <w:rPr>
          <w:rFonts w:ascii="Arial" w:hAnsi="Arial" w:cs="Arial" w:eastAsiaTheme="minorEastAsia"/>
          <w:b/>
          <w:bCs/>
          <w:kern w:val="2"/>
        </w:rPr>
        <w:t>b</w:t>
      </w:r>
      <w:r>
        <w:rPr>
          <w:rFonts w:ascii="Arial" w:hAnsi="Arial" w:cs="Arial" w:eastAsiaTheme="minorEastAsia"/>
          <w:kern w:val="2"/>
        </w:rPr>
        <w:t>) are estimated by Bonferroni-adjusted Wilcoxon test. The statistical significance is marked by asterisks (****: ≤ 0.0001). Source data are provided in the Source Data file.</w:t>
      </w:r>
    </w:p>
    <w:p>
      <w:pPr>
        <w:pStyle w:val="7"/>
        <w:spacing w:line="360" w:lineRule="auto"/>
        <w:jc w:val="both"/>
        <w:rPr>
          <w:rFonts w:hint="eastAsia" w:ascii="Arial" w:hAnsi="Arial" w:cs="Arial"/>
        </w:rPr>
      </w:pPr>
      <w:r>
        <w:drawing>
          <wp:inline distT="0" distB="0" distL="0" distR="0">
            <wp:extent cx="5274310" cy="24225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9"/>
                    <a:srcRect/>
                    <a:stretch>
                      <a:fillRect/>
                    </a:stretch>
                  </pic:blipFill>
                  <pic:spPr>
                    <a:xfrm>
                      <a:off x="0" y="0"/>
                      <a:ext cx="5274310" cy="2422525"/>
                    </a:xfrm>
                    <a:prstGeom prst="rect">
                      <a:avLst/>
                    </a:prstGeom>
                    <a:noFill/>
                    <a:ln>
                      <a:noFill/>
                    </a:ln>
                  </pic:spPr>
                </pic:pic>
              </a:graphicData>
            </a:graphic>
          </wp:inline>
        </w:drawing>
      </w:r>
    </w:p>
    <w:p>
      <w:pPr>
        <w:spacing w:line="360" w:lineRule="auto"/>
        <w:rPr>
          <w:rFonts w:ascii="Arial" w:hAnsi="Arial" w:cs="Arial"/>
        </w:rPr>
      </w:pPr>
      <w:r>
        <w:rPr>
          <w:rFonts w:ascii="Arial" w:hAnsi="Arial" w:eastAsia="等线" w:cs="Arial"/>
          <w:b/>
          <w:bCs/>
          <w:color w:val="000000"/>
          <w:sz w:val="24"/>
          <w:szCs w:val="28"/>
        </w:rPr>
        <w:t>Fig. S6</w:t>
      </w:r>
      <w:r>
        <w:rPr>
          <w:rFonts w:ascii="Arial" w:hAnsi="Arial" w:cs="Arial"/>
          <w:b/>
          <w:bCs/>
          <w:sz w:val="24"/>
          <w:szCs w:val="36"/>
        </w:rPr>
        <w:t xml:space="preserve"> Comparison of viral species in the MR-SNWDC and the IMG/VR database.</w:t>
      </w:r>
      <w:r>
        <w:rPr>
          <w:rFonts w:ascii="Arial" w:hAnsi="Arial" w:cs="Arial"/>
          <w:sz w:val="24"/>
          <w:szCs w:val="36"/>
        </w:rPr>
        <w:t xml:space="preserve"> </w:t>
      </w:r>
      <w:r>
        <w:rPr>
          <w:rFonts w:ascii="Arial" w:hAnsi="Arial" w:cs="Arial"/>
          <w:b/>
          <w:bCs/>
          <w:sz w:val="24"/>
          <w:szCs w:val="24"/>
        </w:rPr>
        <w:t>a</w:t>
      </w:r>
      <w:r>
        <w:rPr>
          <w:rFonts w:ascii="Arial" w:hAnsi="Arial" w:cs="Arial"/>
          <w:b/>
          <w:bCs/>
          <w:sz w:val="24"/>
          <w:szCs w:val="36"/>
        </w:rPr>
        <w:t xml:space="preserve"> </w:t>
      </w:r>
      <w:r>
        <w:rPr>
          <w:rFonts w:ascii="Arial" w:hAnsi="Arial" w:cs="Arial"/>
          <w:sz w:val="24"/>
          <w:szCs w:val="36"/>
        </w:rPr>
        <w:t xml:space="preserve">Shared viral clusters (VCs) among different datasets. Viral sequences from 11 freshwater ecosystems are selected from the IMG/VR database. Each source of VCs is defined as a set. The bars on the left represent the total number of VCs in each set. Dots with interconnecting vertical black lines represent the intersections, where black dots represent sets that were within the intersection and unﬁlled light gray dots represent sets that were not part of the intersection. The bars on the top right represent the number of VCs within the intersection. </w:t>
      </w:r>
      <w:r>
        <w:rPr>
          <w:rFonts w:ascii="Arial" w:hAnsi="Arial" w:cs="Arial"/>
          <w:b/>
          <w:bCs/>
          <w:sz w:val="24"/>
          <w:szCs w:val="24"/>
        </w:rPr>
        <w:t>b</w:t>
      </w:r>
      <w:r>
        <w:rPr>
          <w:rFonts w:ascii="Arial" w:hAnsi="Arial" w:cs="Arial"/>
          <w:sz w:val="24"/>
          <w:szCs w:val="24"/>
        </w:rPr>
        <w:t xml:space="preserve"> </w:t>
      </w:r>
      <w:r>
        <w:rPr>
          <w:rFonts w:ascii="Arial" w:hAnsi="Arial" w:cs="Arial"/>
          <w:sz w:val="24"/>
          <w:szCs w:val="36"/>
        </w:rPr>
        <w:t>Proportional number of viral genera from diverse freshwater sources in the IMG/VR database which are clustered with vOTUs in the MR-SNWDC.</w:t>
      </w:r>
      <w:r>
        <w:t xml:space="preserve"> </w:t>
      </w:r>
      <w:r>
        <w:rPr>
          <w:rFonts w:ascii="Arial" w:hAnsi="Arial" w:cs="Arial"/>
          <w:sz w:val="24"/>
          <w:szCs w:val="36"/>
        </w:rPr>
        <w:t>Source data are provided in the Source Data file.</w:t>
      </w:r>
      <w:r>
        <w:rPr>
          <w:rFonts w:ascii="Arial" w:hAnsi="Arial" w:cs="Arial"/>
        </w:rPr>
        <w:br w:type="page"/>
      </w:r>
    </w:p>
    <w:p>
      <w:pPr>
        <w:spacing w:line="360" w:lineRule="auto"/>
        <w:jc w:val="center"/>
        <w:rPr>
          <w:rFonts w:ascii="Arial" w:hAnsi="Arial" w:cs="Arial"/>
          <w:sz w:val="24"/>
          <w:szCs w:val="28"/>
        </w:rPr>
      </w:pPr>
      <w:r>
        <w:rPr>
          <w:rFonts w:ascii="Arial" w:hAnsi="Arial" w:cs="Arial"/>
        </w:rPr>
        <w:drawing>
          <wp:inline distT="0" distB="0" distL="0" distR="0">
            <wp:extent cx="4059555" cy="420751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9710" cy="4207930"/>
                    </a:xfrm>
                    <a:prstGeom prst="rect">
                      <a:avLst/>
                    </a:prstGeom>
                    <a:noFill/>
                    <a:ln>
                      <a:noFill/>
                    </a:ln>
                  </pic:spPr>
                </pic:pic>
              </a:graphicData>
            </a:graphic>
          </wp:inline>
        </w:drawing>
      </w:r>
    </w:p>
    <w:p>
      <w:pPr>
        <w:spacing w:line="360" w:lineRule="auto"/>
        <w:rPr>
          <w:rFonts w:ascii="Arial" w:hAnsi="Arial" w:cs="Arial"/>
          <w:sz w:val="24"/>
          <w:szCs w:val="28"/>
        </w:rPr>
      </w:pPr>
      <w:r>
        <w:rPr>
          <w:rFonts w:ascii="Arial" w:hAnsi="Arial" w:eastAsia="等线" w:cs="Arial"/>
          <w:b/>
          <w:bCs/>
          <w:color w:val="000000"/>
          <w:sz w:val="24"/>
          <w:szCs w:val="28"/>
        </w:rPr>
        <w:t>Fig. S7</w:t>
      </w:r>
      <w:r>
        <w:rPr>
          <w:rFonts w:ascii="Arial" w:hAnsi="Arial" w:cs="Arial"/>
          <w:b/>
          <w:bCs/>
          <w:sz w:val="24"/>
          <w:szCs w:val="36"/>
        </w:rPr>
        <w:t xml:space="preserve"> </w:t>
      </w:r>
      <w:r>
        <w:rPr>
          <w:rFonts w:ascii="Arial" w:hAnsi="Arial" w:cs="Arial"/>
          <w:b/>
          <w:bCs/>
          <w:sz w:val="24"/>
          <w:szCs w:val="28"/>
        </w:rPr>
        <w:t xml:space="preserve">Changes in averaged copies of bacteria-encoded genes involved in key P-associated metabolism processes along the canal. </w:t>
      </w:r>
      <w:r>
        <w:rPr>
          <w:rFonts w:ascii="Arial" w:hAnsi="Arial" w:cs="Arial"/>
          <w:sz w:val="24"/>
          <w:szCs w:val="28"/>
        </w:rPr>
        <w:t xml:space="preserve">The Pearson correlation coefficient and significant level of </w:t>
      </w:r>
      <w:r>
        <w:rPr>
          <w:rFonts w:ascii="Arial" w:hAnsi="Arial" w:cs="Arial"/>
          <w:i/>
          <w:iCs/>
          <w:sz w:val="24"/>
          <w:szCs w:val="28"/>
        </w:rPr>
        <w:t>p</w:t>
      </w:r>
      <w:r>
        <w:rPr>
          <w:rFonts w:ascii="Arial" w:hAnsi="Arial" w:cs="Arial"/>
          <w:sz w:val="24"/>
          <w:szCs w:val="28"/>
        </w:rPr>
        <w:t xml:space="preserve">-value are presented for each linear regression (****: </w:t>
      </w:r>
      <w:r>
        <w:rPr>
          <w:rFonts w:ascii="Arial" w:hAnsi="Arial" w:cs="Arial"/>
          <w:sz w:val="24"/>
          <w:szCs w:val="24"/>
        </w:rPr>
        <w:t xml:space="preserve">≤ </w:t>
      </w:r>
      <w:r>
        <w:rPr>
          <w:rFonts w:ascii="Arial" w:hAnsi="Arial" w:cs="Arial"/>
          <w:sz w:val="24"/>
          <w:szCs w:val="28"/>
        </w:rPr>
        <w:t>0.0001).</w:t>
      </w:r>
      <w:r>
        <w:t xml:space="preserve"> </w:t>
      </w:r>
      <w:r>
        <w:rPr>
          <w:rFonts w:ascii="Arial" w:hAnsi="Arial" w:cs="Arial"/>
          <w:sz w:val="24"/>
          <w:szCs w:val="28"/>
        </w:rPr>
        <w:t>Source data are provided in the Source Data file.</w:t>
      </w:r>
      <w:r>
        <w:rPr>
          <w:rFonts w:ascii="Arial" w:hAnsi="Arial" w:cs="Arial"/>
          <w:sz w:val="24"/>
          <w:szCs w:val="28"/>
        </w:rPr>
        <w:br w:type="page"/>
      </w:r>
    </w:p>
    <w:p>
      <w:pPr>
        <w:spacing w:line="360" w:lineRule="auto"/>
        <w:jc w:val="center"/>
        <w:rPr>
          <w:rFonts w:ascii="Arial" w:hAnsi="Arial" w:cs="Arial"/>
          <w:b/>
          <w:bCs/>
          <w:sz w:val="24"/>
          <w:szCs w:val="28"/>
        </w:rPr>
      </w:pPr>
      <w:r>
        <w:drawing>
          <wp:inline distT="0" distB="0" distL="0" distR="0">
            <wp:extent cx="3639820" cy="49276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9953" cy="4928025"/>
                    </a:xfrm>
                    <a:prstGeom prst="rect">
                      <a:avLst/>
                    </a:prstGeom>
                    <a:noFill/>
                    <a:ln>
                      <a:noFill/>
                    </a:ln>
                  </pic:spPr>
                </pic:pic>
              </a:graphicData>
            </a:graphic>
          </wp:inline>
        </w:drawing>
      </w:r>
    </w:p>
    <w:p>
      <w:pPr>
        <w:spacing w:line="360" w:lineRule="auto"/>
        <w:rPr>
          <w:rFonts w:ascii="Arial" w:hAnsi="Arial" w:cs="Arial"/>
          <w:b/>
          <w:bCs/>
          <w:sz w:val="24"/>
          <w:szCs w:val="28"/>
        </w:rPr>
      </w:pPr>
      <w:r>
        <w:rPr>
          <w:rFonts w:ascii="Arial" w:hAnsi="Arial" w:eastAsia="等线" w:cs="Arial"/>
          <w:b/>
          <w:bCs/>
          <w:color w:val="000000"/>
          <w:sz w:val="24"/>
          <w:szCs w:val="28"/>
        </w:rPr>
        <w:t>Fig. S8</w:t>
      </w:r>
      <w:r>
        <w:rPr>
          <w:rFonts w:ascii="Arial" w:hAnsi="Arial" w:cs="Arial"/>
          <w:b/>
          <w:bCs/>
          <w:sz w:val="24"/>
          <w:szCs w:val="36"/>
        </w:rPr>
        <w:t xml:space="preserve"> </w:t>
      </w:r>
      <w:r>
        <w:rPr>
          <w:rFonts w:ascii="Arial" w:hAnsi="Arial" w:cs="Arial"/>
          <w:b/>
          <w:bCs/>
          <w:sz w:val="24"/>
          <w:szCs w:val="28"/>
        </w:rPr>
        <w:t>Relative abundance patterns of viruses and their predicted hosts in the MR-SNWDC.</w:t>
      </w:r>
      <w:r>
        <w:rPr>
          <w:rFonts w:ascii="Arial" w:hAnsi="Arial" w:cs="Arial"/>
          <w:sz w:val="24"/>
          <w:szCs w:val="28"/>
        </w:rPr>
        <w:t xml:space="preserve"> </w:t>
      </w:r>
      <w:r>
        <w:rPr>
          <w:rFonts w:ascii="Arial" w:hAnsi="Arial" w:eastAsia="等线" w:cs="Arial"/>
          <w:b/>
          <w:bCs/>
          <w:color w:val="000000"/>
          <w:sz w:val="24"/>
          <w:szCs w:val="28"/>
        </w:rPr>
        <w:t>a</w:t>
      </w:r>
      <w:r>
        <w:rPr>
          <w:rFonts w:ascii="Arial" w:hAnsi="Arial" w:cs="Arial"/>
          <w:sz w:val="24"/>
          <w:szCs w:val="28"/>
        </w:rPr>
        <w:t xml:space="preserve"> Chord Diagram showing the taxonomically virus-host linkages. The thickness of each ribbon represents the relative abundance of viruses. </w:t>
      </w:r>
      <w:r>
        <w:rPr>
          <w:rFonts w:ascii="Arial" w:hAnsi="Arial" w:eastAsia="等线" w:cs="Arial"/>
          <w:b/>
          <w:bCs/>
          <w:color w:val="000000"/>
          <w:sz w:val="24"/>
          <w:szCs w:val="28"/>
        </w:rPr>
        <w:t>b</w:t>
      </w:r>
      <w:r>
        <w:rPr>
          <w:rFonts w:ascii="Arial" w:hAnsi="Arial" w:eastAsia="等线" w:cs="Arial"/>
          <w:color w:val="000000"/>
          <w:sz w:val="24"/>
          <w:szCs w:val="28"/>
        </w:rPr>
        <w:t xml:space="preserve"> </w:t>
      </w:r>
      <w:r>
        <w:rPr>
          <w:rFonts w:ascii="Arial" w:hAnsi="Arial" w:cs="Arial"/>
          <w:sz w:val="24"/>
          <w:szCs w:val="28"/>
        </w:rPr>
        <w:t xml:space="preserve">Spearman correlation between abundances of viruses and their hosts (calculated by logarithmic transformation of normalized mean coverage depth, reads per kilobase mapped reads: RPKM). </w:t>
      </w:r>
      <w:r>
        <w:rPr>
          <w:rFonts w:ascii="Arial" w:hAnsi="Arial" w:eastAsia="等线" w:cs="Arial"/>
          <w:b/>
          <w:bCs/>
          <w:color w:val="000000"/>
          <w:sz w:val="24"/>
          <w:szCs w:val="28"/>
        </w:rPr>
        <w:t>c</w:t>
      </w:r>
      <w:r>
        <w:rPr>
          <w:rFonts w:ascii="Arial" w:hAnsi="Arial" w:eastAsia="等线" w:cs="Arial"/>
          <w:color w:val="000000"/>
          <w:sz w:val="24"/>
          <w:szCs w:val="28"/>
        </w:rPr>
        <w:t xml:space="preserve"> </w:t>
      </w:r>
      <w:r>
        <w:rPr>
          <w:rFonts w:ascii="Arial" w:hAnsi="Arial" w:cs="Arial"/>
          <w:sz w:val="24"/>
          <w:szCs w:val="28"/>
        </w:rPr>
        <w:t>Virus/host abundance ratios (VHR) for all bacterial phyla. All mentioned viral families and host phyla are denoted in the right legend.</w:t>
      </w:r>
      <w:r>
        <w:t xml:space="preserve"> </w:t>
      </w:r>
      <w:r>
        <w:rPr>
          <w:rFonts w:ascii="Arial" w:hAnsi="Arial" w:cs="Arial"/>
          <w:sz w:val="24"/>
          <w:szCs w:val="28"/>
        </w:rPr>
        <w:t>Source data are provided in the Source Data file.</w:t>
      </w:r>
      <w:r>
        <w:rPr>
          <w:rFonts w:ascii="Arial" w:hAnsi="Arial" w:cs="Arial"/>
          <w:b/>
          <w:bCs/>
          <w:sz w:val="24"/>
          <w:szCs w:val="28"/>
        </w:rPr>
        <w:br w:type="page"/>
      </w:r>
    </w:p>
    <w:p>
      <w:pPr>
        <w:spacing w:line="360" w:lineRule="auto"/>
        <w:jc w:val="center"/>
        <w:rPr>
          <w:rFonts w:ascii="Arial" w:hAnsi="Arial" w:cs="Arial"/>
          <w:sz w:val="24"/>
          <w:szCs w:val="28"/>
        </w:rPr>
      </w:pPr>
      <w:r>
        <w:rPr>
          <w:rFonts w:ascii="Arial" w:hAnsi="Arial" w:cs="Arial"/>
        </w:rPr>
        <w:drawing>
          <wp:inline distT="0" distB="0" distL="0" distR="0">
            <wp:extent cx="3448050" cy="351853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450641" cy="3521266"/>
                    </a:xfrm>
                    <a:prstGeom prst="rect">
                      <a:avLst/>
                    </a:prstGeom>
                    <a:noFill/>
                    <a:ln>
                      <a:noFill/>
                    </a:ln>
                  </pic:spPr>
                </pic:pic>
              </a:graphicData>
            </a:graphic>
          </wp:inline>
        </w:drawing>
      </w:r>
    </w:p>
    <w:p>
      <w:pPr>
        <w:spacing w:line="360" w:lineRule="auto"/>
        <w:rPr>
          <w:rFonts w:ascii="Arial" w:hAnsi="Arial" w:cs="Arial"/>
          <w:sz w:val="24"/>
          <w:szCs w:val="28"/>
        </w:rPr>
      </w:pPr>
      <w:r>
        <w:rPr>
          <w:rFonts w:ascii="Arial" w:hAnsi="Arial" w:eastAsia="等线" w:cs="Arial"/>
          <w:b/>
          <w:bCs/>
          <w:color w:val="000000"/>
          <w:sz w:val="24"/>
          <w:szCs w:val="28"/>
        </w:rPr>
        <w:t>Fig. S9</w:t>
      </w:r>
      <w:r>
        <w:rPr>
          <w:rFonts w:ascii="Arial" w:hAnsi="Arial" w:cs="Arial"/>
          <w:b/>
          <w:bCs/>
          <w:sz w:val="24"/>
          <w:szCs w:val="36"/>
        </w:rPr>
        <w:t xml:space="preserve"> </w:t>
      </w:r>
      <w:r>
        <w:rPr>
          <w:rFonts w:ascii="Arial" w:hAnsi="Arial" w:cs="Arial"/>
          <w:b/>
          <w:bCs/>
          <w:sz w:val="24"/>
          <w:szCs w:val="28"/>
        </w:rPr>
        <w:t>The nested-modular structure of virus-host interaction networks.</w:t>
      </w:r>
      <w:r>
        <w:rPr>
          <w:rFonts w:ascii="Arial" w:hAnsi="Arial" w:cs="Arial"/>
          <w:sz w:val="24"/>
          <w:szCs w:val="28"/>
        </w:rPr>
        <w:t xml:space="preserve"> Strain-level prokaryotic hosts and viruses are represented as rows and columns, respectively. All</w:t>
      </w:r>
      <w:r>
        <w:rPr>
          <w:rFonts w:ascii="Arial" w:hAnsi="Arial" w:cs="Arial"/>
          <w:b/>
          <w:bCs/>
          <w:sz w:val="24"/>
          <w:szCs w:val="28"/>
        </w:rPr>
        <w:t xml:space="preserve"> </w:t>
      </w:r>
      <w:r>
        <w:rPr>
          <w:rFonts w:ascii="Arial" w:hAnsi="Arial" w:cs="Arial"/>
          <w:sz w:val="24"/>
          <w:szCs w:val="28"/>
        </w:rPr>
        <w:t>virus-host linkages are reorganized and colored according to BiMat leading eigenvector modules. Four largest modules are highlighted as examples.</w:t>
      </w:r>
      <w:r>
        <w:t xml:space="preserve"> </w:t>
      </w:r>
      <w:r>
        <w:rPr>
          <w:rFonts w:ascii="Arial" w:hAnsi="Arial" w:cs="Arial"/>
          <w:sz w:val="24"/>
          <w:szCs w:val="28"/>
        </w:rPr>
        <w:t>Source data are provided in the Source Data file.</w:t>
      </w:r>
      <w:r>
        <w:rPr>
          <w:rFonts w:ascii="Arial" w:hAnsi="Arial" w:cs="Arial"/>
          <w:sz w:val="24"/>
          <w:szCs w:val="28"/>
        </w:rPr>
        <w:br w:type="page"/>
      </w:r>
    </w:p>
    <w:p>
      <w:pPr>
        <w:spacing w:line="360" w:lineRule="auto"/>
        <w:jc w:val="center"/>
        <w:rPr>
          <w:rFonts w:ascii="Arial" w:hAnsi="Arial" w:cs="Arial"/>
          <w:sz w:val="24"/>
          <w:szCs w:val="28"/>
        </w:rPr>
      </w:pPr>
      <w:r>
        <w:drawing>
          <wp:inline distT="0" distB="0" distL="0" distR="0">
            <wp:extent cx="4679950" cy="4354195"/>
            <wp:effectExtent l="0" t="0" r="635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681622" cy="4355836"/>
                    </a:xfrm>
                    <a:prstGeom prst="rect">
                      <a:avLst/>
                    </a:prstGeom>
                    <a:noFill/>
                    <a:ln>
                      <a:noFill/>
                    </a:ln>
                  </pic:spPr>
                </pic:pic>
              </a:graphicData>
            </a:graphic>
          </wp:inline>
        </w:drawing>
      </w:r>
    </w:p>
    <w:p>
      <w:pPr>
        <w:spacing w:line="360" w:lineRule="auto"/>
        <w:rPr>
          <w:rFonts w:ascii="Arial" w:hAnsi="Arial" w:cs="Arial"/>
          <w:sz w:val="24"/>
          <w:szCs w:val="28"/>
        </w:rPr>
        <w:sectPr>
          <w:pgSz w:w="11906" w:h="16838"/>
          <w:pgMar w:top="1440" w:right="1800" w:bottom="1440" w:left="1800" w:header="851" w:footer="992" w:gutter="0"/>
          <w:cols w:space="425" w:num="1"/>
          <w:docGrid w:type="lines" w:linePitch="312" w:charSpace="0"/>
        </w:sectPr>
      </w:pPr>
      <w:r>
        <w:rPr>
          <w:rFonts w:ascii="Arial" w:hAnsi="Arial" w:eastAsia="等线" w:cs="Arial"/>
          <w:b/>
          <w:bCs/>
          <w:color w:val="000000"/>
          <w:sz w:val="24"/>
          <w:szCs w:val="28"/>
        </w:rPr>
        <w:t>Fig. S10</w:t>
      </w:r>
      <w:r>
        <w:rPr>
          <w:rFonts w:ascii="Arial" w:hAnsi="Arial" w:cs="Arial"/>
          <w:b/>
          <w:bCs/>
          <w:sz w:val="24"/>
          <w:szCs w:val="28"/>
        </w:rPr>
        <w:t xml:space="preserve"> Genomic context and protein structure of selected virus-encoded AMGs.</w:t>
      </w:r>
      <w:r>
        <w:rPr>
          <w:rFonts w:ascii="Arial" w:hAnsi="Arial" w:cs="Arial"/>
          <w:sz w:val="24"/>
          <w:szCs w:val="28"/>
        </w:rPr>
        <w:t xml:space="preserve"> </w:t>
      </w:r>
      <w:r>
        <w:rPr>
          <w:rFonts w:ascii="Arial" w:hAnsi="Arial" w:eastAsia="等线" w:cs="Arial"/>
          <w:b/>
          <w:bCs/>
          <w:color w:val="000000"/>
          <w:sz w:val="24"/>
          <w:szCs w:val="28"/>
        </w:rPr>
        <w:t>a</w:t>
      </w:r>
      <w:r>
        <w:rPr>
          <w:rFonts w:ascii="Arial" w:hAnsi="Arial" w:eastAsia="等线" w:cs="Arial"/>
          <w:color w:val="000000"/>
          <w:sz w:val="24"/>
          <w:szCs w:val="28"/>
        </w:rPr>
        <w:t xml:space="preserve"> </w:t>
      </w:r>
      <w:r>
        <w:rPr>
          <w:rFonts w:ascii="Arial" w:hAnsi="Arial" w:cs="Arial"/>
          <w:sz w:val="24"/>
          <w:szCs w:val="28"/>
        </w:rPr>
        <w:t xml:space="preserve">Genome map of representative AMG-encoding viral contig. Each contig is marked by its genome length. </w:t>
      </w:r>
      <w:bookmarkStart w:id="6" w:name="_Hlk111121103"/>
      <w:r>
        <w:rPr>
          <w:rFonts w:ascii="Arial" w:hAnsi="Arial" w:eastAsia="等线" w:cs="Arial"/>
          <w:b/>
          <w:bCs/>
          <w:color w:val="000000"/>
          <w:sz w:val="24"/>
          <w:szCs w:val="28"/>
        </w:rPr>
        <w:t>b</w:t>
      </w:r>
      <w:r>
        <w:rPr>
          <w:rFonts w:ascii="Arial" w:hAnsi="Arial" w:cs="Arial"/>
          <w:sz w:val="24"/>
          <w:szCs w:val="28"/>
        </w:rPr>
        <w:t xml:space="preserve"> Tertiary structures</w:t>
      </w:r>
      <w:bookmarkEnd w:id="6"/>
      <w:r>
        <w:rPr>
          <w:rFonts w:ascii="Arial" w:hAnsi="Arial" w:cs="Arial"/>
          <w:sz w:val="24"/>
          <w:szCs w:val="28"/>
        </w:rPr>
        <w:t xml:space="preserve"> of selected AMGs based on structural modelling using Phyre2.</w:t>
      </w:r>
      <w:r>
        <w:rPr>
          <w:rFonts w:ascii="Arial" w:hAnsi="Arial" w:cs="Arial"/>
          <w:b/>
          <w:bCs/>
          <w:sz w:val="24"/>
          <w:szCs w:val="28"/>
        </w:rPr>
        <w:t xml:space="preserve"> </w:t>
      </w:r>
      <w:r>
        <w:rPr>
          <w:rFonts w:ascii="Arial" w:hAnsi="Arial" w:cs="Arial"/>
          <w:sz w:val="24"/>
          <w:szCs w:val="28"/>
        </w:rPr>
        <w:t>rpiB: ribose 5-phosphate isomerase B; pstS: phosphate transport system substrate-binding protein; purA: adenylosuccinate synthase; dcd: dCTP deaminase; DNMT: DNA (cytosine-5)-methyltransferase 1; galE: UDP-glucose 4-epimerase; DUT: dUTP pyrophosphatase; thyA: thymidylate synthase.</w:t>
      </w:r>
      <w:r>
        <w:t xml:space="preserve"> </w:t>
      </w:r>
      <w:r>
        <w:rPr>
          <w:rFonts w:ascii="Arial" w:hAnsi="Arial" w:cs="Arial"/>
          <w:sz w:val="24"/>
          <w:szCs w:val="28"/>
        </w:rPr>
        <w:t>Source data are provided in the Source Data file.</w:t>
      </w:r>
    </w:p>
    <w:p>
      <w:pPr>
        <w:spacing w:line="360" w:lineRule="auto"/>
        <w:jc w:val="center"/>
        <w:rPr>
          <w:rFonts w:ascii="Arial" w:hAnsi="Arial" w:cs="Arial"/>
          <w:sz w:val="24"/>
          <w:szCs w:val="28"/>
        </w:rPr>
      </w:pPr>
      <w:r>
        <w:rPr>
          <w:rFonts w:ascii="Arial" w:hAnsi="Arial" w:cs="Arial"/>
        </w:rPr>
        <w:drawing>
          <wp:inline distT="0" distB="0" distL="0" distR="0">
            <wp:extent cx="4977765" cy="31851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0990" cy="3187217"/>
                    </a:xfrm>
                    <a:prstGeom prst="rect">
                      <a:avLst/>
                    </a:prstGeom>
                    <a:noFill/>
                    <a:ln>
                      <a:noFill/>
                    </a:ln>
                  </pic:spPr>
                </pic:pic>
              </a:graphicData>
            </a:graphic>
          </wp:inline>
        </w:drawing>
      </w:r>
    </w:p>
    <w:p>
      <w:pPr>
        <w:spacing w:line="360" w:lineRule="auto"/>
        <w:rPr>
          <w:rFonts w:ascii="Arial" w:hAnsi="Arial" w:cs="Arial"/>
          <w:sz w:val="24"/>
          <w:szCs w:val="28"/>
        </w:rPr>
      </w:pPr>
      <w:r>
        <w:rPr>
          <w:rFonts w:ascii="Arial" w:hAnsi="Arial" w:cs="Arial"/>
          <w:b/>
          <w:bCs/>
          <w:sz w:val="24"/>
          <w:szCs w:val="28"/>
        </w:rPr>
        <w:t xml:space="preserve">Fig. S11 Schematic description of the natural phage therapy in the MR-SNWDC analogous to the target phage therapy used in human body. </w:t>
      </w:r>
      <w:r>
        <w:rPr>
          <w:rFonts w:ascii="Arial" w:hAnsi="Arial" w:cs="Arial"/>
          <w:sz w:val="24"/>
          <w:szCs w:val="28"/>
        </w:rPr>
        <w:t>Highly specific infections of viruses are expected to facilitate precise treatments of pathogen-induced human diseases in clinical practice. The viral predation effects in the MR-SNWDC serve as a natural phage therapy to eliminate the waterborne pathogens.</w:t>
      </w:r>
      <w:r>
        <w:rPr>
          <w:rFonts w:ascii="Arial" w:hAnsi="Arial" w:cs="Arial"/>
          <w:sz w:val="24"/>
          <w:szCs w:val="28"/>
        </w:rPr>
        <w:br w:type="page"/>
      </w:r>
    </w:p>
    <w:p>
      <w:pPr>
        <w:pStyle w:val="25"/>
        <w:rPr>
          <w:szCs w:val="44"/>
        </w:rPr>
      </w:pPr>
      <w:r>
        <w:t>Supplemental T</w:t>
      </w:r>
      <w:r>
        <w:rPr>
          <w:rFonts w:hint="eastAsia"/>
        </w:rPr>
        <w:t>ables</w:t>
      </w:r>
    </w:p>
    <w:p>
      <w:pPr>
        <w:spacing w:after="312" w:afterLines="100" w:line="360" w:lineRule="auto"/>
        <w:rPr>
          <w:rFonts w:ascii="Arial" w:hAnsi="Arial" w:cs="Arial" w:eastAsiaTheme="majorEastAsia"/>
          <w:sz w:val="24"/>
          <w:szCs w:val="24"/>
        </w:rPr>
      </w:pPr>
      <w:r>
        <w:rPr>
          <w:rFonts w:ascii="Arial" w:hAnsi="Arial" w:cs="Arial" w:eastAsiaTheme="majorEastAsia"/>
          <w:b/>
          <w:bCs/>
          <w:sz w:val="24"/>
          <w:szCs w:val="24"/>
        </w:rPr>
        <w:t>Table S1.</w:t>
      </w:r>
      <w:r>
        <w:rPr>
          <w:rFonts w:ascii="Arial" w:hAnsi="Arial" w:cs="Arial" w:eastAsiaTheme="majorEastAsia"/>
          <w:sz w:val="24"/>
          <w:szCs w:val="24"/>
        </w:rPr>
        <w:t xml:space="preserve"> Sequencing depth for each of the 64 samples in autumn and spring.</w:t>
      </w:r>
    </w:p>
    <w:p>
      <w:pPr>
        <w:spacing w:after="312" w:afterLines="100" w:line="360" w:lineRule="auto"/>
        <w:rPr>
          <w:rFonts w:ascii="Arial" w:hAnsi="Arial" w:cs="Arial" w:eastAsiaTheme="majorEastAsia"/>
          <w:sz w:val="24"/>
          <w:szCs w:val="24"/>
        </w:rPr>
      </w:pPr>
      <w:r>
        <w:rPr>
          <w:rFonts w:ascii="Arial" w:hAnsi="Arial" w:cs="Arial" w:eastAsiaTheme="majorEastAsia"/>
          <w:b/>
          <w:bCs/>
          <w:sz w:val="24"/>
          <w:szCs w:val="24"/>
        </w:rPr>
        <w:t xml:space="preserve">Table S2. </w:t>
      </w:r>
      <w:r>
        <w:rPr>
          <w:rFonts w:ascii="Arial" w:hAnsi="Arial" w:cs="Arial" w:eastAsiaTheme="majorEastAsia"/>
          <w:sz w:val="24"/>
          <w:szCs w:val="24"/>
        </w:rPr>
        <w:t>The number and averaged length of vOTUs within different quality levels in autumn and spring.</w:t>
      </w:r>
    </w:p>
    <w:p>
      <w:pPr>
        <w:spacing w:after="312" w:afterLines="100" w:line="360" w:lineRule="auto"/>
        <w:rPr>
          <w:rFonts w:ascii="Arial" w:hAnsi="Arial" w:cs="Arial" w:eastAsiaTheme="majorEastAsia"/>
          <w:sz w:val="24"/>
          <w:szCs w:val="24"/>
        </w:rPr>
      </w:pPr>
      <w:r>
        <w:rPr>
          <w:rFonts w:ascii="Arial" w:hAnsi="Arial" w:cs="Arial" w:eastAsiaTheme="majorEastAsia"/>
          <w:b/>
          <w:bCs/>
          <w:sz w:val="24"/>
          <w:szCs w:val="24"/>
        </w:rPr>
        <w:t xml:space="preserve">Table S3. </w:t>
      </w:r>
      <w:r>
        <w:rPr>
          <w:rFonts w:ascii="Arial" w:hAnsi="Arial" w:cs="Arial" w:eastAsiaTheme="majorEastAsia"/>
          <w:sz w:val="24"/>
          <w:szCs w:val="24"/>
        </w:rPr>
        <w:t>Permutational multivariate analysis of variance (PERMANOVA) for statistical significances of viral and bacterial communities spatiotemporally.</w:t>
      </w:r>
    </w:p>
    <w:p>
      <w:pPr>
        <w:spacing w:after="312" w:afterLines="100" w:line="360" w:lineRule="auto"/>
        <w:rPr>
          <w:rFonts w:ascii="Arial" w:hAnsi="Arial" w:cs="Arial" w:eastAsiaTheme="majorEastAsia"/>
          <w:sz w:val="24"/>
          <w:szCs w:val="24"/>
        </w:rPr>
      </w:pPr>
      <w:r>
        <w:rPr>
          <w:rFonts w:ascii="Arial" w:hAnsi="Arial" w:cs="Arial" w:eastAsiaTheme="majorEastAsia"/>
          <w:b/>
          <w:bCs/>
          <w:sz w:val="24"/>
          <w:szCs w:val="24"/>
        </w:rPr>
        <w:t xml:space="preserve">Table S4. </w:t>
      </w:r>
      <w:r>
        <w:rPr>
          <w:rFonts w:ascii="Arial" w:hAnsi="Arial" w:cs="Arial" w:eastAsiaTheme="majorEastAsia"/>
          <w:sz w:val="24"/>
          <w:szCs w:val="24"/>
        </w:rPr>
        <w:t>Summary of virus-encoded auxiliary metabolism genes (AMGs) identified in the MR-SNWDC.</w:t>
      </w:r>
    </w:p>
    <w:p>
      <w:pPr>
        <w:spacing w:line="360" w:lineRule="auto"/>
        <w:rPr>
          <w:rFonts w:ascii="Arial" w:hAnsi="Arial" w:cs="Arial" w:eastAsiaTheme="majorEastAsia"/>
          <w:sz w:val="24"/>
          <w:szCs w:val="24"/>
        </w:rPr>
      </w:pPr>
    </w:p>
    <w:p>
      <w:pPr>
        <w:pStyle w:val="25"/>
      </w:pPr>
      <w:r>
        <w:t>Supplemental Reference</w:t>
      </w:r>
      <w:bookmarkStart w:id="7" w:name="_GoBack"/>
      <w:bookmarkEnd w:id="7"/>
      <w:r>
        <w:t>s</w:t>
      </w:r>
    </w:p>
    <w:p>
      <w:pPr>
        <w:pStyle w:val="18"/>
        <w:spacing w:line="360" w:lineRule="auto"/>
        <w:ind w:left="480" w:hanging="480" w:hangingChars="200"/>
        <w:contextualSpacing/>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ADDIN EN.REFLIST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rPr>
        <w:tab/>
      </w:r>
      <w:r>
        <w:rPr>
          <w:rFonts w:hint="default" w:ascii="Arial" w:hAnsi="Arial" w:cs="Arial"/>
          <w:sz w:val="24"/>
          <w:szCs w:val="24"/>
        </w:rPr>
        <w:t>Roux S, Páez-Espino D, Chen I-MA, Palaniappan K, Ratner A, Chu K, et al. IMG/VR v3: an integrated ecological and evolutionary framework for interrogating genomes of uncultivated viruses</w:t>
      </w:r>
      <w:r>
        <w:rPr>
          <w:rFonts w:hint="default" w:ascii="Arial" w:hAnsi="Arial" w:cs="Arial"/>
          <w:i/>
          <w:sz w:val="24"/>
          <w:szCs w:val="24"/>
        </w:rPr>
        <w:t>.</w:t>
      </w:r>
      <w:r>
        <w:rPr>
          <w:rFonts w:hint="default" w:ascii="Arial" w:hAnsi="Arial" w:cs="Arial"/>
          <w:sz w:val="24"/>
          <w:szCs w:val="24"/>
        </w:rPr>
        <w:t xml:space="preserve"> Nucleic Acids Res. 2020;49:D764-D775.</w:t>
      </w:r>
    </w:p>
    <w:p>
      <w:pPr>
        <w:pStyle w:val="18"/>
        <w:spacing w:line="360" w:lineRule="auto"/>
        <w:ind w:left="480" w:hanging="480" w:hangingChars="200"/>
        <w:contextualSpacing/>
        <w:rPr>
          <w:rFonts w:hint="default" w:ascii="Arial" w:hAnsi="Arial" w:cs="Arial"/>
          <w:sz w:val="24"/>
          <w:szCs w:val="24"/>
        </w:rPr>
      </w:pPr>
      <w:r>
        <w:rPr>
          <w:rFonts w:hint="default" w:ascii="Arial" w:hAnsi="Arial" w:cs="Arial"/>
          <w:sz w:val="24"/>
          <w:szCs w:val="24"/>
        </w:rPr>
        <w:t>2.</w:t>
      </w:r>
      <w:r>
        <w:rPr>
          <w:rFonts w:hint="default" w:ascii="Arial" w:hAnsi="Arial" w:cs="Arial"/>
          <w:sz w:val="24"/>
          <w:szCs w:val="24"/>
        </w:rPr>
        <w:tab/>
      </w:r>
      <w:r>
        <w:rPr>
          <w:rFonts w:hint="default" w:ascii="Arial" w:hAnsi="Arial" w:cs="Arial"/>
          <w:sz w:val="24"/>
          <w:szCs w:val="24"/>
        </w:rPr>
        <w:t>Hyatt D, Chen GL, LoCascio PF, Land ML, Larimer FW, Hauser LJ. Prodigal: prokaryotic gene recognition and translation initiation site identification</w:t>
      </w:r>
      <w:r>
        <w:rPr>
          <w:rFonts w:hint="default" w:ascii="Arial" w:hAnsi="Arial" w:cs="Arial"/>
          <w:i/>
          <w:sz w:val="24"/>
          <w:szCs w:val="24"/>
        </w:rPr>
        <w:t>.</w:t>
      </w:r>
      <w:r>
        <w:rPr>
          <w:rFonts w:hint="default" w:ascii="Arial" w:hAnsi="Arial" w:cs="Arial"/>
          <w:sz w:val="24"/>
          <w:szCs w:val="24"/>
        </w:rPr>
        <w:t xml:space="preserve"> BMC Bioinformatics. 2010;11:119.</w:t>
      </w:r>
    </w:p>
    <w:p>
      <w:pPr>
        <w:pStyle w:val="18"/>
        <w:spacing w:line="360" w:lineRule="auto"/>
        <w:ind w:left="480" w:hanging="480" w:hangingChars="200"/>
        <w:contextualSpacing/>
        <w:rPr>
          <w:rFonts w:hint="default" w:ascii="Arial" w:hAnsi="Arial" w:cs="Arial"/>
          <w:sz w:val="24"/>
          <w:szCs w:val="24"/>
        </w:rPr>
      </w:pPr>
      <w:r>
        <w:rPr>
          <w:rFonts w:hint="default" w:ascii="Arial" w:hAnsi="Arial" w:cs="Arial"/>
          <w:sz w:val="24"/>
          <w:szCs w:val="24"/>
        </w:rPr>
        <w:t>3.</w:t>
      </w:r>
      <w:r>
        <w:rPr>
          <w:rFonts w:hint="default" w:ascii="Arial" w:hAnsi="Arial" w:cs="Arial"/>
          <w:sz w:val="24"/>
          <w:szCs w:val="24"/>
        </w:rPr>
        <w:tab/>
      </w:r>
      <w:r>
        <w:rPr>
          <w:rFonts w:hint="default" w:ascii="Arial" w:hAnsi="Arial" w:cs="Arial"/>
          <w:sz w:val="24"/>
          <w:szCs w:val="24"/>
        </w:rPr>
        <w:t>Jang HB, Bolduc B, Zablocki O, Kuhn JH, Roux S, Adriaenssens EM, et al. Taxonomic assignment of uncultivated prokaryotic virus genomes is enabled by gene-sharing networks</w:t>
      </w:r>
      <w:r>
        <w:rPr>
          <w:rFonts w:hint="default" w:ascii="Arial" w:hAnsi="Arial" w:cs="Arial"/>
          <w:i/>
          <w:sz w:val="24"/>
          <w:szCs w:val="24"/>
        </w:rPr>
        <w:t>.</w:t>
      </w:r>
      <w:r>
        <w:rPr>
          <w:rFonts w:hint="default" w:ascii="Arial" w:hAnsi="Arial" w:cs="Arial"/>
          <w:sz w:val="24"/>
          <w:szCs w:val="24"/>
        </w:rPr>
        <w:t xml:space="preserve"> Nat Biotechnol. 2019;37:632-639.</w:t>
      </w:r>
    </w:p>
    <w:p>
      <w:pPr>
        <w:pStyle w:val="18"/>
        <w:spacing w:line="360" w:lineRule="auto"/>
        <w:ind w:left="480" w:hanging="480" w:hangingChars="200"/>
        <w:contextualSpacing/>
        <w:rPr>
          <w:rFonts w:hint="default" w:ascii="Arial" w:hAnsi="Arial" w:cs="Arial"/>
          <w:sz w:val="24"/>
          <w:szCs w:val="24"/>
        </w:rPr>
      </w:pPr>
      <w:r>
        <w:rPr>
          <w:rFonts w:hint="default" w:ascii="Arial" w:hAnsi="Arial" w:cs="Arial"/>
          <w:sz w:val="24"/>
          <w:szCs w:val="24"/>
        </w:rPr>
        <w:t>4.</w:t>
      </w:r>
      <w:r>
        <w:rPr>
          <w:rFonts w:hint="default" w:ascii="Arial" w:hAnsi="Arial" w:cs="Arial"/>
          <w:sz w:val="24"/>
          <w:szCs w:val="24"/>
        </w:rPr>
        <w:tab/>
      </w:r>
      <w:r>
        <w:rPr>
          <w:rFonts w:hint="default" w:ascii="Arial" w:hAnsi="Arial" w:cs="Arial"/>
          <w:sz w:val="24"/>
          <w:szCs w:val="24"/>
        </w:rPr>
        <w:t>Buchfink B, Xie C, Huson DH. Fast and sensitive protein alignment using DIAMOND</w:t>
      </w:r>
      <w:r>
        <w:rPr>
          <w:rFonts w:hint="default" w:ascii="Arial" w:hAnsi="Arial" w:cs="Arial"/>
          <w:i/>
          <w:sz w:val="24"/>
          <w:szCs w:val="24"/>
        </w:rPr>
        <w:t>.</w:t>
      </w:r>
      <w:r>
        <w:rPr>
          <w:rFonts w:hint="default" w:ascii="Arial" w:hAnsi="Arial" w:cs="Arial"/>
          <w:sz w:val="24"/>
          <w:szCs w:val="24"/>
        </w:rPr>
        <w:t xml:space="preserve"> Nat Methods. 2015;12:59-60.</w:t>
      </w:r>
    </w:p>
    <w:p>
      <w:pPr>
        <w:pStyle w:val="18"/>
        <w:spacing w:line="360" w:lineRule="auto"/>
        <w:ind w:left="480" w:hanging="480" w:hangingChars="200"/>
        <w:contextualSpacing/>
        <w:rPr>
          <w:rFonts w:hint="default" w:ascii="Arial" w:hAnsi="Arial" w:cs="Arial"/>
          <w:sz w:val="24"/>
          <w:szCs w:val="24"/>
        </w:rPr>
      </w:pPr>
      <w:r>
        <w:rPr>
          <w:rFonts w:hint="default" w:ascii="Arial" w:hAnsi="Arial" w:cs="Arial"/>
          <w:sz w:val="24"/>
          <w:szCs w:val="24"/>
        </w:rPr>
        <w:t>5.</w:t>
      </w:r>
      <w:r>
        <w:rPr>
          <w:rFonts w:hint="default" w:ascii="Arial" w:hAnsi="Arial" w:cs="Arial"/>
          <w:sz w:val="24"/>
          <w:szCs w:val="24"/>
        </w:rPr>
        <w:tab/>
      </w:r>
      <w:r>
        <w:rPr>
          <w:rFonts w:hint="default" w:ascii="Arial" w:hAnsi="Arial" w:cs="Arial"/>
          <w:sz w:val="24"/>
          <w:szCs w:val="24"/>
        </w:rPr>
        <w:t>Nepusz T, Yu HY, Paccanaro A. Detecting overlapping protein complexes in protein-protein interaction networks</w:t>
      </w:r>
      <w:r>
        <w:rPr>
          <w:rFonts w:hint="default" w:ascii="Arial" w:hAnsi="Arial" w:cs="Arial"/>
          <w:i/>
          <w:sz w:val="24"/>
          <w:szCs w:val="24"/>
        </w:rPr>
        <w:t>.</w:t>
      </w:r>
      <w:r>
        <w:rPr>
          <w:rFonts w:hint="default" w:ascii="Arial" w:hAnsi="Arial" w:cs="Arial"/>
          <w:sz w:val="24"/>
          <w:szCs w:val="24"/>
        </w:rPr>
        <w:t xml:space="preserve"> Nat Methods. 2012;9:471-472.</w:t>
      </w:r>
    </w:p>
    <w:p>
      <w:pPr>
        <w:pStyle w:val="18"/>
        <w:spacing w:line="360" w:lineRule="auto"/>
        <w:ind w:left="480" w:hanging="480" w:hangingChars="200"/>
        <w:contextualSpacing/>
        <w:rPr>
          <w:rFonts w:hint="default" w:ascii="Arial" w:hAnsi="Arial" w:cs="Arial"/>
          <w:sz w:val="24"/>
          <w:szCs w:val="24"/>
        </w:rPr>
      </w:pPr>
      <w:r>
        <w:rPr>
          <w:rFonts w:hint="default" w:ascii="Arial" w:hAnsi="Arial" w:cs="Arial"/>
          <w:sz w:val="24"/>
          <w:szCs w:val="24"/>
        </w:rPr>
        <w:t>6.</w:t>
      </w:r>
      <w:r>
        <w:rPr>
          <w:rFonts w:hint="default" w:ascii="Arial" w:hAnsi="Arial" w:cs="Arial"/>
          <w:sz w:val="24"/>
          <w:szCs w:val="24"/>
        </w:rPr>
        <w:tab/>
      </w:r>
      <w:r>
        <w:rPr>
          <w:rFonts w:hint="default" w:ascii="Arial" w:hAnsi="Arial" w:cs="Arial"/>
          <w:sz w:val="24"/>
          <w:szCs w:val="24"/>
        </w:rPr>
        <w:t>Flores CO, Poisot T, Valverde S, Weitz JS. BiMat: a MATLAB package to facilitate the analysis of bipartite networks</w:t>
      </w:r>
      <w:r>
        <w:rPr>
          <w:rFonts w:hint="default" w:ascii="Arial" w:hAnsi="Arial" w:cs="Arial"/>
          <w:i/>
          <w:sz w:val="24"/>
          <w:szCs w:val="24"/>
        </w:rPr>
        <w:t>.</w:t>
      </w:r>
      <w:r>
        <w:rPr>
          <w:rFonts w:hint="default" w:ascii="Arial" w:hAnsi="Arial" w:cs="Arial"/>
          <w:sz w:val="24"/>
          <w:szCs w:val="24"/>
        </w:rPr>
        <w:t xml:space="preserve"> Methods Ecol Evol. 2016;7:127-132.</w:t>
      </w:r>
    </w:p>
    <w:p>
      <w:pPr>
        <w:pStyle w:val="18"/>
        <w:spacing w:line="360" w:lineRule="auto"/>
        <w:ind w:left="480" w:hanging="480" w:hangingChars="200"/>
        <w:contextualSpacing/>
        <w:rPr>
          <w:rFonts w:hint="default" w:ascii="Arial" w:hAnsi="Arial" w:cs="Arial"/>
          <w:sz w:val="24"/>
          <w:szCs w:val="24"/>
        </w:rPr>
      </w:pPr>
      <w:r>
        <w:rPr>
          <w:rFonts w:hint="default" w:ascii="Arial" w:hAnsi="Arial" w:cs="Arial"/>
          <w:sz w:val="24"/>
          <w:szCs w:val="24"/>
        </w:rPr>
        <w:t>7.</w:t>
      </w:r>
      <w:r>
        <w:rPr>
          <w:rFonts w:hint="default" w:ascii="Arial" w:hAnsi="Arial" w:cs="Arial"/>
          <w:sz w:val="24"/>
          <w:szCs w:val="24"/>
        </w:rPr>
        <w:tab/>
      </w:r>
      <w:r>
        <w:rPr>
          <w:rFonts w:hint="default" w:ascii="Arial" w:hAnsi="Arial" w:cs="Arial"/>
          <w:sz w:val="24"/>
          <w:szCs w:val="24"/>
        </w:rPr>
        <w:t>Kauffman KM, Chang WK, Brown JM, Hussain FA, Yang J, Polz MF, et al. Resolving the structure of phage–bacteria interactions in the context of natural diversity</w:t>
      </w:r>
      <w:r>
        <w:rPr>
          <w:rFonts w:hint="default" w:ascii="Arial" w:hAnsi="Arial" w:cs="Arial"/>
          <w:i/>
          <w:sz w:val="24"/>
          <w:szCs w:val="24"/>
        </w:rPr>
        <w:t>.</w:t>
      </w:r>
      <w:r>
        <w:rPr>
          <w:rFonts w:hint="default" w:ascii="Arial" w:hAnsi="Arial" w:cs="Arial"/>
          <w:sz w:val="24"/>
          <w:szCs w:val="24"/>
        </w:rPr>
        <w:t xml:space="preserve"> Nat Commun. 2022;13:372.</w:t>
      </w:r>
    </w:p>
    <w:p>
      <w:pPr>
        <w:pStyle w:val="18"/>
        <w:spacing w:line="360" w:lineRule="auto"/>
        <w:ind w:left="480" w:hanging="480" w:hangingChars="200"/>
        <w:contextualSpacing/>
        <w:rPr>
          <w:rFonts w:hint="default" w:ascii="Arial" w:hAnsi="Arial" w:cs="Arial"/>
          <w:sz w:val="24"/>
          <w:szCs w:val="24"/>
        </w:rPr>
      </w:pPr>
      <w:r>
        <w:rPr>
          <w:rFonts w:hint="default" w:ascii="Arial" w:hAnsi="Arial" w:cs="Arial"/>
          <w:sz w:val="24"/>
          <w:szCs w:val="24"/>
        </w:rPr>
        <w:t>8.</w:t>
      </w:r>
      <w:r>
        <w:rPr>
          <w:rFonts w:hint="default" w:ascii="Arial" w:hAnsi="Arial" w:cs="Arial"/>
          <w:sz w:val="24"/>
          <w:szCs w:val="24"/>
        </w:rPr>
        <w:tab/>
      </w:r>
      <w:r>
        <w:rPr>
          <w:rFonts w:hint="default" w:ascii="Arial" w:hAnsi="Arial" w:cs="Arial"/>
          <w:sz w:val="24"/>
          <w:szCs w:val="24"/>
        </w:rPr>
        <w:t>Nayfach S, Camargo AP, Schulz F, Eloe-Fadrosh E, Roux S, Kyrpides NC. CheckV assesses the quality and completeness of metagenome-assembled viral genomes</w:t>
      </w:r>
      <w:r>
        <w:rPr>
          <w:rFonts w:hint="default" w:ascii="Arial" w:hAnsi="Arial" w:cs="Arial"/>
          <w:i/>
          <w:sz w:val="24"/>
          <w:szCs w:val="24"/>
        </w:rPr>
        <w:t>.</w:t>
      </w:r>
      <w:r>
        <w:rPr>
          <w:rFonts w:hint="default" w:ascii="Arial" w:hAnsi="Arial" w:cs="Arial"/>
          <w:sz w:val="24"/>
          <w:szCs w:val="24"/>
        </w:rPr>
        <w:t xml:space="preserve"> Nat Biotechnol. 2021;39:578-585.</w:t>
      </w:r>
    </w:p>
    <w:p>
      <w:pPr>
        <w:pStyle w:val="18"/>
        <w:spacing w:line="360" w:lineRule="auto"/>
        <w:ind w:left="480" w:hanging="480" w:hangingChars="200"/>
        <w:contextualSpacing/>
        <w:rPr>
          <w:rFonts w:hint="default" w:ascii="Arial" w:hAnsi="Arial" w:cs="Arial"/>
          <w:sz w:val="24"/>
          <w:szCs w:val="24"/>
        </w:rPr>
      </w:pPr>
      <w:r>
        <w:rPr>
          <w:rFonts w:hint="default" w:ascii="Arial" w:hAnsi="Arial" w:cs="Arial"/>
          <w:sz w:val="24"/>
          <w:szCs w:val="24"/>
        </w:rPr>
        <w:t>9.</w:t>
      </w:r>
      <w:r>
        <w:rPr>
          <w:rFonts w:hint="default" w:ascii="Arial" w:hAnsi="Arial" w:cs="Arial"/>
          <w:sz w:val="24"/>
          <w:szCs w:val="24"/>
        </w:rPr>
        <w:tab/>
      </w:r>
      <w:r>
        <w:rPr>
          <w:rFonts w:hint="default" w:ascii="Arial" w:hAnsi="Arial" w:cs="Arial"/>
          <w:sz w:val="24"/>
          <w:szCs w:val="24"/>
        </w:rPr>
        <w:t>Huerta-Cepas J, Szklarczyk D, Heller D, Hernández-Plaza A, Forslund SK, Cook H, et al. eggNOG 5.0: a hierarchical, functionally and phylogenetically annotated orthology resource based on 5090 organisms and 2502 viruses</w:t>
      </w:r>
      <w:r>
        <w:rPr>
          <w:rFonts w:hint="default" w:ascii="Arial" w:hAnsi="Arial" w:cs="Arial"/>
          <w:i/>
          <w:sz w:val="24"/>
          <w:szCs w:val="24"/>
        </w:rPr>
        <w:t>.</w:t>
      </w:r>
      <w:r>
        <w:rPr>
          <w:rFonts w:hint="default" w:ascii="Arial" w:hAnsi="Arial" w:cs="Arial"/>
          <w:sz w:val="24"/>
          <w:szCs w:val="24"/>
        </w:rPr>
        <w:t xml:space="preserve"> Nucleic Acids Res. 2018;47:D309-D314.</w:t>
      </w:r>
    </w:p>
    <w:p>
      <w:pPr>
        <w:pStyle w:val="18"/>
        <w:spacing w:line="360" w:lineRule="auto"/>
        <w:ind w:left="480" w:hanging="480" w:hangingChars="200"/>
        <w:contextualSpacing/>
        <w:rPr>
          <w:rFonts w:hint="default" w:ascii="Arial" w:hAnsi="Arial" w:cs="Arial"/>
          <w:sz w:val="24"/>
          <w:szCs w:val="24"/>
        </w:rPr>
      </w:pPr>
      <w:r>
        <w:rPr>
          <w:rFonts w:hint="default" w:ascii="Arial" w:hAnsi="Arial" w:cs="Arial"/>
          <w:sz w:val="24"/>
          <w:szCs w:val="24"/>
        </w:rPr>
        <w:t>10.</w:t>
      </w:r>
      <w:r>
        <w:rPr>
          <w:rFonts w:hint="default" w:ascii="Arial" w:hAnsi="Arial" w:cs="Arial"/>
          <w:sz w:val="24"/>
          <w:szCs w:val="24"/>
        </w:rPr>
        <w:tab/>
      </w:r>
      <w:r>
        <w:rPr>
          <w:rFonts w:hint="default" w:ascii="Arial" w:hAnsi="Arial" w:cs="Arial"/>
          <w:sz w:val="24"/>
          <w:szCs w:val="24"/>
        </w:rPr>
        <w:t>Huerta-Cepas J, Forslund K, Coelho LP, Szklarczyk D, Jensen LJ, von Mering C, et al. Fast genome-wide functional annotation through orthology assignment by eggNOG-mapper</w:t>
      </w:r>
      <w:r>
        <w:rPr>
          <w:rFonts w:hint="default" w:ascii="Arial" w:hAnsi="Arial" w:cs="Arial"/>
          <w:i/>
          <w:sz w:val="24"/>
          <w:szCs w:val="24"/>
        </w:rPr>
        <w:t>.</w:t>
      </w:r>
      <w:r>
        <w:rPr>
          <w:rFonts w:hint="default" w:ascii="Arial" w:hAnsi="Arial" w:cs="Arial"/>
          <w:sz w:val="24"/>
          <w:szCs w:val="24"/>
        </w:rPr>
        <w:t xml:space="preserve"> Mol Biol Evol. 2017;34:2115-2122.</w:t>
      </w:r>
    </w:p>
    <w:p>
      <w:pPr>
        <w:pStyle w:val="18"/>
        <w:spacing w:line="360" w:lineRule="auto"/>
        <w:ind w:left="480" w:hanging="480" w:hangingChars="200"/>
        <w:contextualSpacing/>
        <w:rPr>
          <w:rFonts w:hint="default" w:ascii="Arial" w:hAnsi="Arial" w:cs="Arial"/>
          <w:sz w:val="24"/>
          <w:szCs w:val="24"/>
        </w:rPr>
      </w:pPr>
      <w:r>
        <w:rPr>
          <w:rFonts w:hint="default" w:ascii="Arial" w:hAnsi="Arial" w:cs="Arial"/>
          <w:sz w:val="24"/>
          <w:szCs w:val="24"/>
        </w:rPr>
        <w:t>11.</w:t>
      </w:r>
      <w:r>
        <w:rPr>
          <w:rFonts w:hint="default" w:ascii="Arial" w:hAnsi="Arial" w:cs="Arial"/>
          <w:sz w:val="24"/>
          <w:szCs w:val="24"/>
        </w:rPr>
        <w:tab/>
      </w:r>
      <w:r>
        <w:rPr>
          <w:rFonts w:hint="default" w:ascii="Arial" w:hAnsi="Arial" w:cs="Arial"/>
          <w:sz w:val="24"/>
          <w:szCs w:val="24"/>
        </w:rPr>
        <w:t>Kieft K, Zhou ZC, Anantharaman K. VIBRANT: automated recovery, annotation and curation of microbial viruses, and evaluation of viral community function from genomic sequences</w:t>
      </w:r>
      <w:r>
        <w:rPr>
          <w:rFonts w:hint="default" w:ascii="Arial" w:hAnsi="Arial" w:cs="Arial"/>
          <w:i/>
          <w:sz w:val="24"/>
          <w:szCs w:val="24"/>
        </w:rPr>
        <w:t>.</w:t>
      </w:r>
      <w:r>
        <w:rPr>
          <w:rFonts w:hint="default" w:ascii="Arial" w:hAnsi="Arial" w:cs="Arial"/>
          <w:sz w:val="24"/>
          <w:szCs w:val="24"/>
        </w:rPr>
        <w:t xml:space="preserve"> Microbiome. 2020;8:90.</w:t>
      </w:r>
    </w:p>
    <w:p>
      <w:pPr>
        <w:pStyle w:val="18"/>
        <w:spacing w:line="360" w:lineRule="auto"/>
        <w:ind w:left="480" w:hanging="480" w:hangingChars="200"/>
        <w:contextualSpacing/>
        <w:rPr>
          <w:rFonts w:hint="default" w:ascii="Arial" w:hAnsi="Arial" w:cs="Arial"/>
          <w:sz w:val="24"/>
          <w:szCs w:val="24"/>
        </w:rPr>
      </w:pPr>
      <w:r>
        <w:rPr>
          <w:rFonts w:hint="default" w:ascii="Arial" w:hAnsi="Arial" w:cs="Arial"/>
          <w:sz w:val="24"/>
          <w:szCs w:val="24"/>
        </w:rPr>
        <w:t>12.</w:t>
      </w:r>
      <w:r>
        <w:rPr>
          <w:rFonts w:hint="default" w:ascii="Arial" w:hAnsi="Arial" w:cs="Arial"/>
          <w:sz w:val="24"/>
          <w:szCs w:val="24"/>
        </w:rPr>
        <w:tab/>
      </w:r>
      <w:r>
        <w:rPr>
          <w:rFonts w:hint="default" w:ascii="Arial" w:hAnsi="Arial" w:cs="Arial"/>
          <w:sz w:val="24"/>
          <w:szCs w:val="24"/>
        </w:rPr>
        <w:t>Guo J, Bolduc B, Zayed AA, Varsani A, Dominguez-Huerta G, Delmont TO, et al. VirSorter2: a multi-classifier, expert-guided approach to detect diverse DNA and RNA viruses</w:t>
      </w:r>
      <w:r>
        <w:rPr>
          <w:rFonts w:hint="default" w:ascii="Arial" w:hAnsi="Arial" w:cs="Arial"/>
          <w:i/>
          <w:sz w:val="24"/>
          <w:szCs w:val="24"/>
        </w:rPr>
        <w:t>.</w:t>
      </w:r>
      <w:r>
        <w:rPr>
          <w:rFonts w:hint="default" w:ascii="Arial" w:hAnsi="Arial" w:cs="Arial"/>
          <w:sz w:val="24"/>
          <w:szCs w:val="24"/>
        </w:rPr>
        <w:t xml:space="preserve"> Microbiome. 2021;9:37.</w:t>
      </w:r>
    </w:p>
    <w:p>
      <w:pPr>
        <w:pStyle w:val="18"/>
        <w:spacing w:line="360" w:lineRule="auto"/>
        <w:ind w:left="480" w:hanging="480" w:hangingChars="200"/>
        <w:contextualSpacing/>
        <w:rPr>
          <w:rFonts w:hint="default" w:ascii="Arial" w:hAnsi="Arial" w:cs="Arial"/>
          <w:sz w:val="24"/>
          <w:szCs w:val="24"/>
        </w:rPr>
      </w:pPr>
      <w:r>
        <w:rPr>
          <w:rFonts w:hint="default" w:ascii="Arial" w:hAnsi="Arial" w:cs="Arial"/>
          <w:sz w:val="24"/>
          <w:szCs w:val="24"/>
        </w:rPr>
        <w:t>13.</w:t>
      </w:r>
      <w:r>
        <w:rPr>
          <w:rFonts w:hint="default" w:ascii="Arial" w:hAnsi="Arial" w:cs="Arial"/>
          <w:sz w:val="24"/>
          <w:szCs w:val="24"/>
        </w:rPr>
        <w:tab/>
      </w:r>
      <w:r>
        <w:rPr>
          <w:rFonts w:hint="default" w:ascii="Arial" w:hAnsi="Arial" w:cs="Arial"/>
          <w:sz w:val="24"/>
          <w:szCs w:val="24"/>
        </w:rPr>
        <w:t>Shaffer M, Borton MA, McGivern BB, Zayed AA, La Rosa Sabina L, Solden LM, et al. DRAM for distilling microbial metabolism to automate the curation of microbiome function</w:t>
      </w:r>
      <w:r>
        <w:rPr>
          <w:rFonts w:hint="default" w:ascii="Arial" w:hAnsi="Arial" w:cs="Arial"/>
          <w:i/>
          <w:sz w:val="24"/>
          <w:szCs w:val="24"/>
        </w:rPr>
        <w:t>.</w:t>
      </w:r>
      <w:r>
        <w:rPr>
          <w:rFonts w:hint="default" w:ascii="Arial" w:hAnsi="Arial" w:cs="Arial"/>
          <w:sz w:val="24"/>
          <w:szCs w:val="24"/>
        </w:rPr>
        <w:t xml:space="preserve"> Nucleic Acids Res. 2020;48:8883-8900.</w:t>
      </w:r>
    </w:p>
    <w:p>
      <w:pPr>
        <w:pStyle w:val="18"/>
        <w:spacing w:line="360" w:lineRule="auto"/>
        <w:ind w:left="480" w:hanging="480" w:hangingChars="200"/>
        <w:contextualSpacing/>
        <w:rPr>
          <w:rFonts w:hint="default" w:ascii="Arial" w:hAnsi="Arial" w:cs="Arial"/>
          <w:sz w:val="24"/>
          <w:szCs w:val="24"/>
        </w:rPr>
      </w:pPr>
      <w:r>
        <w:rPr>
          <w:rFonts w:hint="default" w:ascii="Arial" w:hAnsi="Arial" w:cs="Arial"/>
          <w:sz w:val="24"/>
          <w:szCs w:val="24"/>
        </w:rPr>
        <w:t>14.</w:t>
      </w:r>
      <w:r>
        <w:rPr>
          <w:rFonts w:hint="default" w:ascii="Arial" w:hAnsi="Arial" w:cs="Arial"/>
          <w:sz w:val="24"/>
          <w:szCs w:val="24"/>
        </w:rPr>
        <w:tab/>
      </w:r>
      <w:r>
        <w:rPr>
          <w:rFonts w:hint="default" w:ascii="Arial" w:hAnsi="Arial" w:cs="Arial"/>
          <w:sz w:val="24"/>
          <w:szCs w:val="24"/>
        </w:rPr>
        <w:t>Pratama AA, Bolduc B, Zayed AA, Zhong ZP, Guo JR, Vik DR, et al. Expanding standards in viromics: in silico evaluation of dsDNA viral genome identification, classification, and auxiliary metabolic gene curation</w:t>
      </w:r>
      <w:r>
        <w:rPr>
          <w:rFonts w:hint="default" w:ascii="Arial" w:hAnsi="Arial" w:cs="Arial"/>
          <w:i/>
          <w:sz w:val="24"/>
          <w:szCs w:val="24"/>
        </w:rPr>
        <w:t>.</w:t>
      </w:r>
      <w:r>
        <w:rPr>
          <w:rFonts w:hint="default" w:ascii="Arial" w:hAnsi="Arial" w:cs="Arial"/>
          <w:sz w:val="24"/>
          <w:szCs w:val="24"/>
        </w:rPr>
        <w:t xml:space="preserve"> PeerJ. 2021;9:e11447.</w:t>
      </w:r>
    </w:p>
    <w:p>
      <w:pPr>
        <w:pStyle w:val="18"/>
        <w:spacing w:line="360" w:lineRule="auto"/>
        <w:ind w:left="480" w:hanging="480" w:hangingChars="200"/>
        <w:contextualSpacing/>
        <w:rPr>
          <w:rFonts w:hint="default" w:ascii="Arial" w:hAnsi="Arial" w:cs="Arial"/>
          <w:sz w:val="24"/>
          <w:szCs w:val="24"/>
        </w:rPr>
      </w:pPr>
      <w:r>
        <w:rPr>
          <w:rFonts w:hint="default" w:ascii="Arial" w:hAnsi="Arial" w:cs="Arial"/>
          <w:sz w:val="24"/>
          <w:szCs w:val="24"/>
        </w:rPr>
        <w:t>15.</w:t>
      </w:r>
      <w:r>
        <w:rPr>
          <w:rFonts w:hint="default" w:ascii="Arial" w:hAnsi="Arial" w:cs="Arial"/>
          <w:sz w:val="24"/>
          <w:szCs w:val="24"/>
        </w:rPr>
        <w:tab/>
      </w:r>
      <w:r>
        <w:rPr>
          <w:rFonts w:hint="default" w:ascii="Arial" w:hAnsi="Arial" w:cs="Arial"/>
          <w:sz w:val="24"/>
          <w:szCs w:val="24"/>
        </w:rPr>
        <w:t>Kelley LA, Mezulis S, Yates CM, Wass MN, Sternberg MJE. The Phyre2 web portal for protein modeling, prediction and analysis</w:t>
      </w:r>
      <w:r>
        <w:rPr>
          <w:rFonts w:hint="default" w:ascii="Arial" w:hAnsi="Arial" w:cs="Arial"/>
          <w:i/>
          <w:sz w:val="24"/>
          <w:szCs w:val="24"/>
        </w:rPr>
        <w:t>.</w:t>
      </w:r>
      <w:r>
        <w:rPr>
          <w:rFonts w:hint="default" w:ascii="Arial" w:hAnsi="Arial" w:cs="Arial"/>
          <w:sz w:val="24"/>
          <w:szCs w:val="24"/>
        </w:rPr>
        <w:t xml:space="preserve"> Nat Protoc. 2015;10:845-858.</w:t>
      </w:r>
    </w:p>
    <w:p>
      <w:pPr>
        <w:pStyle w:val="18"/>
        <w:spacing w:line="360" w:lineRule="auto"/>
        <w:ind w:left="480" w:hanging="480" w:hangingChars="200"/>
        <w:contextualSpacing/>
        <w:rPr>
          <w:rFonts w:hint="default" w:ascii="Arial" w:hAnsi="Arial" w:cs="Arial"/>
          <w:sz w:val="24"/>
          <w:szCs w:val="24"/>
        </w:rPr>
      </w:pPr>
      <w:r>
        <w:rPr>
          <w:rFonts w:hint="default" w:ascii="Arial" w:hAnsi="Arial" w:cs="Arial"/>
          <w:sz w:val="24"/>
          <w:szCs w:val="24"/>
        </w:rPr>
        <w:t>16.</w:t>
      </w:r>
      <w:r>
        <w:rPr>
          <w:rFonts w:hint="default" w:ascii="Arial" w:hAnsi="Arial" w:cs="Arial"/>
          <w:sz w:val="24"/>
          <w:szCs w:val="24"/>
        </w:rPr>
        <w:tab/>
      </w:r>
      <w:r>
        <w:rPr>
          <w:rFonts w:hint="default" w:ascii="Arial" w:hAnsi="Arial" w:cs="Arial"/>
          <w:sz w:val="24"/>
          <w:szCs w:val="24"/>
        </w:rPr>
        <w:t>Sigrist CJA, de Castro E, Cerutti L, Cuche BA, Hulo N, Bridge A, et al. New and continuing developments at PROSITE</w:t>
      </w:r>
      <w:r>
        <w:rPr>
          <w:rFonts w:hint="default" w:ascii="Arial" w:hAnsi="Arial" w:cs="Arial"/>
          <w:i/>
          <w:sz w:val="24"/>
          <w:szCs w:val="24"/>
        </w:rPr>
        <w:t>.</w:t>
      </w:r>
      <w:r>
        <w:rPr>
          <w:rFonts w:hint="default" w:ascii="Arial" w:hAnsi="Arial" w:cs="Arial"/>
          <w:sz w:val="24"/>
          <w:szCs w:val="24"/>
        </w:rPr>
        <w:t xml:space="preserve"> Nucleic Acids Res. 2012;41:D344-D347.</w:t>
      </w:r>
    </w:p>
    <w:p>
      <w:pPr>
        <w:spacing w:line="360" w:lineRule="auto"/>
        <w:ind w:left="480" w:hanging="480" w:hangingChars="200"/>
        <w:contextualSpacing/>
        <w:rPr>
          <w:rFonts w:ascii="Arial" w:hAnsi="Arial" w:cs="Arial"/>
          <w:sz w:val="24"/>
          <w:szCs w:val="24"/>
        </w:rPr>
      </w:pPr>
      <w:r>
        <w:rPr>
          <w:rFonts w:hint="default" w:ascii="Arial" w:hAnsi="Arial" w:cs="Arial"/>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NEU-BZ-Regular">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k2OGZjZmExZTBmZDA4ZDE4YTU4Nzk3NmNjNDBlODEifQ=="/>
    <w:docVar w:name="EN.InstantFormat" w:val="&lt;ENInstantFormat&gt;&lt;Enabled&gt;1&lt;/Enabled&gt;&lt;ScanUnformatted&gt;1&lt;/ScanUnformatted&gt;&lt;ScanChanges&gt;1&lt;/ScanChanges&gt;&lt;Suspended&gt;0&lt;/Suspended&gt;&lt;/ENInstantFormat&gt;"/>
    <w:docVar w:name="EN.Layout" w:val="&lt;ENLayout&gt;&lt;Style&gt;The ISME Journal&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2frzwzsp5rz9sea50hxrrs3frt2a0pa2wxe&quot;&gt;My EndNote Library&lt;record-ids&gt;&lt;item&gt;7&lt;/item&gt;&lt;item&gt;11&lt;/item&gt;&lt;item&gt;12&lt;/item&gt;&lt;item&gt;27&lt;/item&gt;&lt;item&gt;28&lt;/item&gt;&lt;item&gt;29&lt;/item&gt;&lt;item&gt;30&lt;/item&gt;&lt;item&gt;31&lt;/item&gt;&lt;item&gt;53&lt;/item&gt;&lt;item&gt;68&lt;/item&gt;&lt;item&gt;69&lt;/item&gt;&lt;item&gt;174&lt;/item&gt;&lt;item&gt;175&lt;/item&gt;&lt;item&gt;178&lt;/item&gt;&lt;item&gt;281&lt;/item&gt;&lt;item&gt;282&lt;/item&gt;&lt;/record-ids&gt;&lt;/item&gt;&lt;/Libraries&gt;"/>
  </w:docVars>
  <w:rsids>
    <w:rsidRoot w:val="00C9177B"/>
    <w:rsid w:val="000234DD"/>
    <w:rsid w:val="000316FE"/>
    <w:rsid w:val="00036AAA"/>
    <w:rsid w:val="00056558"/>
    <w:rsid w:val="0006084A"/>
    <w:rsid w:val="000912E1"/>
    <w:rsid w:val="00091D05"/>
    <w:rsid w:val="0009388C"/>
    <w:rsid w:val="00095818"/>
    <w:rsid w:val="000B2891"/>
    <w:rsid w:val="000B387F"/>
    <w:rsid w:val="000C6CF9"/>
    <w:rsid w:val="000D3AB7"/>
    <w:rsid w:val="000D692F"/>
    <w:rsid w:val="000E5C5F"/>
    <w:rsid w:val="000F29E3"/>
    <w:rsid w:val="00100BB0"/>
    <w:rsid w:val="00122EAD"/>
    <w:rsid w:val="00127DB2"/>
    <w:rsid w:val="0015672E"/>
    <w:rsid w:val="00185F27"/>
    <w:rsid w:val="001927E4"/>
    <w:rsid w:val="00192C30"/>
    <w:rsid w:val="001B1F48"/>
    <w:rsid w:val="001B4A9C"/>
    <w:rsid w:val="001C2C9B"/>
    <w:rsid w:val="001D0278"/>
    <w:rsid w:val="001D03EC"/>
    <w:rsid w:val="001D2A19"/>
    <w:rsid w:val="001F1D4E"/>
    <w:rsid w:val="001F7AFB"/>
    <w:rsid w:val="00206CBB"/>
    <w:rsid w:val="00211537"/>
    <w:rsid w:val="00213E5D"/>
    <w:rsid w:val="002361C7"/>
    <w:rsid w:val="0024400F"/>
    <w:rsid w:val="00250929"/>
    <w:rsid w:val="00270A4F"/>
    <w:rsid w:val="00276F8F"/>
    <w:rsid w:val="00277A16"/>
    <w:rsid w:val="00282087"/>
    <w:rsid w:val="00290B95"/>
    <w:rsid w:val="0029577A"/>
    <w:rsid w:val="002A2FA0"/>
    <w:rsid w:val="002A532D"/>
    <w:rsid w:val="002B14F7"/>
    <w:rsid w:val="002B42B7"/>
    <w:rsid w:val="002C37D3"/>
    <w:rsid w:val="002E3A02"/>
    <w:rsid w:val="002F05D9"/>
    <w:rsid w:val="002F33C8"/>
    <w:rsid w:val="002F55F7"/>
    <w:rsid w:val="00303545"/>
    <w:rsid w:val="00313135"/>
    <w:rsid w:val="00321B3D"/>
    <w:rsid w:val="00332160"/>
    <w:rsid w:val="00346066"/>
    <w:rsid w:val="00366051"/>
    <w:rsid w:val="00367546"/>
    <w:rsid w:val="003725BA"/>
    <w:rsid w:val="00391C78"/>
    <w:rsid w:val="003B00C2"/>
    <w:rsid w:val="003B2A38"/>
    <w:rsid w:val="003B2FB5"/>
    <w:rsid w:val="003C5FA5"/>
    <w:rsid w:val="003D29D2"/>
    <w:rsid w:val="003D32BB"/>
    <w:rsid w:val="003D6EC2"/>
    <w:rsid w:val="003E6A09"/>
    <w:rsid w:val="003F0270"/>
    <w:rsid w:val="00402D8E"/>
    <w:rsid w:val="00403E3F"/>
    <w:rsid w:val="00430652"/>
    <w:rsid w:val="00431199"/>
    <w:rsid w:val="004364CB"/>
    <w:rsid w:val="0044278F"/>
    <w:rsid w:val="00457140"/>
    <w:rsid w:val="00457718"/>
    <w:rsid w:val="00461C2D"/>
    <w:rsid w:val="00465163"/>
    <w:rsid w:val="004777EB"/>
    <w:rsid w:val="004971D7"/>
    <w:rsid w:val="004A0FF9"/>
    <w:rsid w:val="004A6CC3"/>
    <w:rsid w:val="004C7494"/>
    <w:rsid w:val="004D1BC8"/>
    <w:rsid w:val="004E5293"/>
    <w:rsid w:val="005068D6"/>
    <w:rsid w:val="00507AC9"/>
    <w:rsid w:val="00511038"/>
    <w:rsid w:val="00515DD8"/>
    <w:rsid w:val="00525D7A"/>
    <w:rsid w:val="0053137C"/>
    <w:rsid w:val="005314D1"/>
    <w:rsid w:val="0054654E"/>
    <w:rsid w:val="00572859"/>
    <w:rsid w:val="0057511E"/>
    <w:rsid w:val="00582E0B"/>
    <w:rsid w:val="005A29D8"/>
    <w:rsid w:val="005A7160"/>
    <w:rsid w:val="005B3E28"/>
    <w:rsid w:val="005B7A3F"/>
    <w:rsid w:val="005C1284"/>
    <w:rsid w:val="005D02F1"/>
    <w:rsid w:val="005E1E2E"/>
    <w:rsid w:val="005E5580"/>
    <w:rsid w:val="006123FC"/>
    <w:rsid w:val="00616E72"/>
    <w:rsid w:val="0063237B"/>
    <w:rsid w:val="006372BC"/>
    <w:rsid w:val="006401BB"/>
    <w:rsid w:val="00642D6D"/>
    <w:rsid w:val="0064311E"/>
    <w:rsid w:val="00650216"/>
    <w:rsid w:val="00655B0D"/>
    <w:rsid w:val="00657F3A"/>
    <w:rsid w:val="00661386"/>
    <w:rsid w:val="0066742E"/>
    <w:rsid w:val="00697894"/>
    <w:rsid w:val="006A2E8C"/>
    <w:rsid w:val="006A5A1B"/>
    <w:rsid w:val="006B4931"/>
    <w:rsid w:val="006B7548"/>
    <w:rsid w:val="006C2CFD"/>
    <w:rsid w:val="006E34DD"/>
    <w:rsid w:val="00710BEB"/>
    <w:rsid w:val="00711157"/>
    <w:rsid w:val="0071702C"/>
    <w:rsid w:val="007239EF"/>
    <w:rsid w:val="00724C53"/>
    <w:rsid w:val="00725595"/>
    <w:rsid w:val="00726C2E"/>
    <w:rsid w:val="00736505"/>
    <w:rsid w:val="00737C1B"/>
    <w:rsid w:val="007460CB"/>
    <w:rsid w:val="00752DFB"/>
    <w:rsid w:val="00777F1B"/>
    <w:rsid w:val="00780E58"/>
    <w:rsid w:val="00781910"/>
    <w:rsid w:val="007A0577"/>
    <w:rsid w:val="007A149F"/>
    <w:rsid w:val="007B13EF"/>
    <w:rsid w:val="007B58B6"/>
    <w:rsid w:val="007B7E33"/>
    <w:rsid w:val="007C0D8C"/>
    <w:rsid w:val="007D2F89"/>
    <w:rsid w:val="007D5424"/>
    <w:rsid w:val="007E2EFA"/>
    <w:rsid w:val="00805BF4"/>
    <w:rsid w:val="0080707E"/>
    <w:rsid w:val="0081329C"/>
    <w:rsid w:val="00815DB3"/>
    <w:rsid w:val="008162EF"/>
    <w:rsid w:val="00820C74"/>
    <w:rsid w:val="008275F4"/>
    <w:rsid w:val="008541B8"/>
    <w:rsid w:val="00861927"/>
    <w:rsid w:val="0086245B"/>
    <w:rsid w:val="00867876"/>
    <w:rsid w:val="00870F4B"/>
    <w:rsid w:val="0087189D"/>
    <w:rsid w:val="008766BE"/>
    <w:rsid w:val="00883A7C"/>
    <w:rsid w:val="00891BC6"/>
    <w:rsid w:val="008A3FF3"/>
    <w:rsid w:val="008F67DF"/>
    <w:rsid w:val="00900352"/>
    <w:rsid w:val="00903D3A"/>
    <w:rsid w:val="00914E04"/>
    <w:rsid w:val="00924FDE"/>
    <w:rsid w:val="009323D1"/>
    <w:rsid w:val="00942329"/>
    <w:rsid w:val="0094268A"/>
    <w:rsid w:val="0095140B"/>
    <w:rsid w:val="00954669"/>
    <w:rsid w:val="009816E9"/>
    <w:rsid w:val="009B2FE5"/>
    <w:rsid w:val="009C298E"/>
    <w:rsid w:val="009E28CF"/>
    <w:rsid w:val="009E734E"/>
    <w:rsid w:val="00A002CE"/>
    <w:rsid w:val="00A1077E"/>
    <w:rsid w:val="00A61A08"/>
    <w:rsid w:val="00A875C6"/>
    <w:rsid w:val="00A910AC"/>
    <w:rsid w:val="00AA341D"/>
    <w:rsid w:val="00AB3365"/>
    <w:rsid w:val="00AB6DF5"/>
    <w:rsid w:val="00AB720B"/>
    <w:rsid w:val="00AC126F"/>
    <w:rsid w:val="00AD3F2F"/>
    <w:rsid w:val="00AD6F40"/>
    <w:rsid w:val="00AD7D16"/>
    <w:rsid w:val="00AD7DFD"/>
    <w:rsid w:val="00AE40D7"/>
    <w:rsid w:val="00B076C4"/>
    <w:rsid w:val="00B11A4A"/>
    <w:rsid w:val="00B131A7"/>
    <w:rsid w:val="00B1451A"/>
    <w:rsid w:val="00B22254"/>
    <w:rsid w:val="00B30896"/>
    <w:rsid w:val="00B36038"/>
    <w:rsid w:val="00B365CD"/>
    <w:rsid w:val="00B37AE7"/>
    <w:rsid w:val="00B42185"/>
    <w:rsid w:val="00B52A9C"/>
    <w:rsid w:val="00B60122"/>
    <w:rsid w:val="00B60B08"/>
    <w:rsid w:val="00B62457"/>
    <w:rsid w:val="00B64C48"/>
    <w:rsid w:val="00B74022"/>
    <w:rsid w:val="00B82B95"/>
    <w:rsid w:val="00B832D9"/>
    <w:rsid w:val="00B95B78"/>
    <w:rsid w:val="00BA0055"/>
    <w:rsid w:val="00BA6124"/>
    <w:rsid w:val="00BC50CD"/>
    <w:rsid w:val="00BC7212"/>
    <w:rsid w:val="00BC73A3"/>
    <w:rsid w:val="00BD2A02"/>
    <w:rsid w:val="00BE4846"/>
    <w:rsid w:val="00BF3438"/>
    <w:rsid w:val="00C02FC8"/>
    <w:rsid w:val="00C0611E"/>
    <w:rsid w:val="00C21676"/>
    <w:rsid w:val="00C21747"/>
    <w:rsid w:val="00C22393"/>
    <w:rsid w:val="00C44296"/>
    <w:rsid w:val="00C52895"/>
    <w:rsid w:val="00C529E6"/>
    <w:rsid w:val="00C56092"/>
    <w:rsid w:val="00C6159D"/>
    <w:rsid w:val="00C61A8E"/>
    <w:rsid w:val="00C62263"/>
    <w:rsid w:val="00C748EF"/>
    <w:rsid w:val="00C81299"/>
    <w:rsid w:val="00C9177B"/>
    <w:rsid w:val="00C93B91"/>
    <w:rsid w:val="00CA3022"/>
    <w:rsid w:val="00CA4719"/>
    <w:rsid w:val="00CA7B9A"/>
    <w:rsid w:val="00CB05E1"/>
    <w:rsid w:val="00CF3A94"/>
    <w:rsid w:val="00D016A3"/>
    <w:rsid w:val="00D124FA"/>
    <w:rsid w:val="00D203A2"/>
    <w:rsid w:val="00D22DE2"/>
    <w:rsid w:val="00D2691D"/>
    <w:rsid w:val="00D37203"/>
    <w:rsid w:val="00D37ECB"/>
    <w:rsid w:val="00D462C4"/>
    <w:rsid w:val="00D609A0"/>
    <w:rsid w:val="00D64488"/>
    <w:rsid w:val="00D66717"/>
    <w:rsid w:val="00D73E72"/>
    <w:rsid w:val="00D86F78"/>
    <w:rsid w:val="00D9019B"/>
    <w:rsid w:val="00D91ABB"/>
    <w:rsid w:val="00D9373A"/>
    <w:rsid w:val="00DC3FF0"/>
    <w:rsid w:val="00DD066F"/>
    <w:rsid w:val="00DE6623"/>
    <w:rsid w:val="00DF36F0"/>
    <w:rsid w:val="00E02B8E"/>
    <w:rsid w:val="00E060A1"/>
    <w:rsid w:val="00E13963"/>
    <w:rsid w:val="00E17F9C"/>
    <w:rsid w:val="00E211BF"/>
    <w:rsid w:val="00E249A4"/>
    <w:rsid w:val="00E27E7F"/>
    <w:rsid w:val="00E45A13"/>
    <w:rsid w:val="00E63E12"/>
    <w:rsid w:val="00E73514"/>
    <w:rsid w:val="00EA212E"/>
    <w:rsid w:val="00EB1852"/>
    <w:rsid w:val="00EB4DAD"/>
    <w:rsid w:val="00EB64FB"/>
    <w:rsid w:val="00EC43C4"/>
    <w:rsid w:val="00EC5E55"/>
    <w:rsid w:val="00ED7312"/>
    <w:rsid w:val="00EE6AFB"/>
    <w:rsid w:val="00EF494C"/>
    <w:rsid w:val="00EF5510"/>
    <w:rsid w:val="00F067AF"/>
    <w:rsid w:val="00F06DD1"/>
    <w:rsid w:val="00F11FDB"/>
    <w:rsid w:val="00F14CDA"/>
    <w:rsid w:val="00F159E9"/>
    <w:rsid w:val="00F240FA"/>
    <w:rsid w:val="00F709FB"/>
    <w:rsid w:val="00F76776"/>
    <w:rsid w:val="00F815AC"/>
    <w:rsid w:val="00F97A70"/>
    <w:rsid w:val="00FA3E9F"/>
    <w:rsid w:val="00FD4EA4"/>
    <w:rsid w:val="00FF3DC7"/>
    <w:rsid w:val="00FF77B5"/>
    <w:rsid w:val="114966E4"/>
    <w:rsid w:val="57D339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spacing w:line="480" w:lineRule="auto"/>
      <w:outlineLvl w:val="1"/>
    </w:pPr>
    <w:rPr>
      <w:rFonts w:ascii="Times New Roman" w:hAnsi="Times New Roman" w:eastAsiaTheme="majorEastAsia" w:cstheme="majorBidi"/>
      <w:b/>
      <w:bCs/>
      <w:sz w:val="24"/>
      <w:szCs w:val="32"/>
    </w:rPr>
  </w:style>
  <w:style w:type="character" w:default="1" w:styleId="10">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annotation text"/>
    <w:basedOn w:val="1"/>
    <w:link w:val="26"/>
    <w:semiHidden/>
    <w:unhideWhenUsed/>
    <w:uiPriority w:val="99"/>
    <w:pPr>
      <w:jc w:val="left"/>
    </w:pPr>
  </w:style>
  <w:style w:type="paragraph" w:styleId="5">
    <w:name w:val="footer"/>
    <w:basedOn w:val="1"/>
    <w:link w:val="14"/>
    <w:unhideWhenUsed/>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8">
    <w:name w:val="annotation subject"/>
    <w:basedOn w:val="4"/>
    <w:next w:val="4"/>
    <w:link w:val="27"/>
    <w:semiHidden/>
    <w:unhideWhenUsed/>
    <w:uiPriority w:val="99"/>
    <w:rPr>
      <w:b/>
      <w:bCs/>
    </w:rPr>
  </w:style>
  <w:style w:type="character" w:styleId="11">
    <w:name w:val="line number"/>
    <w:basedOn w:val="10"/>
    <w:semiHidden/>
    <w:unhideWhenUsed/>
    <w:qFormat/>
    <w:uiPriority w:val="99"/>
  </w:style>
  <w:style w:type="character" w:styleId="12">
    <w:name w:val="Hyperlink"/>
    <w:basedOn w:val="10"/>
    <w:unhideWhenUsed/>
    <w:qFormat/>
    <w:uiPriority w:val="99"/>
    <w:rPr>
      <w:color w:val="0563C1" w:themeColor="hyperlink"/>
      <w:u w:val="single"/>
      <w14:textFill>
        <w14:solidFill>
          <w14:schemeClr w14:val="hlink"/>
        </w14:solidFill>
      </w14:textFill>
    </w:rPr>
  </w:style>
  <w:style w:type="character" w:customStyle="1" w:styleId="13">
    <w:name w:val="页眉 字符"/>
    <w:basedOn w:val="10"/>
    <w:link w:val="6"/>
    <w:qFormat/>
    <w:uiPriority w:val="99"/>
    <w:rPr>
      <w:sz w:val="18"/>
      <w:szCs w:val="18"/>
    </w:rPr>
  </w:style>
  <w:style w:type="character" w:customStyle="1" w:styleId="14">
    <w:name w:val="页脚 字符"/>
    <w:basedOn w:val="10"/>
    <w:link w:val="5"/>
    <w:uiPriority w:val="99"/>
    <w:rPr>
      <w:sz w:val="18"/>
      <w:szCs w:val="18"/>
    </w:rPr>
  </w:style>
  <w:style w:type="character" w:customStyle="1" w:styleId="15">
    <w:name w:val="标题 2 字符"/>
    <w:basedOn w:val="10"/>
    <w:link w:val="3"/>
    <w:qFormat/>
    <w:uiPriority w:val="9"/>
    <w:rPr>
      <w:rFonts w:ascii="Times New Roman" w:hAnsi="Times New Roman" w:eastAsiaTheme="majorEastAsia" w:cstheme="majorBidi"/>
      <w:b/>
      <w:bCs/>
      <w:sz w:val="24"/>
      <w:szCs w:val="32"/>
    </w:rPr>
  </w:style>
  <w:style w:type="paragraph" w:customStyle="1" w:styleId="16">
    <w:name w:val="EndNote Bibliography Title"/>
    <w:basedOn w:val="1"/>
    <w:link w:val="17"/>
    <w:qFormat/>
    <w:uiPriority w:val="0"/>
    <w:pPr>
      <w:jc w:val="center"/>
    </w:pPr>
    <w:rPr>
      <w:rFonts w:ascii="等线" w:hAnsi="等线" w:eastAsia="等线"/>
      <w:sz w:val="20"/>
    </w:rPr>
  </w:style>
  <w:style w:type="character" w:customStyle="1" w:styleId="17">
    <w:name w:val="EndNote Bibliography Title 字符"/>
    <w:basedOn w:val="10"/>
    <w:link w:val="16"/>
    <w:qFormat/>
    <w:uiPriority w:val="0"/>
    <w:rPr>
      <w:rFonts w:ascii="等线" w:hAnsi="等线" w:eastAsia="等线"/>
      <w:kern w:val="2"/>
      <w:szCs w:val="22"/>
    </w:rPr>
  </w:style>
  <w:style w:type="paragraph" w:customStyle="1" w:styleId="18">
    <w:name w:val="EndNote Bibliography"/>
    <w:basedOn w:val="1"/>
    <w:link w:val="19"/>
    <w:qFormat/>
    <w:uiPriority w:val="0"/>
    <w:rPr>
      <w:rFonts w:ascii="等线" w:hAnsi="等线" w:eastAsia="等线"/>
      <w:sz w:val="20"/>
    </w:rPr>
  </w:style>
  <w:style w:type="character" w:customStyle="1" w:styleId="19">
    <w:name w:val="EndNote Bibliography 字符"/>
    <w:basedOn w:val="10"/>
    <w:link w:val="18"/>
    <w:qFormat/>
    <w:uiPriority w:val="0"/>
    <w:rPr>
      <w:rFonts w:ascii="等线" w:hAnsi="等线" w:eastAsia="等线"/>
      <w:kern w:val="2"/>
      <w:szCs w:val="22"/>
    </w:rPr>
  </w:style>
  <w:style w:type="character" w:customStyle="1" w:styleId="20">
    <w:name w:val="fontstyle01"/>
    <w:basedOn w:val="10"/>
    <w:uiPriority w:val="0"/>
    <w:rPr>
      <w:rFonts w:hint="default" w:ascii="NEU-BZ-Regular" w:hAnsi="NEU-BZ-Regular"/>
      <w:color w:val="231F20"/>
      <w:sz w:val="18"/>
      <w:szCs w:val="18"/>
    </w:rPr>
  </w:style>
  <w:style w:type="character" w:customStyle="1" w:styleId="21">
    <w:name w:val="标题 1 字符"/>
    <w:basedOn w:val="10"/>
    <w:link w:val="2"/>
    <w:uiPriority w:val="9"/>
    <w:rPr>
      <w:b/>
      <w:bCs/>
      <w:kern w:val="44"/>
      <w:sz w:val="44"/>
      <w:szCs w:val="44"/>
    </w:rPr>
  </w:style>
  <w:style w:type="character" w:customStyle="1" w:styleId="22">
    <w:name w:val="未处理的提及1"/>
    <w:basedOn w:val="10"/>
    <w:semiHidden/>
    <w:unhideWhenUsed/>
    <w:qFormat/>
    <w:uiPriority w:val="99"/>
    <w:rPr>
      <w:color w:val="605E5C"/>
      <w:shd w:val="clear" w:color="auto" w:fill="E1DFDD"/>
    </w:rPr>
  </w:style>
  <w:style w:type="paragraph" w:customStyle="1" w:styleId="23">
    <w:name w:val="Paragraph"/>
    <w:basedOn w:val="1"/>
    <w:qFormat/>
    <w:uiPriority w:val="0"/>
    <w:pPr>
      <w:widowControl/>
      <w:spacing w:before="120"/>
      <w:ind w:firstLine="720"/>
      <w:jc w:val="left"/>
    </w:pPr>
    <w:rPr>
      <w:rFonts w:ascii="Times New Roman" w:hAnsi="Times New Roman" w:eastAsia="Times New Roman" w:cs="Times New Roman"/>
      <w:kern w:val="0"/>
      <w:sz w:val="24"/>
      <w:szCs w:val="24"/>
      <w:lang w:eastAsia="en-US"/>
    </w:rPr>
  </w:style>
  <w:style w:type="table" w:customStyle="1" w:styleId="24">
    <w:name w:val="无格式表格 51"/>
    <w:basedOn w:val="9"/>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customStyle="1" w:styleId="25">
    <w:name w:val="SI1"/>
    <w:basedOn w:val="1"/>
    <w:qFormat/>
    <w:uiPriority w:val="0"/>
    <w:pPr>
      <w:spacing w:after="156" w:afterLines="50" w:line="360" w:lineRule="auto"/>
    </w:pPr>
    <w:rPr>
      <w:rFonts w:ascii="Arial" w:hAnsi="Arial" w:cs="Arial"/>
      <w:b/>
      <w:bCs/>
      <w:sz w:val="28"/>
      <w:szCs w:val="28"/>
    </w:rPr>
  </w:style>
  <w:style w:type="character" w:customStyle="1" w:styleId="26">
    <w:name w:val="批注文字 字符"/>
    <w:basedOn w:val="10"/>
    <w:link w:val="4"/>
    <w:semiHidden/>
    <w:uiPriority w:val="99"/>
    <w:rPr>
      <w:kern w:val="2"/>
      <w:sz w:val="21"/>
      <w:szCs w:val="22"/>
    </w:rPr>
  </w:style>
  <w:style w:type="character" w:customStyle="1" w:styleId="27">
    <w:name w:val="批注主题 字符"/>
    <w:basedOn w:val="26"/>
    <w:link w:val="8"/>
    <w:semiHidden/>
    <w:uiPriority w:val="99"/>
    <w:rPr>
      <w:b/>
      <w:bCs/>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tiff"/><Relationship Id="rId8" Type="http://schemas.openxmlformats.org/officeDocument/2006/relationships/image" Target="media/image5.tiff"/><Relationship Id="rId7" Type="http://schemas.openxmlformats.org/officeDocument/2006/relationships/image" Target="media/image4.tiff"/><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tiff"/><Relationship Id="rId13" Type="http://schemas.openxmlformats.org/officeDocument/2006/relationships/image" Target="media/image10.tiff"/><Relationship Id="rId12" Type="http://schemas.openxmlformats.org/officeDocument/2006/relationships/image" Target="media/image9.tiff"/><Relationship Id="rId11" Type="http://schemas.openxmlformats.org/officeDocument/2006/relationships/image" Target="media/image8.tiff"/><Relationship Id="rId10" Type="http://schemas.openxmlformats.org/officeDocument/2006/relationships/image" Target="media/image7.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A79F3-E918-46D6-82B5-A7027C5D2DD3}">
  <ds:schemaRefs/>
</ds:datastoreItem>
</file>

<file path=docProps/app.xml><?xml version="1.0" encoding="utf-8"?>
<Properties xmlns="http://schemas.openxmlformats.org/officeDocument/2006/extended-properties" xmlns:vt="http://schemas.openxmlformats.org/officeDocument/2006/docPropsVTypes">
  <Template>Normal</Template>
  <Pages>17</Pages>
  <Words>2062</Words>
  <Characters>12074</Characters>
  <Lines>266</Lines>
  <Paragraphs>75</Paragraphs>
  <TotalTime>253</TotalTime>
  <ScaleCrop>false</ScaleCrop>
  <LinksUpToDate>false</LinksUpToDate>
  <CharactersWithSpaces>14086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2022-09-29T14:27:00Z</dcterms:created>
  <dc:creator>chentianyi1999@sina.cn</dc:creator>
  <cp:lastModifiedBy>cty</cp:lastModifiedBy>
  <dcterms:modified xsi:type="dcterms:W3CDTF">2022-12-05T14:40:11Z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1BFFCACE3C1D46D3910BBE8C0C8727CA</vt:lpwstr>
  </property>
</Properties>
</file>