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EE5BB" w14:textId="7C87B82E" w:rsidR="003B6A48" w:rsidRDefault="003B6A48">
      <w:r>
        <w:rPr>
          <w:noProof/>
        </w:rPr>
        <w:drawing>
          <wp:anchor distT="0" distB="0" distL="114300" distR="114300" simplePos="0" relativeHeight="251658240" behindDoc="1" locked="0" layoutInCell="1" allowOverlap="1" wp14:anchorId="441A3AAE" wp14:editId="7F2CC87B">
            <wp:simplePos x="0" y="0"/>
            <wp:positionH relativeFrom="margin">
              <wp:align>right</wp:align>
            </wp:positionH>
            <wp:positionV relativeFrom="paragraph">
              <wp:posOffset>-254000</wp:posOffset>
            </wp:positionV>
            <wp:extent cx="5270500" cy="937387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7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61EAC" w14:textId="75304653" w:rsidR="007C69DF" w:rsidRDefault="007C69DF"/>
    <w:p w14:paraId="5806C853" w14:textId="28DB6DB6" w:rsidR="003B6A48" w:rsidRDefault="003B6A48"/>
    <w:p w14:paraId="050CA421" w14:textId="510144A1" w:rsidR="003B6A48" w:rsidRDefault="003B6A48"/>
    <w:p w14:paraId="38B2A8A2" w14:textId="38FC2804" w:rsidR="003B6A48" w:rsidRDefault="003B6A48"/>
    <w:p w14:paraId="3C980123" w14:textId="2E7073D5" w:rsidR="003B6A48" w:rsidRDefault="003B6A48"/>
    <w:p w14:paraId="2B187D3C" w14:textId="65892BE1" w:rsidR="003B6A48" w:rsidRDefault="003B6A48"/>
    <w:p w14:paraId="5A6542B5" w14:textId="79BD1023" w:rsidR="003B6A48" w:rsidRDefault="003B6A48"/>
    <w:p w14:paraId="65210E9E" w14:textId="403A9FA3" w:rsidR="003B6A48" w:rsidRDefault="003B6A48"/>
    <w:p w14:paraId="240AFAB2" w14:textId="54404745" w:rsidR="003B6A48" w:rsidRDefault="003B6A48"/>
    <w:p w14:paraId="40FAFC48" w14:textId="77AD244E" w:rsidR="003B6A48" w:rsidRDefault="003B6A48"/>
    <w:p w14:paraId="2CA4330E" w14:textId="3F8943A1" w:rsidR="003B6A48" w:rsidRPr="0052295D" w:rsidRDefault="003B6A48" w:rsidP="0052295D">
      <w:pPr>
        <w:ind w:firstLineChars="236" w:firstLine="1699"/>
        <w:rPr>
          <w:rFonts w:eastAsia="方正姚体" w:hint="eastAsia"/>
          <w:sz w:val="56"/>
          <w:szCs w:val="56"/>
        </w:rPr>
      </w:pPr>
      <w:r w:rsidRPr="0052295D">
        <w:rPr>
          <w:rFonts w:eastAsia="方正姚体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6EB2662" wp14:editId="3CB2AE53">
            <wp:simplePos x="0" y="0"/>
            <wp:positionH relativeFrom="leftMargin">
              <wp:posOffset>1666875</wp:posOffset>
            </wp:positionH>
            <wp:positionV relativeFrom="paragraph">
              <wp:posOffset>105410</wp:posOffset>
            </wp:positionV>
            <wp:extent cx="634983" cy="4254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3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95D">
        <w:rPr>
          <w:rFonts w:eastAsia="方正姚体" w:hint="eastAsia"/>
          <w:sz w:val="56"/>
          <w:szCs w:val="56"/>
        </w:rPr>
        <w:t>中南大学技术扶贫</w:t>
      </w:r>
    </w:p>
    <w:p w14:paraId="7AC043B0" w14:textId="0071676A" w:rsidR="003B6A48" w:rsidRPr="0052295D" w:rsidRDefault="003B6A48" w:rsidP="0052295D">
      <w:pPr>
        <w:ind w:firstLineChars="500" w:firstLine="2800"/>
        <w:rPr>
          <w:rFonts w:eastAsia="方正姚体"/>
          <w:sz w:val="56"/>
          <w:szCs w:val="56"/>
        </w:rPr>
      </w:pPr>
      <w:r w:rsidRPr="0052295D">
        <w:rPr>
          <w:rFonts w:eastAsia="方正姚体" w:hint="eastAsia"/>
          <w:sz w:val="56"/>
          <w:szCs w:val="56"/>
        </w:rPr>
        <w:t>暑期线上社会实践团</w:t>
      </w:r>
    </w:p>
    <w:p w14:paraId="1A9E18F2" w14:textId="199904A8" w:rsidR="00654E7A" w:rsidRDefault="00654E7A" w:rsidP="00654E7A">
      <w:pPr>
        <w:ind w:firstLineChars="627" w:firstLine="3260"/>
        <w:rPr>
          <w:rFonts w:eastAsia="方正姚体" w:hint="eastAsia"/>
          <w:sz w:val="52"/>
          <w:szCs w:val="52"/>
        </w:rPr>
      </w:pPr>
      <w:r>
        <w:rPr>
          <w:rFonts w:eastAsia="方正姚体" w:hint="eastAs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2B1CE" wp14:editId="5F338CF9">
                <wp:simplePos x="0" y="0"/>
                <wp:positionH relativeFrom="column">
                  <wp:posOffset>724650</wp:posOffset>
                </wp:positionH>
                <wp:positionV relativeFrom="paragraph">
                  <wp:posOffset>431165</wp:posOffset>
                </wp:positionV>
                <wp:extent cx="0" cy="2121877"/>
                <wp:effectExtent l="0" t="0" r="38100" b="311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AB188" id="直接连接符 3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05pt,33.95pt" to="57.0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23B3148" w14:textId="16E36467" w:rsidR="00654E7A" w:rsidRDefault="00654E7A" w:rsidP="00654E7A">
      <w:pPr>
        <w:rPr>
          <w:rFonts w:eastAsia="方正姚体"/>
          <w:sz w:val="52"/>
          <w:szCs w:val="52"/>
        </w:rPr>
      </w:pPr>
      <w:r>
        <w:rPr>
          <w:rFonts w:eastAsia="方正姚体" w:hint="eastAsia"/>
          <w:sz w:val="52"/>
          <w:szCs w:val="52"/>
        </w:rPr>
        <w:t>策</w:t>
      </w:r>
      <w:r>
        <w:rPr>
          <w:rFonts w:eastAsia="方正姚体" w:hint="eastAsia"/>
          <w:sz w:val="52"/>
          <w:szCs w:val="52"/>
        </w:rPr>
        <w:t xml:space="preserve"> </w:t>
      </w:r>
      <w:r>
        <w:rPr>
          <w:rFonts w:eastAsia="方正姚体"/>
          <w:sz w:val="52"/>
          <w:szCs w:val="52"/>
        </w:rPr>
        <w:t xml:space="preserve">    </w:t>
      </w:r>
      <w:bookmarkStart w:id="0" w:name="_Hlk45405802"/>
      <w:r w:rsidRPr="00654E7A">
        <w:rPr>
          <w:rFonts w:eastAsia="华文楷体" w:hint="eastAsia"/>
          <w:sz w:val="40"/>
          <w:szCs w:val="40"/>
        </w:rPr>
        <w:t>队长</w:t>
      </w:r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</w:t>
      </w:r>
      <w:r>
        <w:rPr>
          <w:rFonts w:eastAsia="华文楷体" w:hint="eastAsia"/>
          <w:sz w:val="40"/>
          <w:szCs w:val="40"/>
        </w:rPr>
        <w:t>：陈奕桢</w:t>
      </w:r>
      <w:bookmarkEnd w:id="0"/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  </w:t>
      </w:r>
      <w:r>
        <w:rPr>
          <w:rFonts w:eastAsia="华文楷体" w:hint="eastAsia"/>
          <w:sz w:val="40"/>
          <w:szCs w:val="40"/>
        </w:rPr>
        <w:t>导师</w:t>
      </w:r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</w:t>
      </w:r>
      <w:r>
        <w:rPr>
          <w:rFonts w:eastAsia="华文楷体" w:hint="eastAsia"/>
          <w:sz w:val="40"/>
          <w:szCs w:val="40"/>
        </w:rPr>
        <w:t>：</w:t>
      </w:r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    </w:t>
      </w:r>
    </w:p>
    <w:p w14:paraId="26BEA287" w14:textId="0F2FC0E4" w:rsidR="00654E7A" w:rsidRDefault="00654E7A" w:rsidP="00654E7A">
      <w:pPr>
        <w:rPr>
          <w:rFonts w:eastAsia="方正姚体"/>
          <w:sz w:val="52"/>
          <w:szCs w:val="52"/>
        </w:rPr>
      </w:pPr>
      <w:r>
        <w:rPr>
          <w:rFonts w:eastAsia="方正姚体" w:hint="eastAsia"/>
          <w:sz w:val="52"/>
          <w:szCs w:val="52"/>
        </w:rPr>
        <w:t>划</w:t>
      </w:r>
      <w:r>
        <w:rPr>
          <w:rFonts w:eastAsia="方正姚体" w:hint="eastAsia"/>
          <w:sz w:val="52"/>
          <w:szCs w:val="52"/>
        </w:rPr>
        <w:t xml:space="preserve"> </w:t>
      </w:r>
      <w:r>
        <w:rPr>
          <w:rFonts w:eastAsia="方正姚体"/>
          <w:sz w:val="52"/>
          <w:szCs w:val="52"/>
        </w:rPr>
        <w:t xml:space="preserve">    </w:t>
      </w:r>
      <w:r>
        <w:rPr>
          <w:rFonts w:eastAsia="华文楷体" w:hint="eastAsia"/>
          <w:sz w:val="40"/>
          <w:szCs w:val="40"/>
        </w:rPr>
        <w:t>安全员</w:t>
      </w:r>
      <w:r>
        <w:rPr>
          <w:rFonts w:eastAsia="华文楷体" w:hint="eastAsia"/>
          <w:sz w:val="40"/>
          <w:szCs w:val="40"/>
        </w:rPr>
        <w:t>：</w:t>
      </w:r>
      <w:r>
        <w:rPr>
          <w:rFonts w:eastAsia="华文楷体" w:hint="eastAsia"/>
          <w:sz w:val="40"/>
          <w:szCs w:val="40"/>
        </w:rPr>
        <w:t>刘</w:t>
      </w:r>
      <w:proofErr w:type="gramStart"/>
      <w:r>
        <w:rPr>
          <w:rFonts w:eastAsia="华文楷体" w:hint="eastAsia"/>
          <w:sz w:val="40"/>
          <w:szCs w:val="40"/>
        </w:rPr>
        <w:t>世</w:t>
      </w:r>
      <w:proofErr w:type="gramEnd"/>
      <w:r>
        <w:rPr>
          <w:rFonts w:eastAsia="华文楷体" w:hint="eastAsia"/>
          <w:sz w:val="40"/>
          <w:szCs w:val="40"/>
        </w:rPr>
        <w:t>宇</w:t>
      </w:r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  </w:t>
      </w:r>
      <w:r>
        <w:rPr>
          <w:rFonts w:eastAsia="华文楷体" w:hint="eastAsia"/>
          <w:sz w:val="40"/>
          <w:szCs w:val="40"/>
        </w:rPr>
        <w:t>信息员：张玉飞</w:t>
      </w:r>
    </w:p>
    <w:p w14:paraId="6CCF3BD4" w14:textId="6092B147" w:rsidR="00654E7A" w:rsidRDefault="00654E7A" w:rsidP="00654E7A">
      <w:pPr>
        <w:rPr>
          <w:rFonts w:eastAsia="华文楷体"/>
          <w:sz w:val="40"/>
          <w:szCs w:val="40"/>
        </w:rPr>
      </w:pPr>
      <w:r>
        <w:rPr>
          <w:rFonts w:eastAsia="方正姚体" w:hint="eastAsia"/>
          <w:sz w:val="52"/>
          <w:szCs w:val="52"/>
        </w:rPr>
        <w:t>书</w:t>
      </w:r>
      <w:r>
        <w:rPr>
          <w:rFonts w:eastAsia="方正姚体" w:hint="eastAsia"/>
          <w:sz w:val="52"/>
          <w:szCs w:val="52"/>
        </w:rPr>
        <w:t xml:space="preserve"> </w:t>
      </w:r>
      <w:r>
        <w:rPr>
          <w:rFonts w:eastAsia="方正姚体"/>
          <w:sz w:val="52"/>
          <w:szCs w:val="52"/>
        </w:rPr>
        <w:t xml:space="preserve">    </w:t>
      </w:r>
      <w:r>
        <w:rPr>
          <w:rFonts w:eastAsia="华文楷体" w:hint="eastAsia"/>
          <w:sz w:val="40"/>
          <w:szCs w:val="40"/>
        </w:rPr>
        <w:t>队员</w:t>
      </w:r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</w:t>
      </w:r>
      <w:r>
        <w:rPr>
          <w:rFonts w:eastAsia="华文楷体" w:hint="eastAsia"/>
          <w:sz w:val="40"/>
          <w:szCs w:val="40"/>
        </w:rPr>
        <w:t>：</w:t>
      </w:r>
      <w:r>
        <w:rPr>
          <w:rFonts w:eastAsia="华文楷体" w:hint="eastAsia"/>
          <w:sz w:val="40"/>
          <w:szCs w:val="40"/>
        </w:rPr>
        <w:t>李林烨</w:t>
      </w:r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 </w:t>
      </w:r>
      <w:proofErr w:type="gramStart"/>
      <w:r>
        <w:rPr>
          <w:rFonts w:eastAsia="华文楷体" w:hint="eastAsia"/>
          <w:sz w:val="40"/>
          <w:szCs w:val="40"/>
        </w:rPr>
        <w:t>李观泰</w:t>
      </w:r>
      <w:proofErr w:type="gramEnd"/>
      <w:r>
        <w:rPr>
          <w:rFonts w:eastAsia="华文楷体" w:hint="eastAsia"/>
          <w:sz w:val="40"/>
          <w:szCs w:val="40"/>
        </w:rPr>
        <w:t xml:space="preserve"> </w:t>
      </w:r>
      <w:r>
        <w:rPr>
          <w:rFonts w:eastAsia="华文楷体"/>
          <w:sz w:val="40"/>
          <w:szCs w:val="40"/>
        </w:rPr>
        <w:t xml:space="preserve">  </w:t>
      </w:r>
      <w:r>
        <w:rPr>
          <w:rFonts w:eastAsia="华文楷体" w:hint="eastAsia"/>
          <w:sz w:val="40"/>
          <w:szCs w:val="40"/>
        </w:rPr>
        <w:t>王博宇</w:t>
      </w:r>
    </w:p>
    <w:p w14:paraId="76A7E155" w14:textId="217C7357" w:rsidR="00FE5501" w:rsidRDefault="00FE5501" w:rsidP="00654E7A">
      <w:pPr>
        <w:rPr>
          <w:rFonts w:eastAsia="华文楷体"/>
          <w:sz w:val="40"/>
          <w:szCs w:val="40"/>
        </w:rPr>
      </w:pPr>
    </w:p>
    <w:p w14:paraId="3694DF96" w14:textId="77777777" w:rsidR="00BB2109" w:rsidRDefault="00BB2109" w:rsidP="00BB2109">
      <w:pPr>
        <w:widowControl/>
        <w:rPr>
          <w:rFonts w:ascii="黑体" w:eastAsia="黑体" w:hAnsi="黑体" w:hint="eastAsia"/>
          <w:b/>
          <w:sz w:val="30"/>
          <w:szCs w:val="30"/>
        </w:rPr>
      </w:pPr>
    </w:p>
    <w:p w14:paraId="08524D12" w14:textId="77777777" w:rsidR="00BB2109" w:rsidRDefault="00BB2109" w:rsidP="00BB2109">
      <w:pPr>
        <w:pStyle w:val="TOC1"/>
      </w:pPr>
      <w:r>
        <w:rPr>
          <w:rFonts w:hint="eastAsia"/>
        </w:rPr>
        <w:lastRenderedPageBreak/>
        <w:t>目录</w:t>
      </w:r>
    </w:p>
    <w:p w14:paraId="58635B44" w14:textId="7BD35FA5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"1-1" \h \z \u </w:instrText>
      </w:r>
      <w:r>
        <w:rPr>
          <w:sz w:val="30"/>
          <w:szCs w:val="30"/>
        </w:rPr>
        <w:fldChar w:fldCharType="separate"/>
      </w:r>
      <w:hyperlink w:anchor="_Toc477303748" w:history="1">
        <w:r>
          <w:rPr>
            <w:rStyle w:val="a7"/>
            <w:rFonts w:hint="eastAsia"/>
            <w:sz w:val="30"/>
            <w:szCs w:val="30"/>
          </w:rPr>
          <w:t>一、</w:t>
        </w:r>
        <w:r>
          <w:rPr>
            <w:rStyle w:val="a7"/>
            <w:rFonts w:hint="eastAsia"/>
            <w:sz w:val="30"/>
            <w:szCs w:val="30"/>
          </w:rPr>
          <w:t>实践</w:t>
        </w:r>
        <w:r>
          <w:rPr>
            <w:rStyle w:val="a7"/>
            <w:rFonts w:hint="eastAsia"/>
            <w:sz w:val="30"/>
            <w:szCs w:val="30"/>
          </w:rPr>
          <w:t>活动主题</w:t>
        </w:r>
        <w:r>
          <w:rPr>
            <w:sz w:val="30"/>
            <w:szCs w:val="30"/>
          </w:rPr>
          <w:tab/>
        </w:r>
        <w:r>
          <w:rPr>
            <w:sz w:val="30"/>
            <w:szCs w:val="30"/>
          </w:rPr>
          <w:fldChar w:fldCharType="begin"/>
        </w:r>
        <w:r>
          <w:rPr>
            <w:sz w:val="30"/>
            <w:szCs w:val="30"/>
          </w:rPr>
          <w:instrText xml:space="preserve"> PAGEREF _Toc477303748 \h </w:instrText>
        </w:r>
        <w:r>
          <w:rPr>
            <w:sz w:val="30"/>
            <w:szCs w:val="30"/>
          </w:rPr>
        </w:r>
        <w:r>
          <w:rPr>
            <w:sz w:val="30"/>
            <w:szCs w:val="30"/>
          </w:rPr>
          <w:fldChar w:fldCharType="separate"/>
        </w:r>
        <w:r>
          <w:rPr>
            <w:sz w:val="30"/>
            <w:szCs w:val="30"/>
          </w:rPr>
          <w:t>2</w:t>
        </w:r>
        <w:r>
          <w:rPr>
            <w:sz w:val="30"/>
            <w:szCs w:val="30"/>
          </w:rPr>
          <w:fldChar w:fldCharType="end"/>
        </w:r>
      </w:hyperlink>
    </w:p>
    <w:p w14:paraId="76B13497" w14:textId="77777777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49" w:history="1">
        <w:r>
          <w:rPr>
            <w:rStyle w:val="a7"/>
            <w:rFonts w:hint="eastAsia"/>
            <w:sz w:val="30"/>
            <w:szCs w:val="30"/>
          </w:rPr>
          <w:t>二、调研背景介绍</w:t>
        </w:r>
        <w:r>
          <w:rPr>
            <w:sz w:val="30"/>
            <w:szCs w:val="30"/>
          </w:rPr>
          <w:tab/>
        </w:r>
        <w:r>
          <w:rPr>
            <w:sz w:val="30"/>
            <w:szCs w:val="30"/>
          </w:rPr>
          <w:fldChar w:fldCharType="begin"/>
        </w:r>
        <w:r>
          <w:rPr>
            <w:sz w:val="30"/>
            <w:szCs w:val="30"/>
          </w:rPr>
          <w:instrText xml:space="preserve"> PAGEREF _Toc477303749 \h </w:instrText>
        </w:r>
        <w:r>
          <w:rPr>
            <w:sz w:val="30"/>
            <w:szCs w:val="30"/>
          </w:rPr>
        </w:r>
        <w:r>
          <w:rPr>
            <w:sz w:val="30"/>
            <w:szCs w:val="30"/>
          </w:rPr>
          <w:fldChar w:fldCharType="separate"/>
        </w:r>
        <w:r>
          <w:rPr>
            <w:sz w:val="30"/>
            <w:szCs w:val="30"/>
          </w:rPr>
          <w:t>2</w:t>
        </w:r>
        <w:r>
          <w:rPr>
            <w:sz w:val="30"/>
            <w:szCs w:val="30"/>
          </w:rPr>
          <w:fldChar w:fldCharType="end"/>
        </w:r>
      </w:hyperlink>
    </w:p>
    <w:p w14:paraId="073B6C7C" w14:textId="77777777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50" w:history="1">
        <w:r>
          <w:rPr>
            <w:rStyle w:val="a7"/>
            <w:rFonts w:hint="eastAsia"/>
            <w:sz w:val="30"/>
            <w:szCs w:val="30"/>
          </w:rPr>
          <w:t>三、调研目的及意义</w:t>
        </w:r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4</w:t>
        </w:r>
      </w:hyperlink>
    </w:p>
    <w:p w14:paraId="0DBD8C9E" w14:textId="77777777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51" w:history="1">
        <w:r>
          <w:rPr>
            <w:rStyle w:val="a7"/>
            <w:rFonts w:hint="eastAsia"/>
            <w:sz w:val="30"/>
            <w:szCs w:val="30"/>
          </w:rPr>
          <w:t>四、调研前期准备</w:t>
        </w:r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5</w:t>
        </w:r>
      </w:hyperlink>
    </w:p>
    <w:p w14:paraId="3BC84C63" w14:textId="77777777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52" w:history="1">
        <w:r>
          <w:rPr>
            <w:rStyle w:val="a7"/>
            <w:rFonts w:hint="eastAsia"/>
            <w:sz w:val="30"/>
            <w:szCs w:val="30"/>
          </w:rPr>
          <w:t>五、调研主流程</w:t>
        </w:r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6</w:t>
        </w:r>
      </w:hyperlink>
    </w:p>
    <w:p w14:paraId="0E273448" w14:textId="77777777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53" w:history="1">
        <w:r>
          <w:rPr>
            <w:rStyle w:val="a7"/>
            <w:rFonts w:hint="eastAsia"/>
            <w:sz w:val="30"/>
            <w:szCs w:val="30"/>
          </w:rPr>
          <w:t>六、调研活动后期</w:t>
        </w:r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7</w:t>
        </w:r>
      </w:hyperlink>
    </w:p>
    <w:p w14:paraId="110D581F" w14:textId="77777777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54" w:history="1">
        <w:r>
          <w:rPr>
            <w:rStyle w:val="a7"/>
            <w:rFonts w:hint="eastAsia"/>
            <w:sz w:val="30"/>
            <w:szCs w:val="30"/>
          </w:rPr>
          <w:t>七、调研预期</w:t>
        </w:r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8</w:t>
        </w:r>
      </w:hyperlink>
    </w:p>
    <w:p w14:paraId="47FA45F3" w14:textId="77777777" w:rsidR="00BB2109" w:rsidRDefault="00BB2109" w:rsidP="00BB2109">
      <w:pPr>
        <w:pStyle w:val="TOC1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55" w:history="1">
        <w:r>
          <w:rPr>
            <w:rStyle w:val="a7"/>
            <w:rFonts w:hint="eastAsia"/>
            <w:sz w:val="30"/>
            <w:szCs w:val="30"/>
          </w:rPr>
          <w:t>八、调研团队应注意的细节及问题</w:t>
        </w:r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8</w:t>
        </w:r>
      </w:hyperlink>
    </w:p>
    <w:p w14:paraId="59FE5A18" w14:textId="2108C0FC" w:rsidR="00BB2109" w:rsidRDefault="00BB2109" w:rsidP="00BB2109">
      <w:pPr>
        <w:pStyle w:val="TOC1"/>
        <w:jc w:val="both"/>
        <w:rPr>
          <w:rFonts w:ascii="Calibri" w:eastAsia="宋体" w:hAnsi="Calibri"/>
          <w:b w:val="0"/>
          <w:bCs w:val="0"/>
          <w:caps w:val="0"/>
          <w:sz w:val="30"/>
          <w:szCs w:val="30"/>
          <w:u w:val="none"/>
        </w:rPr>
      </w:pPr>
      <w:hyperlink w:anchor="_Toc477303759" w:history="1">
        <w:r>
          <w:rPr>
            <w:rStyle w:val="a7"/>
            <w:rFonts w:ascii="宋体" w:hAnsi="宋体" w:hint="eastAsia"/>
            <w:sz w:val="30"/>
            <w:szCs w:val="30"/>
          </w:rPr>
          <w:t>附件</w:t>
        </w:r>
        <w:r>
          <w:rPr>
            <w:rStyle w:val="a7"/>
            <w:rFonts w:ascii="宋体" w:hAnsi="宋体" w:hint="eastAsia"/>
            <w:sz w:val="30"/>
            <w:szCs w:val="30"/>
          </w:rPr>
          <w:t>一</w:t>
        </w:r>
        <w:r>
          <w:rPr>
            <w:rStyle w:val="a7"/>
            <w:rFonts w:ascii="宋体" w:hAnsi="宋体" w:hint="eastAsia"/>
            <w:sz w:val="30"/>
            <w:szCs w:val="30"/>
          </w:rPr>
          <w:t>：中南大学创业实训实践基地简介</w:t>
        </w:r>
        <w:r>
          <w:rPr>
            <w:sz w:val="30"/>
            <w:szCs w:val="30"/>
          </w:rPr>
          <w:tab/>
        </w:r>
        <w:r>
          <w:rPr>
            <w:rFonts w:hint="eastAsia"/>
            <w:sz w:val="30"/>
            <w:szCs w:val="30"/>
          </w:rPr>
          <w:t>1</w:t>
        </w:r>
      </w:hyperlink>
      <w:r>
        <w:rPr>
          <w:rFonts w:hint="eastAsia"/>
          <w:sz w:val="30"/>
          <w:szCs w:val="30"/>
        </w:rPr>
        <w:t>2</w:t>
      </w:r>
    </w:p>
    <w:p w14:paraId="0DD31EDE" w14:textId="77777777" w:rsidR="00BB2109" w:rsidRDefault="00BB2109" w:rsidP="00BB2109">
      <w:pPr>
        <w:jc w:val="left"/>
        <w:rPr>
          <w:b/>
          <w:sz w:val="24"/>
          <w:szCs w:val="24"/>
        </w:rPr>
      </w:pPr>
      <w:r>
        <w:rPr>
          <w:rFonts w:ascii="黑体" w:eastAsia="黑体" w:hAnsi="黑体"/>
          <w:b/>
          <w:sz w:val="30"/>
          <w:szCs w:val="30"/>
        </w:rPr>
        <w:fldChar w:fldCharType="end"/>
      </w:r>
    </w:p>
    <w:p w14:paraId="7753DD72" w14:textId="77777777" w:rsidR="00BB2109" w:rsidRDefault="00BB2109" w:rsidP="00BB2109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A2619EA" w14:textId="0983820E" w:rsidR="00BB2109" w:rsidRDefault="00BB2109" w:rsidP="00BB2109">
      <w:pPr>
        <w:pStyle w:val="1"/>
        <w:numPr>
          <w:ilvl w:val="0"/>
          <w:numId w:val="2"/>
        </w:numPr>
        <w:spacing w:before="240" w:after="120" w:line="240" w:lineRule="auto"/>
        <w:rPr>
          <w:sz w:val="32"/>
          <w:szCs w:val="32"/>
        </w:rPr>
      </w:pPr>
      <w:bookmarkStart w:id="1" w:name="_Toc477303748"/>
      <w:r>
        <w:rPr>
          <w:rFonts w:hint="eastAsia"/>
          <w:sz w:val="32"/>
          <w:szCs w:val="32"/>
        </w:rPr>
        <w:lastRenderedPageBreak/>
        <w:t>实践</w:t>
      </w:r>
      <w:r>
        <w:rPr>
          <w:rFonts w:hint="eastAsia"/>
          <w:sz w:val="32"/>
          <w:szCs w:val="32"/>
        </w:rPr>
        <w:t>活动主题</w:t>
      </w:r>
      <w:bookmarkEnd w:id="1"/>
    </w:p>
    <w:p w14:paraId="372E1531" w14:textId="28AF4F0C" w:rsidR="00BB2109" w:rsidRPr="00BB2109" w:rsidRDefault="00BB2109" w:rsidP="00BB2109">
      <w:pPr>
        <w:ind w:firstLineChars="200" w:firstLine="560"/>
        <w:rPr>
          <w:rFonts w:hint="eastAsia"/>
          <w:sz w:val="28"/>
          <w:szCs w:val="28"/>
        </w:rPr>
      </w:pPr>
      <w:r w:rsidRPr="00BB2109">
        <w:rPr>
          <w:rFonts w:hint="eastAsia"/>
          <w:sz w:val="28"/>
          <w:szCs w:val="28"/>
        </w:rPr>
        <w:t>本次社会实践活动，主要结合电商扶贫的新要求、新动向，围绕农特产品销售制作一批关于视频拍摄技巧、视频剪辑技术、广告文案撰写、直播平台操作方法等内容的视频，为打赢脱贫攻坚战提供“新的装备”。</w:t>
      </w:r>
    </w:p>
    <w:p w14:paraId="1EF788FF" w14:textId="72008FD9" w:rsidR="00BB2109" w:rsidRDefault="00BB2109" w:rsidP="00BB2109">
      <w:pPr>
        <w:pStyle w:val="1"/>
        <w:numPr>
          <w:ilvl w:val="0"/>
          <w:numId w:val="2"/>
        </w:numPr>
        <w:spacing w:before="240" w:after="120" w:line="240" w:lineRule="auto"/>
        <w:rPr>
          <w:sz w:val="32"/>
          <w:szCs w:val="32"/>
        </w:rPr>
      </w:pPr>
      <w:bookmarkStart w:id="2" w:name="_Toc477303749"/>
      <w:r>
        <w:rPr>
          <w:rFonts w:hint="eastAsia"/>
          <w:sz w:val="32"/>
          <w:szCs w:val="32"/>
        </w:rPr>
        <w:t>实践</w:t>
      </w:r>
      <w:r>
        <w:rPr>
          <w:rFonts w:hint="eastAsia"/>
          <w:sz w:val="32"/>
          <w:szCs w:val="32"/>
        </w:rPr>
        <w:t>背景介绍</w:t>
      </w:r>
      <w:bookmarkEnd w:id="2"/>
    </w:p>
    <w:p w14:paraId="76FF9B48" w14:textId="388F2129" w:rsidR="00BB2109" w:rsidRPr="00BB2109" w:rsidRDefault="00BB2109" w:rsidP="00BB2109">
      <w:pPr>
        <w:ind w:firstLineChars="200" w:firstLine="562"/>
        <w:rPr>
          <w:rFonts w:hint="eastAsia"/>
          <w:b/>
          <w:bCs/>
          <w:sz w:val="28"/>
          <w:szCs w:val="28"/>
        </w:rPr>
      </w:pPr>
      <w:r w:rsidRPr="00BB2109">
        <w:rPr>
          <w:rFonts w:hint="eastAsia"/>
          <w:b/>
          <w:bCs/>
          <w:sz w:val="28"/>
          <w:szCs w:val="28"/>
        </w:rPr>
        <w:t>短视频扶贫：通过信息传播实现“造血式”扶贫</w:t>
      </w:r>
    </w:p>
    <w:p w14:paraId="2CFDB3EB" w14:textId="1306F93A" w:rsidR="00BB2109" w:rsidRPr="00BB2109" w:rsidRDefault="00BB2109" w:rsidP="00BB2109">
      <w:pPr>
        <w:ind w:firstLineChars="200" w:firstLine="560"/>
        <w:rPr>
          <w:rFonts w:hint="eastAsia"/>
          <w:sz w:val="28"/>
          <w:szCs w:val="28"/>
        </w:rPr>
      </w:pPr>
      <w:r w:rsidRPr="00BB2109">
        <w:rPr>
          <w:rFonts w:hint="eastAsia"/>
          <w:sz w:val="28"/>
          <w:szCs w:val="28"/>
        </w:rPr>
        <w:t>短视频扶贫也称“造血式”扶贫，即赋予农民自己扩大再生产实现脱贫致富的能力。简单来说，就是贫困地区的人们在短视频平台上开设账号，拍摄并上</w:t>
      </w:r>
      <w:proofErr w:type="gramStart"/>
      <w:r w:rsidRPr="00BB2109">
        <w:rPr>
          <w:rFonts w:hint="eastAsia"/>
          <w:sz w:val="28"/>
          <w:szCs w:val="28"/>
        </w:rPr>
        <w:t>传展示</w:t>
      </w:r>
      <w:proofErr w:type="gramEnd"/>
      <w:r w:rsidRPr="00BB2109">
        <w:rPr>
          <w:rFonts w:hint="eastAsia"/>
          <w:sz w:val="28"/>
          <w:szCs w:val="28"/>
        </w:rPr>
        <w:t>家乡自然风光、风物特产、生产生活的短视频，平台方给予流量倾斜、电商导入等方面的支持，使其拍摄的视频能被更多人看到，促进当地市场开拓和旅游业发展。</w:t>
      </w:r>
    </w:p>
    <w:p w14:paraId="1BEC1A63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本质上，短视频扶贫是通过信息传播助力。目前所呈现的扶贫内容和形式主要在销售特产、展示美景、引导旅游等方面，而短视频通过信息传播助力扶贫实际上还包括很多方面。准确把握短视频的传播特点和规律，围绕扶贫工作的方方面面，全面系统地发挥短视频信息传播功能，有助于短视频扶贫取得更大成效。</w:t>
      </w:r>
    </w:p>
    <w:p w14:paraId="06E7D9C8" w14:textId="2A33E3C5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中国社会科学院新媒体研究中心副主任兼秘书长黄楚新指出，一方面，短视频扶贫可以与国家推进的县级</w:t>
      </w:r>
      <w:proofErr w:type="gramStart"/>
      <w:r w:rsidRPr="00BB2109">
        <w:rPr>
          <w:rFonts w:hint="eastAsia"/>
          <w:sz w:val="28"/>
          <w:szCs w:val="28"/>
        </w:rPr>
        <w:t>融媒体</w:t>
      </w:r>
      <w:proofErr w:type="gramEnd"/>
      <w:r w:rsidRPr="00BB2109">
        <w:rPr>
          <w:rFonts w:hint="eastAsia"/>
          <w:sz w:val="28"/>
          <w:szCs w:val="28"/>
        </w:rPr>
        <w:t>中心建设相结合。县级</w:t>
      </w:r>
      <w:proofErr w:type="gramStart"/>
      <w:r w:rsidRPr="00BB2109">
        <w:rPr>
          <w:rFonts w:hint="eastAsia"/>
          <w:sz w:val="28"/>
          <w:szCs w:val="28"/>
        </w:rPr>
        <w:t>融媒体</w:t>
      </w:r>
      <w:proofErr w:type="gramEnd"/>
      <w:r w:rsidRPr="00BB2109">
        <w:rPr>
          <w:rFonts w:hint="eastAsia"/>
          <w:sz w:val="28"/>
          <w:szCs w:val="28"/>
        </w:rPr>
        <w:t>中心的建设理念和目标是打通国家信息传播的最后一公里，扶贫的理念是打通扶贫最后的一段路，所以两者理念某种程度上是契</w:t>
      </w:r>
      <w:r w:rsidRPr="00BB2109">
        <w:rPr>
          <w:rFonts w:hint="eastAsia"/>
          <w:sz w:val="28"/>
          <w:szCs w:val="28"/>
        </w:rPr>
        <w:lastRenderedPageBreak/>
        <w:t>合的，是有共同之处的，两者结合在一起，形成资源互补关系。另一方面，可以通过短视频宣传扶贫故事。向世界讲好中国故事的一个很重要的手段是要向世界立体、客观、真实地讲好中国故事，用短视频讲好中国脱贫故事就是非常重要的手段。</w:t>
      </w:r>
    </w:p>
    <w:p w14:paraId="23B5B8A9" w14:textId="5126070C" w:rsidR="00BB2109" w:rsidRPr="00BB2109" w:rsidRDefault="00BB2109" w:rsidP="00BB2109">
      <w:pPr>
        <w:ind w:firstLineChars="200" w:firstLine="562"/>
        <w:rPr>
          <w:rFonts w:hint="eastAsia"/>
          <w:b/>
          <w:bCs/>
          <w:sz w:val="28"/>
          <w:szCs w:val="28"/>
        </w:rPr>
      </w:pPr>
      <w:r w:rsidRPr="00BB2109">
        <w:rPr>
          <w:rFonts w:hint="eastAsia"/>
          <w:b/>
          <w:bCs/>
          <w:sz w:val="28"/>
          <w:szCs w:val="28"/>
        </w:rPr>
        <w:t>短视频扶贫“人·物·景”三部曲</w:t>
      </w:r>
    </w:p>
    <w:p w14:paraId="5D0A8679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sz w:val="28"/>
          <w:szCs w:val="28"/>
        </w:rPr>
        <w:t>短视频扶贫的实施包括内容创作、内容分发与变现三个主要环节，变现方式主要有个人电商变现、用户付费打赏、景点旅游收入。从实现形式来看，主要包括“走出去”和“引进来”。所谓“走出去”，是指通过短视频帮助贫困地区把特色物产销售出去，从而获得收益；“引进来”是指将社会各界的人力或资金吸引到贫困地区，促进本地经济社会发展。</w:t>
      </w:r>
    </w:p>
    <w:p w14:paraId="77D5A8E5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sz w:val="28"/>
          <w:szCs w:val="28"/>
        </w:rPr>
        <w:t>分析当下的短视频扶贫实践发现，互联网平台在许多方面实现新的扶贫支撑模式的创新，应用比较普遍的是“人·物·景”扶贫模式。“人”，主要是指短视频扶贫不仅是直接解决产品销售，还注重对短视频“人才”的培养，即所谓的“授人以鱼不如授人以渔”，在广大农村地区帮助大家真正把体系建立起来，推动乡村脱贫；“物”，主要是指平台通过短视频、直播帮助解决乡村特产的销售问题，集中凸显如何把好的农产品推介出去；“景”，主要</w:t>
      </w:r>
      <w:proofErr w:type="gramStart"/>
      <w:r w:rsidRPr="00BB2109">
        <w:rPr>
          <w:sz w:val="28"/>
          <w:szCs w:val="28"/>
        </w:rPr>
        <w:t>指开展文旅扶贫</w:t>
      </w:r>
      <w:proofErr w:type="gramEnd"/>
      <w:r w:rsidRPr="00BB2109">
        <w:rPr>
          <w:sz w:val="28"/>
          <w:szCs w:val="28"/>
        </w:rPr>
        <w:t>计划，短视频用户拍下家乡美景、风土人情，吸引游客推动当地经济社会发展，包括打造新的品牌，提升当地的形象。</w:t>
      </w:r>
    </w:p>
    <w:p w14:paraId="5ABD4A55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sz w:val="28"/>
          <w:szCs w:val="28"/>
        </w:rPr>
        <w:t>据快手副总裁、扶贫办公室主任宋婷婷介绍，首先，实施教育扶贫提升人的技能。快手平台上适合农村的农技、农扶的视频内容，为</w:t>
      </w:r>
      <w:r w:rsidRPr="00BB2109">
        <w:rPr>
          <w:sz w:val="28"/>
          <w:szCs w:val="28"/>
        </w:rPr>
        <w:lastRenderedPageBreak/>
        <w:t>村民提供了丰富的学习材料。“快手大学”项目，使当地群众学会使用互联网，打破闭塞的信息通路。其次，在物方面，进行电商扶贫。发展快手社区“老铁经济”，并通过“福苗计划”动员电商达人，共同帮助贫困地区民众推广和销售农特产品。最后是景，开展整体性的地区合作。例如，“打开快手发现美丽中国”项目，利用流量支持，携手贫困地区政府，让互联网技术赋能地区和个人，改变城市与乡村、地区与地区之间发展的不平衡。中国人民大学公共政策研究院执行副院长毛寿龙指出，快手平台是多层次的，如同一个“无穷的货架”，它提供了一个扩展的秩序，这个秩序可以使乡村很多元素进入到城市化可扩展的元素，并通过算法降低距离感和时间成本。</w:t>
      </w:r>
    </w:p>
    <w:p w14:paraId="243D9539" w14:textId="3F22CB59" w:rsidR="00BB2109" w:rsidRPr="00BB2109" w:rsidRDefault="00BB2109" w:rsidP="00BB2109">
      <w:pPr>
        <w:ind w:firstLineChars="200" w:firstLine="562"/>
        <w:rPr>
          <w:b/>
          <w:bCs/>
          <w:sz w:val="28"/>
          <w:szCs w:val="28"/>
        </w:rPr>
      </w:pPr>
      <w:r w:rsidRPr="00BB2109">
        <w:rPr>
          <w:rFonts w:hint="eastAsia"/>
          <w:b/>
          <w:bCs/>
          <w:sz w:val="28"/>
          <w:szCs w:val="28"/>
        </w:rPr>
        <w:t>短视频扶贫发展的不足与难点</w:t>
      </w:r>
    </w:p>
    <w:p w14:paraId="62B290D2" w14:textId="18F886B1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目前，短视频扶贫发展的成果和取得的成绩显而易见。中国社科院农村发展研究所檀学文认为，短视频扶贫这个新鲜事物一方面使新媒体行业履行社会责任，另一方面鼓励全社会合力攻坚，从这个角度来说是一个好现象，应该是值得鼓励的。同时，要对于短视频数据进行更加精准化的考察，提升精准扶贫效果。</w:t>
      </w:r>
    </w:p>
    <w:p w14:paraId="776AC3D8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然而，作为一种新兴的模式，短视频扶贫的健康可持续发展仍面临着不足和难点。比如，贫困地区短视频生产群体的专业技能缺乏与文化程度限制问题，增加短视频变现模式的问题，短视频</w:t>
      </w:r>
      <w:proofErr w:type="gramStart"/>
      <w:r w:rsidRPr="00BB2109">
        <w:rPr>
          <w:rFonts w:hint="eastAsia"/>
          <w:sz w:val="28"/>
          <w:szCs w:val="28"/>
        </w:rPr>
        <w:t>平台电</w:t>
      </w:r>
      <w:proofErr w:type="gramEnd"/>
      <w:r w:rsidRPr="00BB2109">
        <w:rPr>
          <w:rFonts w:hint="eastAsia"/>
          <w:sz w:val="28"/>
          <w:szCs w:val="28"/>
        </w:rPr>
        <w:t>商虚假宣传、产品质量和售后保障问题，以及如何实现贫困地区可持续发展的问题等。</w:t>
      </w:r>
    </w:p>
    <w:p w14:paraId="55E82376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对此，北京师范大学中国扶贫研究院院长张琦认为，对短视频平</w:t>
      </w:r>
      <w:r w:rsidRPr="00BB2109">
        <w:rPr>
          <w:rFonts w:hint="eastAsia"/>
          <w:sz w:val="28"/>
          <w:szCs w:val="28"/>
        </w:rPr>
        <w:lastRenderedPageBreak/>
        <w:t>台发展而言，长效性、监管、信用都非常重要。短视频与扶贫结合起来后，更容易引发舆论效应和社会监督，引起更多公众关注。因此，在短视频扶贫过程中，更要加强监管，要建立规范化、长效性的发展机制与信用机制。</w:t>
      </w:r>
    </w:p>
    <w:p w14:paraId="45A55895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北京师范大学新闻传播学院副院长王长潇指出，要重视乡村青年的媒介素养问题。一方面要遵循影像基本的语法规则，提升视频美感；另一方面，可以深入挖掘和分析短视频数据，提高对精准扶贫工作的实际指导价值。</w:t>
      </w:r>
    </w:p>
    <w:p w14:paraId="34DFD94B" w14:textId="1153E588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人民在线副总编辑、</w:t>
      </w:r>
      <w:proofErr w:type="gramStart"/>
      <w:r w:rsidRPr="00BB2109">
        <w:rPr>
          <w:rFonts w:hint="eastAsia"/>
          <w:sz w:val="28"/>
          <w:szCs w:val="28"/>
        </w:rPr>
        <w:t>人民网</w:t>
      </w:r>
      <w:proofErr w:type="gramEnd"/>
      <w:r w:rsidRPr="00BB2109">
        <w:rPr>
          <w:rFonts w:hint="eastAsia"/>
          <w:sz w:val="28"/>
          <w:szCs w:val="28"/>
        </w:rPr>
        <w:t>新媒体</w:t>
      </w:r>
      <w:proofErr w:type="gramStart"/>
      <w:r w:rsidRPr="00BB2109">
        <w:rPr>
          <w:rFonts w:hint="eastAsia"/>
          <w:sz w:val="28"/>
          <w:szCs w:val="28"/>
        </w:rPr>
        <w:t>智库高级</w:t>
      </w:r>
      <w:proofErr w:type="gramEnd"/>
      <w:r w:rsidRPr="00BB2109">
        <w:rPr>
          <w:rFonts w:hint="eastAsia"/>
          <w:sz w:val="28"/>
          <w:szCs w:val="28"/>
        </w:rPr>
        <w:t>研究员刘鹏飞建议，要建立健全视频内容和商品审核体系，增加商品质量审核流程和质量认证机制，完善平台支付、订单跟踪系统及售后服务机制。还需逐步建立网上的巡查机制和短视频直播电商信用体系建设，不断破解发展中存在的问题，使短视频能够更好地发挥重要的平台和媒介作用。</w:t>
      </w:r>
    </w:p>
    <w:p w14:paraId="5A9952D8" w14:textId="7C04CE14" w:rsidR="00BB2109" w:rsidRPr="00BB2109" w:rsidRDefault="00BB2109" w:rsidP="00BB2109">
      <w:pPr>
        <w:ind w:firstLineChars="200" w:firstLine="562"/>
        <w:rPr>
          <w:b/>
          <w:bCs/>
          <w:sz w:val="28"/>
          <w:szCs w:val="28"/>
        </w:rPr>
      </w:pPr>
      <w:r w:rsidRPr="00BB2109">
        <w:rPr>
          <w:rFonts w:hint="eastAsia"/>
          <w:b/>
          <w:bCs/>
          <w:sz w:val="28"/>
          <w:szCs w:val="28"/>
        </w:rPr>
        <w:t>逐步形成完善的“短视频</w:t>
      </w:r>
      <w:r w:rsidRPr="00BB2109">
        <w:rPr>
          <w:b/>
          <w:bCs/>
          <w:sz w:val="28"/>
          <w:szCs w:val="28"/>
        </w:rPr>
        <w:t>+扶贫”发展体系</w:t>
      </w:r>
    </w:p>
    <w:p w14:paraId="7791F9B7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系统的发展体系对扶贫实践具有指导意义，对短视频扶贫的成效起到至关重要的影响作用。短视频扶贫从内容、表达方式方面都应强化创新，不断探索拓宽发展途径，并逐渐形成一种比较完善的发展体系。</w:t>
      </w:r>
    </w:p>
    <w:p w14:paraId="3625DD43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首先，短视频扶贫要明确初衷。短视频是手段、方式，助力打赢脱贫攻坚战是初衷、目的。国务院扶贫办全国扶贫宣教中心副主任刘晓山指出，短视频扶贫本身就要有初心，初心就是扶贫。互联网扶贫和消费扶贫应更重视互动性，一头连着贫困地区，一头</w:t>
      </w:r>
      <w:proofErr w:type="gramStart"/>
      <w:r w:rsidRPr="00BB2109">
        <w:rPr>
          <w:rFonts w:hint="eastAsia"/>
          <w:sz w:val="28"/>
          <w:szCs w:val="28"/>
        </w:rPr>
        <w:t>连着广阔</w:t>
      </w:r>
      <w:proofErr w:type="gramEnd"/>
      <w:r w:rsidRPr="00BB2109">
        <w:rPr>
          <w:rFonts w:hint="eastAsia"/>
          <w:sz w:val="28"/>
          <w:szCs w:val="28"/>
        </w:rPr>
        <w:t>的消</w:t>
      </w:r>
      <w:r w:rsidRPr="00BB2109">
        <w:rPr>
          <w:rFonts w:hint="eastAsia"/>
          <w:sz w:val="28"/>
          <w:szCs w:val="28"/>
        </w:rPr>
        <w:lastRenderedPageBreak/>
        <w:t>费市场，最大特点是运用市场机制实现供给与需求的有效对接，引导和发动社会力量参与脱贫攻坚战，促进贫困地区产业发展、贫困人口增收。其出发点和落脚点是“扶贫、脱贫”。在“人、物、景”的基础上，还需要关注“文”，从文化的角度进行提升。</w:t>
      </w:r>
    </w:p>
    <w:p w14:paraId="65A62FE0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其次，短视频扶贫要理清思路。扶贫不只是物质扶贫，更要注重精神扶贫。扶贫先扶志已经成为共识。应用短视频形式进行精神扶贫或将取得更好的效果。人民日报社研究部主任崔士鑫提出，相较于以往的发文章、发文件讲道理的方式，短视频用接近面对面交流的方式进行“扶贫”效果更好。通过短视频讲述脱贫典型与致富经历，推出一批脱贫攻坚战中的立志</w:t>
      </w:r>
      <w:proofErr w:type="gramStart"/>
      <w:r w:rsidRPr="00BB2109">
        <w:rPr>
          <w:rFonts w:hint="eastAsia"/>
          <w:sz w:val="28"/>
          <w:szCs w:val="28"/>
        </w:rPr>
        <w:t>型网红</w:t>
      </w:r>
      <w:proofErr w:type="gramEnd"/>
      <w:r w:rsidRPr="00BB2109">
        <w:rPr>
          <w:rFonts w:hint="eastAsia"/>
          <w:sz w:val="28"/>
          <w:szCs w:val="28"/>
        </w:rPr>
        <w:t>，可能会取得更佳的扶志效果。</w:t>
      </w:r>
    </w:p>
    <w:p w14:paraId="33878ABA" w14:textId="77777777" w:rsidR="00BB2109" w:rsidRPr="00BB2109" w:rsidRDefault="00BB2109" w:rsidP="00BB2109">
      <w:pPr>
        <w:ind w:firstLineChars="200" w:firstLine="560"/>
        <w:rPr>
          <w:sz w:val="28"/>
          <w:szCs w:val="28"/>
        </w:rPr>
      </w:pPr>
      <w:r w:rsidRPr="00BB2109">
        <w:rPr>
          <w:rFonts w:hint="eastAsia"/>
          <w:sz w:val="28"/>
          <w:szCs w:val="28"/>
        </w:rPr>
        <w:t>最后，配套措施要齐备，发展机制与治理体系的构建要同步跟进。崔士鑫认为，在短视频扶贫的路上，需要长效机制的保障，长短结合才是最有力的工具。比如，构建平台科学技术分享型短视频生产机制，做大相关科学知识和制作技术内容池，让更多人通过短视频掌握致富知识和技能。治理则包括短视频平台发展的规范化治理，也包括对贫困地区的治理。</w:t>
      </w:r>
    </w:p>
    <w:p w14:paraId="5F62D577" w14:textId="71E1E00D" w:rsidR="00BB2109" w:rsidRPr="00BB2109" w:rsidRDefault="00BB2109" w:rsidP="00BB2109">
      <w:pPr>
        <w:ind w:firstLineChars="200" w:firstLine="560"/>
        <w:rPr>
          <w:rFonts w:hint="eastAsia"/>
          <w:sz w:val="28"/>
          <w:szCs w:val="28"/>
        </w:rPr>
      </w:pPr>
      <w:r w:rsidRPr="00BB2109">
        <w:rPr>
          <w:rFonts w:hint="eastAsia"/>
          <w:sz w:val="28"/>
          <w:szCs w:val="28"/>
        </w:rPr>
        <w:t>短视频扶贫，作为一种新兴的扶贫模式，尽管目前仍有不少难点有待突破，但其社会价值、创新价值在发展中已经得到社会各界的认可。为其共同努力、攻坚克难也成为互联网业界、专家学者与管理部门之间的共识。换言之，短视频扶贫，已经成为当前诠释互联网发展赋能社会发展、反哺社会治理的典型例子。</w:t>
      </w:r>
    </w:p>
    <w:p w14:paraId="6CAB9C76" w14:textId="6A8B3F41" w:rsidR="00BB2109" w:rsidRDefault="00E01239" w:rsidP="00E01239">
      <w:pPr>
        <w:pStyle w:val="1"/>
        <w:numPr>
          <w:ilvl w:val="0"/>
          <w:numId w:val="2"/>
        </w:numPr>
        <w:spacing w:before="24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实践</w:t>
      </w:r>
      <w:r w:rsidR="00BB2109">
        <w:rPr>
          <w:rFonts w:hint="eastAsia"/>
          <w:sz w:val="28"/>
          <w:szCs w:val="28"/>
        </w:rPr>
        <w:t>目的及意义</w:t>
      </w:r>
    </w:p>
    <w:p w14:paraId="16D46E70" w14:textId="7BBAE261" w:rsidR="00E01239" w:rsidRPr="00E01239" w:rsidRDefault="00E01239" w:rsidP="00E01239">
      <w:pPr>
        <w:ind w:firstLineChars="200" w:firstLine="562"/>
        <w:rPr>
          <w:sz w:val="28"/>
          <w:szCs w:val="28"/>
        </w:rPr>
      </w:pPr>
      <w:r w:rsidRPr="00E01239">
        <w:rPr>
          <w:rFonts w:hint="eastAsia"/>
          <w:b/>
          <w:bCs/>
          <w:sz w:val="28"/>
          <w:szCs w:val="28"/>
        </w:rPr>
        <w:t>目的：</w:t>
      </w:r>
      <w:r w:rsidRPr="00E01239">
        <w:rPr>
          <w:rFonts w:hint="eastAsia"/>
          <w:sz w:val="28"/>
          <w:szCs w:val="28"/>
        </w:rPr>
        <w:t>通过科技扶贫视频的制作和发布，帮助广大农特产品从业者们了解和掌握拍摄、制作短视频的重要技巧，鼓励农特产品从业者们积极参与短视频发布，通过高水平高质量的短视频，</w:t>
      </w:r>
      <w:r w:rsidRPr="00E01239">
        <w:rPr>
          <w:rFonts w:hint="eastAsia"/>
          <w:sz w:val="28"/>
          <w:szCs w:val="28"/>
        </w:rPr>
        <w:t>使其当地特色情况能被更多人看到，促进当地市场开拓</w:t>
      </w:r>
      <w:r w:rsidRPr="00E01239">
        <w:rPr>
          <w:rFonts w:hint="eastAsia"/>
          <w:sz w:val="28"/>
          <w:szCs w:val="28"/>
        </w:rPr>
        <w:t>；同时呼吁广大网友关注品质优良却因故滞销的农特产品，携手共同渡过难关。</w:t>
      </w:r>
    </w:p>
    <w:p w14:paraId="109C7C2C" w14:textId="77777777" w:rsidR="00E01239" w:rsidRPr="00E01239" w:rsidRDefault="00E01239" w:rsidP="00E01239">
      <w:pPr>
        <w:ind w:firstLineChars="200" w:firstLine="562"/>
        <w:rPr>
          <w:rFonts w:hint="eastAsia"/>
          <w:sz w:val="28"/>
          <w:szCs w:val="28"/>
        </w:rPr>
      </w:pPr>
      <w:r w:rsidRPr="00E01239">
        <w:rPr>
          <w:rFonts w:hint="eastAsia"/>
          <w:b/>
          <w:bCs/>
          <w:sz w:val="28"/>
          <w:szCs w:val="28"/>
        </w:rPr>
        <w:t>意义：</w:t>
      </w:r>
      <w:r w:rsidRPr="00E01239">
        <w:rPr>
          <w:rFonts w:hint="eastAsia"/>
          <w:sz w:val="28"/>
          <w:szCs w:val="28"/>
        </w:rPr>
        <w:t>随着我国脱贫攻坚战进入决胜的关键阶段，扶贫方式方法也在与时俱进，互联网赋能扶贫便是一种创新。</w:t>
      </w:r>
      <w:proofErr w:type="gramStart"/>
      <w:r w:rsidRPr="00E01239">
        <w:rPr>
          <w:rFonts w:hint="eastAsia"/>
          <w:sz w:val="28"/>
          <w:szCs w:val="28"/>
        </w:rPr>
        <w:t>中央网信办</w:t>
      </w:r>
      <w:proofErr w:type="gramEnd"/>
      <w:r w:rsidRPr="00E01239">
        <w:rPr>
          <w:rFonts w:hint="eastAsia"/>
          <w:sz w:val="28"/>
          <w:szCs w:val="28"/>
        </w:rPr>
        <w:t>、国家发展改革委、国务院扶贫办、工业和信息化部联合印发的《</w:t>
      </w:r>
      <w:r w:rsidRPr="00E01239">
        <w:rPr>
          <w:sz w:val="28"/>
          <w:szCs w:val="28"/>
        </w:rPr>
        <w:t>2019年网络扶贫工作要点》中，强调要充分发掘互联网和信息化在脱贫中的潜力，扎实推动网络扶贫行动向纵深发展。</w:t>
      </w:r>
    </w:p>
    <w:p w14:paraId="4B8B8BD6" w14:textId="37D2B94F" w:rsidR="00E01239" w:rsidRDefault="00E01239" w:rsidP="00E01239">
      <w:pPr>
        <w:ind w:firstLineChars="200" w:firstLine="560"/>
        <w:rPr>
          <w:sz w:val="28"/>
          <w:szCs w:val="28"/>
        </w:rPr>
      </w:pPr>
      <w:r w:rsidRPr="00E01239">
        <w:rPr>
          <w:rFonts w:hint="eastAsia"/>
          <w:sz w:val="28"/>
          <w:szCs w:val="28"/>
        </w:rPr>
        <w:t>值得注意的是，近些年短视频作为一种新兴传播媒介，除了自身迅速发展之外，也在加快探索与电商、旅游等领域的融合发展，并催生一种扶贫的新途径。伴随</w:t>
      </w:r>
      <w:r w:rsidRPr="00E01239">
        <w:rPr>
          <w:sz w:val="28"/>
          <w:szCs w:val="28"/>
        </w:rPr>
        <w:t>5G时代的来临，合理有效利用短视频平台的资源优势，对于打好脱贫攻坚战，有着非常重要的意义。</w:t>
      </w:r>
    </w:p>
    <w:p w14:paraId="0A9AF84F" w14:textId="51C2CF3E" w:rsidR="00E01239" w:rsidRDefault="00E01239" w:rsidP="00E01239">
      <w:pPr>
        <w:pStyle w:val="1"/>
        <w:spacing w:before="240" w:after="120" w:line="240" w:lineRule="auto"/>
        <w:rPr>
          <w:b w:val="0"/>
          <w:sz w:val="32"/>
          <w:szCs w:val="32"/>
        </w:rPr>
      </w:pPr>
      <w:bookmarkStart w:id="3" w:name="_Toc477303751"/>
      <w:r>
        <w:rPr>
          <w:sz w:val="32"/>
          <w:szCs w:val="32"/>
        </w:rPr>
        <w:t>四、</w:t>
      </w:r>
      <w:r>
        <w:rPr>
          <w:rFonts w:hint="eastAsia"/>
          <w:sz w:val="32"/>
          <w:szCs w:val="32"/>
        </w:rPr>
        <w:t>实践</w:t>
      </w:r>
      <w:r>
        <w:rPr>
          <w:sz w:val="32"/>
          <w:szCs w:val="32"/>
        </w:rPr>
        <w:t>前期准备</w:t>
      </w:r>
      <w:bookmarkEnd w:id="3"/>
    </w:p>
    <w:p w14:paraId="2A1BE132" w14:textId="77777777" w:rsidR="00E01239" w:rsidRPr="00E01239" w:rsidRDefault="00E01239" w:rsidP="00E01239">
      <w:pPr>
        <w:ind w:firstLineChars="200" w:firstLine="560"/>
        <w:rPr>
          <w:rFonts w:hint="eastAsia"/>
          <w:sz w:val="28"/>
          <w:szCs w:val="28"/>
        </w:rPr>
      </w:pPr>
    </w:p>
    <w:p w14:paraId="7C5F1FB5" w14:textId="221F5D6A" w:rsidR="00BB2109" w:rsidRDefault="00BB2109" w:rsidP="00BB2109">
      <w:pPr>
        <w:pStyle w:val="1"/>
        <w:spacing w:before="240" w:after="120" w:line="240" w:lineRule="auto"/>
        <w:rPr>
          <w:b w:val="0"/>
          <w:sz w:val="24"/>
          <w:szCs w:val="24"/>
        </w:rPr>
      </w:pPr>
      <w:r>
        <w:rPr>
          <w:rFonts w:hint="eastAsia"/>
          <w:sz w:val="32"/>
          <w:szCs w:val="32"/>
        </w:rPr>
        <w:lastRenderedPageBreak/>
        <w:t>五、</w:t>
      </w:r>
      <w:r w:rsidR="00E01239">
        <w:rPr>
          <w:rFonts w:hint="eastAsia"/>
          <w:sz w:val="32"/>
          <w:szCs w:val="32"/>
        </w:rPr>
        <w:t>实践</w:t>
      </w:r>
      <w:r>
        <w:rPr>
          <w:rFonts w:hint="eastAsia"/>
          <w:sz w:val="32"/>
          <w:szCs w:val="32"/>
        </w:rPr>
        <w:t>主流程</w:t>
      </w:r>
    </w:p>
    <w:p w14:paraId="290B3597" w14:textId="62427790" w:rsidR="00BB2109" w:rsidRDefault="00BB2109" w:rsidP="00BB2109">
      <w:pPr>
        <w:pStyle w:val="1"/>
        <w:spacing w:before="240" w:after="120" w:line="240" w:lineRule="auto"/>
        <w:rPr>
          <w:b w:val="0"/>
          <w:sz w:val="32"/>
          <w:szCs w:val="32"/>
        </w:rPr>
      </w:pPr>
      <w:r>
        <w:rPr>
          <w:rFonts w:hint="eastAsia"/>
          <w:sz w:val="32"/>
          <w:szCs w:val="32"/>
        </w:rPr>
        <w:t>六、</w:t>
      </w:r>
      <w:r w:rsidR="00E01239">
        <w:rPr>
          <w:rFonts w:hint="eastAsia"/>
          <w:sz w:val="32"/>
          <w:szCs w:val="32"/>
        </w:rPr>
        <w:t>实践</w:t>
      </w:r>
      <w:r>
        <w:rPr>
          <w:rFonts w:hint="eastAsia"/>
          <w:sz w:val="32"/>
          <w:szCs w:val="32"/>
        </w:rPr>
        <w:t>后期</w:t>
      </w:r>
      <w:r w:rsidR="00E01239">
        <w:rPr>
          <w:rFonts w:hint="eastAsia"/>
          <w:sz w:val="32"/>
          <w:szCs w:val="32"/>
        </w:rPr>
        <w:t>宣发</w:t>
      </w:r>
    </w:p>
    <w:p w14:paraId="05B58546" w14:textId="03E4821B" w:rsidR="00BB2109" w:rsidRDefault="00BB2109" w:rsidP="00BB2109">
      <w:pPr>
        <w:pStyle w:val="1"/>
        <w:spacing w:before="240" w:after="120" w:line="240" w:lineRule="auto"/>
        <w:rPr>
          <w:rFonts w:asciiTheme="minorEastAsia" w:eastAsiaTheme="minorEastAsia" w:hAnsiTheme="minorEastAsia" w:cstheme="minorEastAsia"/>
          <w:b w:val="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七、</w:t>
      </w:r>
      <w:r w:rsidR="00E01239">
        <w:rPr>
          <w:rFonts w:asciiTheme="minorEastAsia" w:eastAsiaTheme="minorEastAsia" w:hAnsiTheme="minorEastAsia" w:cstheme="minorEastAsia" w:hint="eastAsia"/>
          <w:sz w:val="32"/>
          <w:szCs w:val="32"/>
        </w:rPr>
        <w:t>实践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预期</w:t>
      </w:r>
    </w:p>
    <w:p w14:paraId="101724C4" w14:textId="145743BE" w:rsidR="00BB2109" w:rsidRDefault="00BB2109" w:rsidP="00BB2109">
      <w:pPr>
        <w:pStyle w:val="1"/>
        <w:spacing w:before="240" w:after="120" w:line="240" w:lineRule="auto"/>
        <w:rPr>
          <w:b w:val="0"/>
          <w:sz w:val="32"/>
          <w:szCs w:val="32"/>
        </w:rPr>
      </w:pPr>
      <w:r>
        <w:rPr>
          <w:rFonts w:hint="eastAsia"/>
          <w:sz w:val="32"/>
          <w:szCs w:val="32"/>
        </w:rPr>
        <w:t>八、</w:t>
      </w:r>
      <w:r w:rsidR="00E01239">
        <w:rPr>
          <w:rFonts w:hint="eastAsia"/>
          <w:sz w:val="32"/>
          <w:szCs w:val="32"/>
        </w:rPr>
        <w:t>实践</w:t>
      </w:r>
      <w:r>
        <w:rPr>
          <w:rFonts w:hint="eastAsia"/>
          <w:sz w:val="32"/>
          <w:szCs w:val="32"/>
        </w:rPr>
        <w:t>团队应注意的细节及问题</w:t>
      </w:r>
    </w:p>
    <w:p w14:paraId="3F3E6903" w14:textId="777238DA" w:rsidR="00BB2109" w:rsidRDefault="00BB2109" w:rsidP="00BB2109">
      <w:pPr>
        <w:pStyle w:val="1"/>
        <w:rPr>
          <w:rFonts w:ascii="宋体" w:hAnsi="宋体"/>
          <w:sz w:val="32"/>
          <w:szCs w:val="32"/>
        </w:rPr>
      </w:pPr>
      <w:bookmarkStart w:id="4" w:name="_Toc477303759"/>
      <w:r>
        <w:rPr>
          <w:rFonts w:ascii="宋体" w:hAnsi="宋体" w:hint="eastAsia"/>
          <w:sz w:val="32"/>
          <w:szCs w:val="32"/>
        </w:rPr>
        <w:t>附</w:t>
      </w:r>
      <w:proofErr w:type="gramStart"/>
      <w:r>
        <w:rPr>
          <w:rFonts w:ascii="宋体" w:hAnsi="宋体" w:hint="eastAsia"/>
          <w:sz w:val="32"/>
          <w:szCs w:val="32"/>
        </w:rPr>
        <w:t>一</w:t>
      </w:r>
      <w:proofErr w:type="gramEnd"/>
      <w:r>
        <w:rPr>
          <w:rFonts w:ascii="宋体" w:hAnsi="宋体" w:hint="eastAsia"/>
          <w:sz w:val="32"/>
          <w:szCs w:val="32"/>
        </w:rPr>
        <w:t>：</w:t>
      </w:r>
      <w:bookmarkEnd w:id="4"/>
      <w:r>
        <w:rPr>
          <w:rFonts w:ascii="宋体" w:hAnsi="宋体" w:hint="eastAsia"/>
          <w:sz w:val="32"/>
          <w:szCs w:val="32"/>
        </w:rPr>
        <w:t>团队简介</w:t>
      </w:r>
    </w:p>
    <w:p w14:paraId="22949A69" w14:textId="7C8E4D38" w:rsidR="00E01239" w:rsidRDefault="00E01239" w:rsidP="00E01239">
      <w:pPr>
        <w:pStyle w:val="1"/>
        <w:spacing w:before="240" w:after="12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附二：共享云空间</w:t>
      </w:r>
    </w:p>
    <w:p w14:paraId="35395AB3" w14:textId="2FAC7E28" w:rsidR="00E01239" w:rsidRDefault="00E01239" w:rsidP="00E01239">
      <w:pPr>
        <w:pStyle w:val="1"/>
        <w:spacing w:before="240" w:after="12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附</w:t>
      </w: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各平台发布账号</w:t>
      </w:r>
    </w:p>
    <w:p w14:paraId="7A355FB7" w14:textId="77777777" w:rsidR="00E01239" w:rsidRPr="00E01239" w:rsidRDefault="00E01239" w:rsidP="00E01239">
      <w:pPr>
        <w:rPr>
          <w:rFonts w:hint="eastAsia"/>
        </w:rPr>
      </w:pPr>
    </w:p>
    <w:p w14:paraId="73FBEBDE" w14:textId="77777777" w:rsidR="00E01239" w:rsidRPr="00E01239" w:rsidRDefault="00E01239" w:rsidP="00E01239">
      <w:pPr>
        <w:rPr>
          <w:rFonts w:hint="eastAsia"/>
        </w:rPr>
      </w:pPr>
    </w:p>
    <w:p w14:paraId="1DBD3DA8" w14:textId="5B7DD493" w:rsidR="00FE5501" w:rsidRPr="00BB2109" w:rsidRDefault="00FE5501" w:rsidP="00654E7A">
      <w:pPr>
        <w:rPr>
          <w:rFonts w:eastAsia="华文楷体"/>
          <w:sz w:val="40"/>
          <w:szCs w:val="40"/>
        </w:rPr>
      </w:pPr>
    </w:p>
    <w:p w14:paraId="0550FE1F" w14:textId="0F31A243" w:rsidR="00176A11" w:rsidRDefault="00176A11" w:rsidP="00654E7A">
      <w:pPr>
        <w:rPr>
          <w:rFonts w:eastAsia="华文楷体"/>
          <w:sz w:val="40"/>
          <w:szCs w:val="40"/>
        </w:rPr>
      </w:pPr>
    </w:p>
    <w:p w14:paraId="7E2AA440" w14:textId="44EC2921" w:rsidR="00176A11" w:rsidRDefault="00176A11" w:rsidP="00654E7A">
      <w:pPr>
        <w:rPr>
          <w:rFonts w:eastAsia="华文楷体"/>
          <w:sz w:val="40"/>
          <w:szCs w:val="40"/>
        </w:rPr>
      </w:pPr>
    </w:p>
    <w:p w14:paraId="32F2B6D3" w14:textId="245C7C58" w:rsidR="00176A11" w:rsidRDefault="00176A11" w:rsidP="00654E7A">
      <w:pPr>
        <w:rPr>
          <w:rFonts w:eastAsia="华文楷体"/>
          <w:sz w:val="40"/>
          <w:szCs w:val="40"/>
        </w:rPr>
      </w:pPr>
    </w:p>
    <w:p w14:paraId="0B1AFE95" w14:textId="25A55FF7" w:rsidR="00176A11" w:rsidRDefault="00176A11" w:rsidP="00654E7A">
      <w:pPr>
        <w:rPr>
          <w:rFonts w:eastAsia="华文楷体"/>
          <w:sz w:val="40"/>
          <w:szCs w:val="40"/>
        </w:rPr>
      </w:pPr>
    </w:p>
    <w:p w14:paraId="545F454B" w14:textId="65F241C9" w:rsidR="00176A11" w:rsidRDefault="00176A11" w:rsidP="00654E7A">
      <w:pPr>
        <w:rPr>
          <w:rFonts w:eastAsia="华文楷体"/>
          <w:sz w:val="40"/>
          <w:szCs w:val="40"/>
        </w:rPr>
      </w:pPr>
    </w:p>
    <w:p w14:paraId="19D2994F" w14:textId="3F5024A5" w:rsidR="00176A11" w:rsidRDefault="00176A11" w:rsidP="00654E7A">
      <w:pPr>
        <w:rPr>
          <w:rFonts w:eastAsia="华文楷体"/>
          <w:sz w:val="40"/>
          <w:szCs w:val="40"/>
        </w:rPr>
      </w:pPr>
    </w:p>
    <w:p w14:paraId="009AA995" w14:textId="48687239" w:rsidR="00176A11" w:rsidRDefault="00176A11" w:rsidP="00654E7A">
      <w:pPr>
        <w:rPr>
          <w:rFonts w:eastAsia="华文楷体"/>
          <w:sz w:val="40"/>
          <w:szCs w:val="40"/>
        </w:rPr>
      </w:pPr>
    </w:p>
    <w:p w14:paraId="69F2DE48" w14:textId="254652D7" w:rsidR="00176A11" w:rsidRDefault="00176A11" w:rsidP="00654E7A">
      <w:pPr>
        <w:rPr>
          <w:rFonts w:eastAsia="华文楷体"/>
          <w:sz w:val="40"/>
          <w:szCs w:val="40"/>
        </w:rPr>
      </w:pPr>
    </w:p>
    <w:p w14:paraId="2933B83D" w14:textId="77777777" w:rsidR="00FE5501" w:rsidRPr="00654E7A" w:rsidRDefault="00FE5501" w:rsidP="00654E7A">
      <w:pPr>
        <w:rPr>
          <w:rFonts w:eastAsia="方正姚体" w:hint="eastAsia"/>
          <w:sz w:val="32"/>
          <w:szCs w:val="32"/>
        </w:rPr>
      </w:pPr>
    </w:p>
    <w:sectPr w:rsidR="00FE5501" w:rsidRPr="00654E7A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AE7D8" w14:textId="77777777" w:rsidR="0034158F" w:rsidRDefault="0034158F" w:rsidP="003B6A48">
      <w:r>
        <w:separator/>
      </w:r>
    </w:p>
  </w:endnote>
  <w:endnote w:type="continuationSeparator" w:id="0">
    <w:p w14:paraId="436D1E14" w14:textId="77777777" w:rsidR="0034158F" w:rsidRDefault="0034158F" w:rsidP="003B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2AD94" w14:textId="77777777" w:rsidR="0034158F" w:rsidRDefault="0034158F" w:rsidP="003B6A48">
      <w:r>
        <w:separator/>
      </w:r>
    </w:p>
  </w:footnote>
  <w:footnote w:type="continuationSeparator" w:id="0">
    <w:p w14:paraId="2347CC6D" w14:textId="77777777" w:rsidR="0034158F" w:rsidRDefault="0034158F" w:rsidP="003B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11F87" w14:textId="396A3182" w:rsidR="003B6A48" w:rsidRDefault="003B6A48">
    <w:pPr>
      <w:pStyle w:val="a3"/>
    </w:pPr>
    <w:r>
      <w:rPr>
        <w:noProof/>
      </w:rPr>
      <w:pict w14:anchorId="39FA1E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3813" o:spid="_x0000_s2050" type="#_x0000_t75" style="position:absolute;left:0;text-align:left;margin-left:0;margin-top:0;width:392.65pt;height:697.7pt;z-index:-251657216;mso-position-horizontal:center;mso-position-horizontal-relative:margin;mso-position-vertical:center;mso-position-vertical-relative:margin" o:allowincell="f">
          <v:imagedata r:id="rId1" o:title="背景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2F3A4" w14:textId="4B6CDE2F" w:rsidR="003B6A48" w:rsidRDefault="003B6A48">
    <w:pPr>
      <w:pStyle w:val="a3"/>
    </w:pPr>
    <w:r>
      <w:rPr>
        <w:noProof/>
      </w:rPr>
      <w:pict w14:anchorId="2A9494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3814" o:spid="_x0000_s2051" type="#_x0000_t75" style="position:absolute;left:0;text-align:left;margin-left:0;margin-top:0;width:594.05pt;height:876.45pt;z-index:-251656192;mso-position-horizontal:center;mso-position-horizontal-relative:margin;mso-position-vertical:center;mso-position-vertical-relative:margin" o:allowincell="f">
          <v:imagedata r:id="rId1" o:title="背景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8330F" w14:textId="452CBB87" w:rsidR="003B6A48" w:rsidRDefault="003B6A48">
    <w:pPr>
      <w:pStyle w:val="a3"/>
    </w:pPr>
    <w:r>
      <w:rPr>
        <w:noProof/>
      </w:rPr>
      <w:pict w14:anchorId="6022F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83812" o:spid="_x0000_s2049" type="#_x0000_t75" style="position:absolute;left:0;text-align:left;margin-left:0;margin-top:0;width:392.65pt;height:697.7pt;z-index:-251658240;mso-position-horizontal:center;mso-position-horizontal-relative:margin;mso-position-vertical:center;mso-position-vertical-relative:margin" o:allowincell="f">
          <v:imagedata r:id="rId1" o:title="背景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5585B"/>
    <w:multiLevelType w:val="multilevel"/>
    <w:tmpl w:val="BF129DDE"/>
    <w:lvl w:ilvl="0">
      <w:start w:val="2"/>
      <w:numFmt w:val="decimal"/>
      <w:lvlText w:val="%1"/>
      <w:lvlJc w:val="left"/>
      <w:pPr>
        <w:ind w:left="223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95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13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8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0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2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4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6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82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532649"/>
    <w:multiLevelType w:val="hybridMultilevel"/>
    <w:tmpl w:val="7D12B672"/>
    <w:lvl w:ilvl="0" w:tplc="589E3F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1F"/>
    <w:rsid w:val="0013081F"/>
    <w:rsid w:val="00176A11"/>
    <w:rsid w:val="0034158F"/>
    <w:rsid w:val="003B6A48"/>
    <w:rsid w:val="004B2645"/>
    <w:rsid w:val="0052295D"/>
    <w:rsid w:val="00654E7A"/>
    <w:rsid w:val="007C69DF"/>
    <w:rsid w:val="00822A25"/>
    <w:rsid w:val="00BB2109"/>
    <w:rsid w:val="00C4363C"/>
    <w:rsid w:val="00E01239"/>
    <w:rsid w:val="00FC4F7A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CB617E"/>
  <w15:chartTrackingRefBased/>
  <w15:docId w15:val="{6FDFA9D5-6198-4439-9643-EA9FC230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napToGrid w:val="0"/>
        <w:kern w:val="2"/>
        <w:sz w:val="26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109"/>
    <w:pPr>
      <w:keepNext/>
      <w:keepLines/>
      <w:spacing w:before="340" w:after="330" w:line="578" w:lineRule="auto"/>
      <w:outlineLvl w:val="0"/>
    </w:pPr>
    <w:rPr>
      <w:rFonts w:ascii="Calibri" w:hAnsi="Calibri" w:cs="宋体"/>
      <w:b/>
      <w:bCs/>
      <w:snapToGrid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A48"/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BB2109"/>
    <w:pPr>
      <w:tabs>
        <w:tab w:val="right" w:pos="8296"/>
      </w:tabs>
      <w:spacing w:before="360" w:after="360"/>
      <w:jc w:val="center"/>
    </w:pPr>
    <w:rPr>
      <w:rFonts w:ascii="黑体" w:eastAsia="黑体" w:hAnsi="黑体" w:cs="宋体"/>
      <w:b/>
      <w:bCs/>
      <w:caps/>
      <w:snapToGrid/>
      <w:sz w:val="44"/>
      <w:szCs w:val="24"/>
      <w:u w:val="single"/>
    </w:rPr>
  </w:style>
  <w:style w:type="character" w:styleId="a7">
    <w:name w:val="Hyperlink"/>
    <w:basedOn w:val="a0"/>
    <w:uiPriority w:val="99"/>
    <w:qFormat/>
    <w:rsid w:val="00BB2109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BB2109"/>
    <w:rPr>
      <w:rFonts w:ascii="Calibri" w:hAnsi="Calibri" w:cs="宋体"/>
      <w:b/>
      <w:bCs/>
      <w:snapToGrid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BB21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Eason</dc:creator>
  <cp:keywords/>
  <dc:description/>
  <cp:lastModifiedBy>Chen Eason</cp:lastModifiedBy>
  <cp:revision>8</cp:revision>
  <dcterms:created xsi:type="dcterms:W3CDTF">2020-07-11T16:05:00Z</dcterms:created>
  <dcterms:modified xsi:type="dcterms:W3CDTF">2020-07-11T16:59:00Z</dcterms:modified>
</cp:coreProperties>
</file>