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825B" w14:textId="77777777" w:rsidR="006D57E8" w:rsidRPr="004E32FF" w:rsidRDefault="006D57E8" w:rsidP="004E32FF">
      <w:pPr>
        <w:jc w:val="center"/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1"/>
        <w:gridCol w:w="581"/>
        <w:gridCol w:w="533"/>
        <w:gridCol w:w="482"/>
        <w:gridCol w:w="564"/>
        <w:gridCol w:w="674"/>
        <w:gridCol w:w="645"/>
        <w:gridCol w:w="608"/>
        <w:gridCol w:w="697"/>
        <w:gridCol w:w="687"/>
        <w:gridCol w:w="2064"/>
      </w:tblGrid>
      <w:tr w:rsidR="006D57E8" w:rsidRPr="004E32FF" w14:paraId="449EE73B" w14:textId="77777777" w:rsidTr="004E32FF">
        <w:trPr>
          <w:trHeight w:val="274"/>
        </w:trPr>
        <w:tc>
          <w:tcPr>
            <w:tcW w:w="429" w:type="pct"/>
            <w:vMerge w:val="restart"/>
            <w:noWrap/>
            <w:vAlign w:val="center"/>
            <w:hideMark/>
          </w:tcPr>
          <w:p w14:paraId="6D49BB66" w14:textId="3D67923C" w:rsidR="006D57E8" w:rsidRPr="004E32FF" w:rsidRDefault="006D57E8" w:rsidP="004E32FF">
            <w:pPr>
              <w:rPr>
                <w:b/>
                <w:bCs/>
                <w:sz w:val="11"/>
                <w:szCs w:val="11"/>
              </w:rPr>
            </w:pPr>
            <w:r w:rsidRPr="004E32FF">
              <w:rPr>
                <w:b/>
                <w:bCs/>
                <w:sz w:val="11"/>
                <w:szCs w:val="11"/>
              </w:rPr>
              <w:t>DATABASE</w:t>
            </w:r>
          </w:p>
        </w:tc>
        <w:tc>
          <w:tcPr>
            <w:tcW w:w="1282" w:type="pct"/>
            <w:gridSpan w:val="4"/>
            <w:vAlign w:val="center"/>
            <w:hideMark/>
          </w:tcPr>
          <w:p w14:paraId="40A71B8F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DRUG LABEL</w:t>
            </w:r>
          </w:p>
        </w:tc>
        <w:tc>
          <w:tcPr>
            <w:tcW w:w="1978" w:type="pct"/>
            <w:gridSpan w:val="5"/>
            <w:vAlign w:val="center"/>
            <w:hideMark/>
          </w:tcPr>
          <w:p w14:paraId="65D91F2E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GENE LABEL</w:t>
            </w:r>
          </w:p>
        </w:tc>
        <w:tc>
          <w:tcPr>
            <w:tcW w:w="1311" w:type="pct"/>
            <w:vMerge w:val="restart"/>
            <w:vAlign w:val="center"/>
            <w:hideMark/>
          </w:tcPr>
          <w:p w14:paraId="558E0692" w14:textId="1BB13C5E" w:rsidR="006D57E8" w:rsidRPr="004E32FF" w:rsidRDefault="006D57E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CRITERIA</w:t>
            </w:r>
          </w:p>
        </w:tc>
      </w:tr>
      <w:tr w:rsidR="00E005B3" w:rsidRPr="004E32FF" w14:paraId="07137E86" w14:textId="77777777" w:rsidTr="004E32FF">
        <w:trPr>
          <w:trHeight w:val="43"/>
        </w:trPr>
        <w:tc>
          <w:tcPr>
            <w:tcW w:w="429" w:type="pct"/>
            <w:vMerge/>
            <w:vAlign w:val="center"/>
            <w:hideMark/>
          </w:tcPr>
          <w:p w14:paraId="1F199442" w14:textId="77777777" w:rsidR="008E5D03" w:rsidRPr="004E32FF" w:rsidRDefault="008E5D03" w:rsidP="004E32FF">
            <w:pPr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0" w:type="pct"/>
            <w:vAlign w:val="center"/>
            <w:hideMark/>
          </w:tcPr>
          <w:p w14:paraId="335968F1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SMILES</w:t>
            </w:r>
          </w:p>
        </w:tc>
        <w:tc>
          <w:tcPr>
            <w:tcW w:w="334" w:type="pct"/>
            <w:vAlign w:val="center"/>
            <w:hideMark/>
          </w:tcPr>
          <w:p w14:paraId="081BAB8A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IUPAC NAME</w:t>
            </w:r>
          </w:p>
        </w:tc>
        <w:tc>
          <w:tcPr>
            <w:tcW w:w="276" w:type="pct"/>
            <w:vAlign w:val="center"/>
            <w:hideMark/>
          </w:tcPr>
          <w:p w14:paraId="28907346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INCH</w:t>
            </w:r>
          </w:p>
        </w:tc>
        <w:tc>
          <w:tcPr>
            <w:tcW w:w="342" w:type="pct"/>
            <w:vAlign w:val="center"/>
            <w:hideMark/>
          </w:tcPr>
          <w:p w14:paraId="48A3095D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ATC CODES</w:t>
            </w:r>
          </w:p>
        </w:tc>
        <w:tc>
          <w:tcPr>
            <w:tcW w:w="423" w:type="pct"/>
            <w:vAlign w:val="center"/>
            <w:hideMark/>
          </w:tcPr>
          <w:p w14:paraId="31AB12D2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BINDING AFFINITY</w:t>
            </w:r>
          </w:p>
        </w:tc>
        <w:tc>
          <w:tcPr>
            <w:tcW w:w="392" w:type="pct"/>
            <w:vAlign w:val="center"/>
            <w:hideMark/>
          </w:tcPr>
          <w:p w14:paraId="0AFDDA8F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GENE SYMBOL</w:t>
            </w:r>
          </w:p>
        </w:tc>
        <w:tc>
          <w:tcPr>
            <w:tcW w:w="357" w:type="pct"/>
            <w:vAlign w:val="center"/>
            <w:hideMark/>
          </w:tcPr>
          <w:p w14:paraId="47B65260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ENTREZ ID</w:t>
            </w:r>
          </w:p>
        </w:tc>
        <w:tc>
          <w:tcPr>
            <w:tcW w:w="406" w:type="pct"/>
            <w:vAlign w:val="center"/>
            <w:hideMark/>
          </w:tcPr>
          <w:p w14:paraId="38831015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ENSEMBL ID</w:t>
            </w:r>
          </w:p>
        </w:tc>
        <w:tc>
          <w:tcPr>
            <w:tcW w:w="400" w:type="pct"/>
            <w:vAlign w:val="center"/>
            <w:hideMark/>
          </w:tcPr>
          <w:p w14:paraId="170CBBFD" w14:textId="77777777" w:rsidR="008E5D03" w:rsidRPr="004E32FF" w:rsidRDefault="008E5D03" w:rsidP="004E32FF">
            <w:pPr>
              <w:jc w:val="center"/>
              <w:rPr>
                <w:rFonts w:hint="eastAsia"/>
                <w:b/>
                <w:bCs/>
                <w:sz w:val="11"/>
                <w:szCs w:val="11"/>
              </w:rPr>
            </w:pPr>
            <w:r w:rsidRPr="004E32FF">
              <w:rPr>
                <w:rFonts w:hint="eastAsia"/>
                <w:b/>
                <w:bCs/>
                <w:sz w:val="11"/>
                <w:szCs w:val="11"/>
              </w:rPr>
              <w:t>UNIPROT ID</w:t>
            </w:r>
          </w:p>
        </w:tc>
        <w:tc>
          <w:tcPr>
            <w:tcW w:w="1311" w:type="pct"/>
            <w:vMerge/>
            <w:vAlign w:val="center"/>
            <w:hideMark/>
          </w:tcPr>
          <w:p w14:paraId="5E94A1E4" w14:textId="77777777" w:rsidR="008E5D03" w:rsidRPr="004E32FF" w:rsidRDefault="008E5D03" w:rsidP="004E32FF">
            <w:pPr>
              <w:jc w:val="center"/>
              <w:rPr>
                <w:b/>
                <w:bCs/>
                <w:sz w:val="11"/>
                <w:szCs w:val="11"/>
              </w:rPr>
            </w:pPr>
          </w:p>
        </w:tc>
      </w:tr>
      <w:tr w:rsidR="004E32FF" w:rsidRPr="004E32FF" w14:paraId="7CD1D1D4" w14:textId="77777777" w:rsidTr="004E32FF">
        <w:trPr>
          <w:trHeight w:val="316"/>
        </w:trPr>
        <w:tc>
          <w:tcPr>
            <w:tcW w:w="429" w:type="pct"/>
            <w:noWrap/>
            <w:vAlign w:val="center"/>
            <w:hideMark/>
          </w:tcPr>
          <w:p w14:paraId="11E9943A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BindingDB</w:t>
            </w:r>
          </w:p>
        </w:tc>
        <w:tc>
          <w:tcPr>
            <w:tcW w:w="330" w:type="pct"/>
            <w:vAlign w:val="center"/>
            <w:hideMark/>
          </w:tcPr>
          <w:p w14:paraId="48E83BBA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048336D" w14:textId="574A40A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3CE9A2CE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6A179A3E" w14:textId="569FBE15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26851B76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92" w:type="pct"/>
            <w:vAlign w:val="center"/>
            <w:hideMark/>
          </w:tcPr>
          <w:p w14:paraId="5B7B36A9" w14:textId="494BFCED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57" w:type="pct"/>
            <w:vAlign w:val="center"/>
            <w:hideMark/>
          </w:tcPr>
          <w:p w14:paraId="20ECE576" w14:textId="0332ED03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3B2BA135" w14:textId="53BB488E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13D430B8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Merge w:val="restart"/>
            <w:vAlign w:val="center"/>
            <w:hideMark/>
          </w:tcPr>
          <w:p w14:paraId="4E5DBABD" w14:textId="20A2BFB4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 xml:space="preserve">(i) </w:t>
            </w:r>
            <w:r w:rsidR="00E005B3" w:rsidRPr="004E32FF">
              <w:rPr>
                <w:sz w:val="11"/>
                <w:szCs w:val="11"/>
              </w:rPr>
              <w:t>B</w:t>
            </w:r>
            <w:r w:rsidRPr="004E32FF">
              <w:rPr>
                <w:rFonts w:hint="eastAsia"/>
                <w:sz w:val="11"/>
                <w:szCs w:val="11"/>
              </w:rPr>
              <w:t>inding affinity, including at least one of K</w:t>
            </w:r>
            <w:r w:rsidRPr="004E32FF">
              <w:rPr>
                <w:rFonts w:hint="eastAsia"/>
                <w:sz w:val="11"/>
                <w:szCs w:val="11"/>
                <w:vertAlign w:val="subscript"/>
              </w:rPr>
              <w:t>i</w:t>
            </w:r>
            <w:r w:rsidRPr="004E32FF">
              <w:rPr>
                <w:rFonts w:hint="eastAsia"/>
                <w:sz w:val="11"/>
                <w:szCs w:val="11"/>
              </w:rPr>
              <w:t>, K</w:t>
            </w:r>
            <w:r w:rsidRPr="004E32FF">
              <w:rPr>
                <w:rFonts w:hint="eastAsia"/>
                <w:sz w:val="11"/>
                <w:szCs w:val="11"/>
                <w:vertAlign w:val="subscript"/>
              </w:rPr>
              <w:t>d</w:t>
            </w:r>
            <w:r w:rsidRPr="004E32FF">
              <w:rPr>
                <w:rFonts w:hint="eastAsia"/>
                <w:sz w:val="11"/>
                <w:szCs w:val="11"/>
              </w:rPr>
              <w:t>, IC</w:t>
            </w:r>
            <w:r w:rsidRPr="004E32FF">
              <w:rPr>
                <w:rFonts w:hint="eastAsia"/>
                <w:sz w:val="11"/>
                <w:szCs w:val="11"/>
                <w:vertAlign w:val="subscript"/>
              </w:rPr>
              <w:t>50</w:t>
            </w:r>
            <w:r w:rsidRPr="004E32FF">
              <w:rPr>
                <w:rFonts w:hint="eastAsia"/>
                <w:sz w:val="11"/>
                <w:szCs w:val="11"/>
              </w:rPr>
              <w:t xml:space="preserve"> or EC</w:t>
            </w:r>
            <w:r w:rsidRPr="004E32FF">
              <w:rPr>
                <w:rFonts w:hint="eastAsia"/>
                <w:sz w:val="11"/>
                <w:szCs w:val="11"/>
                <w:vertAlign w:val="subscript"/>
              </w:rPr>
              <w:t>50</w:t>
            </w:r>
            <w:r w:rsidRPr="004E32FF">
              <w:rPr>
                <w:rFonts w:hint="eastAsia"/>
                <w:sz w:val="11"/>
                <w:szCs w:val="11"/>
              </w:rPr>
              <w:t xml:space="preserve"> ≤ 10 μM; (ii) the presence of UniProt ID representation of the protein; and (iii) the protein being tagged as "review".</w:t>
            </w:r>
          </w:p>
        </w:tc>
      </w:tr>
      <w:tr w:rsidR="004E32FF" w:rsidRPr="004E32FF" w14:paraId="11F4D9EB" w14:textId="77777777" w:rsidTr="004E32FF">
        <w:trPr>
          <w:trHeight w:val="264"/>
        </w:trPr>
        <w:tc>
          <w:tcPr>
            <w:tcW w:w="429" w:type="pct"/>
            <w:noWrap/>
            <w:vAlign w:val="center"/>
            <w:hideMark/>
          </w:tcPr>
          <w:p w14:paraId="186BA4CF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ChEMBL</w:t>
            </w:r>
          </w:p>
        </w:tc>
        <w:tc>
          <w:tcPr>
            <w:tcW w:w="330" w:type="pct"/>
            <w:vAlign w:val="center"/>
            <w:hideMark/>
          </w:tcPr>
          <w:p w14:paraId="749E572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7982C86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294F628D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65847F2E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270FFE40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92" w:type="pct"/>
            <w:vAlign w:val="center"/>
            <w:hideMark/>
          </w:tcPr>
          <w:p w14:paraId="2B999E5D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3F5D29B5" w14:textId="52DB5FD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7415C903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02CD6424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Merge/>
            <w:vAlign w:val="center"/>
            <w:hideMark/>
          </w:tcPr>
          <w:p w14:paraId="1C8769DC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sz w:val="11"/>
                <w:szCs w:val="11"/>
              </w:rPr>
            </w:pPr>
          </w:p>
        </w:tc>
      </w:tr>
      <w:tr w:rsidR="004E32FF" w:rsidRPr="004E32FF" w14:paraId="063B9202" w14:textId="77777777" w:rsidTr="004E32FF">
        <w:trPr>
          <w:trHeight w:val="225"/>
        </w:trPr>
        <w:tc>
          <w:tcPr>
            <w:tcW w:w="429" w:type="pct"/>
            <w:noWrap/>
            <w:vAlign w:val="center"/>
            <w:hideMark/>
          </w:tcPr>
          <w:p w14:paraId="7958D14D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Gtopdb</w:t>
            </w:r>
          </w:p>
        </w:tc>
        <w:tc>
          <w:tcPr>
            <w:tcW w:w="330" w:type="pct"/>
            <w:vAlign w:val="center"/>
            <w:hideMark/>
          </w:tcPr>
          <w:p w14:paraId="5F627B5F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6023C3DA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571D61F4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1D43ACBA" w14:textId="44F83C9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4846224D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92" w:type="pct"/>
            <w:vAlign w:val="center"/>
            <w:hideMark/>
          </w:tcPr>
          <w:p w14:paraId="459ECFCB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78968731" w14:textId="0239D21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41CD6AF2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008CA168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Merge/>
            <w:vAlign w:val="center"/>
            <w:hideMark/>
          </w:tcPr>
          <w:p w14:paraId="2E18BDF1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sz w:val="11"/>
                <w:szCs w:val="11"/>
              </w:rPr>
            </w:pPr>
          </w:p>
        </w:tc>
      </w:tr>
      <w:tr w:rsidR="004E32FF" w:rsidRPr="004E32FF" w14:paraId="3356364E" w14:textId="77777777" w:rsidTr="004E32FF">
        <w:trPr>
          <w:trHeight w:val="328"/>
        </w:trPr>
        <w:tc>
          <w:tcPr>
            <w:tcW w:w="429" w:type="pct"/>
            <w:noWrap/>
            <w:vAlign w:val="center"/>
            <w:hideMark/>
          </w:tcPr>
          <w:p w14:paraId="365D1255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pubchem</w:t>
            </w:r>
          </w:p>
        </w:tc>
        <w:tc>
          <w:tcPr>
            <w:tcW w:w="330" w:type="pct"/>
            <w:vAlign w:val="center"/>
            <w:hideMark/>
          </w:tcPr>
          <w:p w14:paraId="2B952088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30DD4E1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14AC7C8E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38330BA2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19521A9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92" w:type="pct"/>
            <w:vAlign w:val="center"/>
            <w:hideMark/>
          </w:tcPr>
          <w:p w14:paraId="7DD323C3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280FFB48" w14:textId="7F3C7BC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0827D45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7B0A0FFA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Merge/>
            <w:vAlign w:val="center"/>
            <w:hideMark/>
          </w:tcPr>
          <w:p w14:paraId="4C13EC1F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sz w:val="11"/>
                <w:szCs w:val="11"/>
              </w:rPr>
            </w:pPr>
          </w:p>
        </w:tc>
      </w:tr>
      <w:tr w:rsidR="004E32FF" w:rsidRPr="004E32FF" w14:paraId="2A28C680" w14:textId="77777777" w:rsidTr="004E32FF">
        <w:trPr>
          <w:trHeight w:val="358"/>
        </w:trPr>
        <w:tc>
          <w:tcPr>
            <w:tcW w:w="429" w:type="pct"/>
            <w:noWrap/>
            <w:vAlign w:val="center"/>
            <w:hideMark/>
          </w:tcPr>
          <w:p w14:paraId="0D6E2E66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TTD</w:t>
            </w:r>
          </w:p>
        </w:tc>
        <w:tc>
          <w:tcPr>
            <w:tcW w:w="330" w:type="pct"/>
            <w:vAlign w:val="center"/>
            <w:hideMark/>
          </w:tcPr>
          <w:p w14:paraId="56F6AD4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5062A621" w14:textId="4E65D54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738C2D4E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63B30A10" w14:textId="33B37D3A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6695E40C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92" w:type="pct"/>
            <w:vAlign w:val="center"/>
            <w:hideMark/>
          </w:tcPr>
          <w:p w14:paraId="1F5A9134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7081407E" w14:textId="07D7E6A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2994225A" w14:textId="00B83A3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32F6A4D9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Merge/>
            <w:vAlign w:val="center"/>
            <w:hideMark/>
          </w:tcPr>
          <w:p w14:paraId="3B1EDD9E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sz w:val="11"/>
                <w:szCs w:val="11"/>
              </w:rPr>
            </w:pPr>
          </w:p>
        </w:tc>
      </w:tr>
      <w:tr w:rsidR="004E32FF" w:rsidRPr="004E32FF" w14:paraId="25916E4F" w14:textId="77777777" w:rsidTr="004E32FF">
        <w:trPr>
          <w:trHeight w:val="598"/>
        </w:trPr>
        <w:tc>
          <w:tcPr>
            <w:tcW w:w="429" w:type="pct"/>
            <w:noWrap/>
            <w:vAlign w:val="center"/>
            <w:hideMark/>
          </w:tcPr>
          <w:p w14:paraId="7953D6A4" w14:textId="12863F0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DGIdb</w:t>
            </w:r>
          </w:p>
        </w:tc>
        <w:tc>
          <w:tcPr>
            <w:tcW w:w="330" w:type="pct"/>
            <w:vAlign w:val="center"/>
            <w:hideMark/>
          </w:tcPr>
          <w:p w14:paraId="205E4FFC" w14:textId="3D5B32C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5D2F3A81" w14:textId="7979A852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77E45D66" w14:textId="369DDD2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42" w:type="pct"/>
            <w:vAlign w:val="center"/>
            <w:hideMark/>
          </w:tcPr>
          <w:p w14:paraId="0EDFF989" w14:textId="613A9343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4174AA67" w14:textId="1F305213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33B9FCA6" w14:textId="3C835D8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011E2DDF" w14:textId="1FA198BF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6" w:type="pct"/>
            <w:vAlign w:val="center"/>
            <w:hideMark/>
          </w:tcPr>
          <w:p w14:paraId="7DD27503" w14:textId="1BC9697D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0DDFEC5B" w14:textId="18E097EF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Align w:val="center"/>
            <w:hideMark/>
          </w:tcPr>
          <w:p w14:paraId="627B0C3D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Fourteen of these experimentally validated database sources were screened for drug target interactions and eight were excluded.</w:t>
            </w:r>
          </w:p>
        </w:tc>
      </w:tr>
      <w:tr w:rsidR="004E32FF" w:rsidRPr="004E32FF" w14:paraId="218F2021" w14:textId="77777777" w:rsidTr="004E32FF">
        <w:trPr>
          <w:trHeight w:val="834"/>
        </w:trPr>
        <w:tc>
          <w:tcPr>
            <w:tcW w:w="429" w:type="pct"/>
            <w:noWrap/>
            <w:vAlign w:val="center"/>
            <w:hideMark/>
          </w:tcPr>
          <w:p w14:paraId="574180A0" w14:textId="25546203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Drugbank</w:t>
            </w:r>
          </w:p>
        </w:tc>
        <w:tc>
          <w:tcPr>
            <w:tcW w:w="330" w:type="pct"/>
            <w:vAlign w:val="center"/>
            <w:hideMark/>
          </w:tcPr>
          <w:p w14:paraId="06F04F3F" w14:textId="4DE36C8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4C1CE48D" w14:textId="56D958E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0B78C5B3" w14:textId="15441AD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33451AA7" w14:textId="7F5FFD7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7D1C3C1A" w14:textId="7B31762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3F3A9D91" w14:textId="5143693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46BBA1B6" w14:textId="338E973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27379B62" w14:textId="6760D4F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1B50D765" w14:textId="18DD009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Align w:val="center"/>
            <w:hideMark/>
          </w:tcPr>
          <w:p w14:paraId="0763FA89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The drug target interaction relationships downloaded from the Drugbank database have been experimented with to remove interactions in which no clear target information is available.</w:t>
            </w:r>
          </w:p>
        </w:tc>
      </w:tr>
      <w:tr w:rsidR="004E32FF" w:rsidRPr="004E32FF" w14:paraId="30160063" w14:textId="77777777" w:rsidTr="004E32FF">
        <w:trPr>
          <w:trHeight w:val="836"/>
        </w:trPr>
        <w:tc>
          <w:tcPr>
            <w:tcW w:w="429" w:type="pct"/>
            <w:noWrap/>
            <w:vAlign w:val="center"/>
            <w:hideMark/>
          </w:tcPr>
          <w:p w14:paraId="0AD05AF9" w14:textId="1D30277A" w:rsidR="00244768" w:rsidRPr="004E32FF" w:rsidRDefault="00127357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sz w:val="11"/>
                <w:szCs w:val="11"/>
              </w:rPr>
              <w:t>P</w:t>
            </w:r>
            <w:r w:rsidR="00244768" w:rsidRPr="004E32FF">
              <w:rPr>
                <w:rFonts w:hint="eastAsia"/>
                <w:sz w:val="11"/>
                <w:szCs w:val="11"/>
              </w:rPr>
              <w:t>harmGKB</w:t>
            </w:r>
          </w:p>
        </w:tc>
        <w:tc>
          <w:tcPr>
            <w:tcW w:w="330" w:type="pct"/>
            <w:vAlign w:val="center"/>
            <w:hideMark/>
          </w:tcPr>
          <w:p w14:paraId="763EB2C8" w14:textId="20F75E62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5E5DA8ED" w14:textId="2E5B5C0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4A26791E" w14:textId="52EBE3D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410158C1" w14:textId="3B8EB99C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6BB6AA52" w14:textId="004B621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59B0ED32" w14:textId="7F84320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73887618" w14:textId="66FDADD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55277C3D" w14:textId="09681EA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66D6245F" w14:textId="2D02190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Align w:val="center"/>
            <w:hideMark/>
          </w:tcPr>
          <w:p w14:paraId="403E4626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In the PharmGKB, there are 3 types of drug-target relationships: "associated", "not associated" and "ambiguous", and only the data marked as "associated" are selected.</w:t>
            </w:r>
          </w:p>
        </w:tc>
      </w:tr>
      <w:tr w:rsidR="004E32FF" w:rsidRPr="004E32FF" w14:paraId="3C34E805" w14:textId="77777777" w:rsidTr="004E32FF">
        <w:trPr>
          <w:trHeight w:val="848"/>
        </w:trPr>
        <w:tc>
          <w:tcPr>
            <w:tcW w:w="429" w:type="pct"/>
            <w:noWrap/>
            <w:vAlign w:val="center"/>
            <w:hideMark/>
          </w:tcPr>
          <w:p w14:paraId="5719B4F9" w14:textId="3A6156E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CancerDR</w:t>
            </w:r>
          </w:p>
        </w:tc>
        <w:tc>
          <w:tcPr>
            <w:tcW w:w="330" w:type="pct"/>
            <w:vAlign w:val="center"/>
            <w:hideMark/>
          </w:tcPr>
          <w:p w14:paraId="10409A96" w14:textId="50C9424C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9773613" w14:textId="4485D05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0D62389E" w14:textId="5C96946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42" w:type="pct"/>
            <w:vAlign w:val="center"/>
            <w:hideMark/>
          </w:tcPr>
          <w:p w14:paraId="0C22C457" w14:textId="17C8752F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2CD30743" w14:textId="00445B4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36CA5E05" w14:textId="4BE19DA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0C85C700" w14:textId="596E660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03301508" w14:textId="686AC79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66A39910" w14:textId="7B4D972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Align w:val="center"/>
            <w:hideMark/>
          </w:tcPr>
          <w:p w14:paraId="2D33EDC2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CancerDR database is mainly used for the study of drugs and sensitive cell lines, but lacks the information of the corresponding target effects</w:t>
            </w:r>
          </w:p>
        </w:tc>
      </w:tr>
      <w:tr w:rsidR="004E32FF" w:rsidRPr="004E32FF" w14:paraId="34FE21EE" w14:textId="77777777" w:rsidTr="004E32FF">
        <w:trPr>
          <w:trHeight w:val="406"/>
        </w:trPr>
        <w:tc>
          <w:tcPr>
            <w:tcW w:w="429" w:type="pct"/>
            <w:noWrap/>
            <w:vAlign w:val="center"/>
            <w:hideMark/>
          </w:tcPr>
          <w:p w14:paraId="54B5D8AA" w14:textId="08DBE1D1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STITCH</w:t>
            </w:r>
          </w:p>
        </w:tc>
        <w:tc>
          <w:tcPr>
            <w:tcW w:w="330" w:type="pct"/>
            <w:vAlign w:val="center"/>
            <w:hideMark/>
          </w:tcPr>
          <w:p w14:paraId="5F45CB38" w14:textId="2C9B6F74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3921EE7" w14:textId="6AAB9AC3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67B84B8C" w14:textId="545D19A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42" w:type="pct"/>
            <w:vAlign w:val="center"/>
            <w:hideMark/>
          </w:tcPr>
          <w:p w14:paraId="24372C94" w14:textId="12AE34AD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23" w:type="pct"/>
            <w:vAlign w:val="center"/>
            <w:hideMark/>
          </w:tcPr>
          <w:p w14:paraId="73B5E0C3" w14:textId="402780E1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237C7F1E" w14:textId="0604B1DD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7A25797D" w14:textId="4687FBC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0AB29737" w14:textId="69D2B212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005FD48D" w14:textId="53063FE5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Merge w:val="restart"/>
            <w:vAlign w:val="center"/>
            <w:hideMark/>
          </w:tcPr>
          <w:p w14:paraId="7769E835" w14:textId="4BBAC5FC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In STITCH and SuperPred, the majority of drug target association</w:t>
            </w:r>
            <w:r w:rsidR="008E5D03" w:rsidRPr="004E32FF">
              <w:rPr>
                <w:rFonts w:hint="eastAsia"/>
                <w:sz w:val="11"/>
                <w:szCs w:val="11"/>
              </w:rPr>
              <w:t>s</w:t>
            </w:r>
            <w:r w:rsidRPr="004E32FF">
              <w:rPr>
                <w:rFonts w:hint="eastAsia"/>
                <w:sz w:val="11"/>
                <w:szCs w:val="11"/>
              </w:rPr>
              <w:t xml:space="preserve"> are based on computational prediction, but not confirmed by biological experiments, which do not meet the high confident purpose of this study</w:t>
            </w:r>
          </w:p>
        </w:tc>
      </w:tr>
      <w:tr w:rsidR="004E32FF" w:rsidRPr="004E32FF" w14:paraId="48E23B44" w14:textId="77777777" w:rsidTr="004E32FF">
        <w:trPr>
          <w:trHeight w:val="486"/>
        </w:trPr>
        <w:tc>
          <w:tcPr>
            <w:tcW w:w="429" w:type="pct"/>
            <w:noWrap/>
            <w:vAlign w:val="center"/>
            <w:hideMark/>
          </w:tcPr>
          <w:p w14:paraId="14688640" w14:textId="095317F2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SuperPred</w:t>
            </w:r>
          </w:p>
        </w:tc>
        <w:tc>
          <w:tcPr>
            <w:tcW w:w="330" w:type="pct"/>
            <w:vAlign w:val="center"/>
            <w:hideMark/>
          </w:tcPr>
          <w:p w14:paraId="08F2F01D" w14:textId="115AB3F0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6AF2381D" w14:textId="31CE087D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695F977C" w14:textId="4828642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42" w:type="pct"/>
            <w:vAlign w:val="center"/>
            <w:hideMark/>
          </w:tcPr>
          <w:p w14:paraId="13436011" w14:textId="59874BC1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1AC934DC" w14:textId="5096DD3F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33FD96BE" w14:textId="51DB37CA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228CC10E" w14:textId="46B292C0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0CD6FB40" w14:textId="4BB4B9EC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2E716C77" w14:textId="6F4D7B55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Merge/>
            <w:vAlign w:val="center"/>
            <w:hideMark/>
          </w:tcPr>
          <w:p w14:paraId="505ADD22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sz w:val="11"/>
                <w:szCs w:val="11"/>
              </w:rPr>
            </w:pPr>
          </w:p>
        </w:tc>
      </w:tr>
      <w:tr w:rsidR="006D57E8" w:rsidRPr="004E32FF" w14:paraId="53BA762D" w14:textId="77777777" w:rsidTr="004E32FF">
        <w:trPr>
          <w:trHeight w:val="491"/>
        </w:trPr>
        <w:tc>
          <w:tcPr>
            <w:tcW w:w="429" w:type="pct"/>
            <w:noWrap/>
            <w:vAlign w:val="center"/>
            <w:hideMark/>
          </w:tcPr>
          <w:p w14:paraId="2A087858" w14:textId="09BBE43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SIDER</w:t>
            </w:r>
          </w:p>
        </w:tc>
        <w:tc>
          <w:tcPr>
            <w:tcW w:w="330" w:type="pct"/>
            <w:vAlign w:val="center"/>
            <w:hideMark/>
          </w:tcPr>
          <w:p w14:paraId="21FD9D3D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985FBC3" w14:textId="0A815B9A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276" w:type="pct"/>
            <w:vAlign w:val="center"/>
            <w:hideMark/>
          </w:tcPr>
          <w:p w14:paraId="44183012" w14:textId="1FA3CFD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42" w:type="pct"/>
            <w:vAlign w:val="center"/>
            <w:hideMark/>
          </w:tcPr>
          <w:p w14:paraId="6EF90046" w14:textId="777777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618C602F" w14:textId="6A68CA4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6152D47F" w14:textId="51253D4B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57" w:type="pct"/>
            <w:vAlign w:val="center"/>
            <w:hideMark/>
          </w:tcPr>
          <w:p w14:paraId="41AEFBC8" w14:textId="1CAD39DE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70FDF3DB" w14:textId="3C91C86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0" w:type="pct"/>
            <w:vAlign w:val="center"/>
            <w:hideMark/>
          </w:tcPr>
          <w:p w14:paraId="59810E58" w14:textId="3FC1C739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311" w:type="pct"/>
            <w:vAlign w:val="center"/>
            <w:hideMark/>
          </w:tcPr>
          <w:p w14:paraId="4710347D" w14:textId="77777777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SIDER database is used for the study of drug sider effects but lacks target information</w:t>
            </w:r>
          </w:p>
        </w:tc>
      </w:tr>
      <w:tr w:rsidR="006D57E8" w:rsidRPr="004E32FF" w14:paraId="42548741" w14:textId="77777777" w:rsidTr="004E32FF">
        <w:trPr>
          <w:trHeight w:val="690"/>
        </w:trPr>
        <w:tc>
          <w:tcPr>
            <w:tcW w:w="429" w:type="pct"/>
            <w:noWrap/>
            <w:vAlign w:val="center"/>
            <w:hideMark/>
          </w:tcPr>
          <w:p w14:paraId="3354833A" w14:textId="7757BAD7" w:rsidR="00244768" w:rsidRPr="004E32FF" w:rsidRDefault="00244768" w:rsidP="004E32FF">
            <w:pPr>
              <w:ind w:firstLineChars="100" w:firstLine="110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KEGG</w:t>
            </w:r>
          </w:p>
        </w:tc>
        <w:tc>
          <w:tcPr>
            <w:tcW w:w="330" w:type="pct"/>
            <w:vAlign w:val="center"/>
            <w:hideMark/>
          </w:tcPr>
          <w:p w14:paraId="4C3B0A9B" w14:textId="6BA2118E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34" w:type="pct"/>
            <w:vAlign w:val="center"/>
            <w:hideMark/>
          </w:tcPr>
          <w:p w14:paraId="1012C18A" w14:textId="624ED9A6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276" w:type="pct"/>
            <w:vAlign w:val="center"/>
            <w:hideMark/>
          </w:tcPr>
          <w:p w14:paraId="3A978DD2" w14:textId="617FCD95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42" w:type="pct"/>
            <w:vAlign w:val="center"/>
            <w:hideMark/>
          </w:tcPr>
          <w:p w14:paraId="63287E17" w14:textId="0C1B957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23" w:type="pct"/>
            <w:vAlign w:val="center"/>
            <w:hideMark/>
          </w:tcPr>
          <w:p w14:paraId="237A192A" w14:textId="0804AB34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392" w:type="pct"/>
            <w:vAlign w:val="center"/>
            <w:hideMark/>
          </w:tcPr>
          <w:p w14:paraId="1E242DD0" w14:textId="07D04E27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357" w:type="pct"/>
            <w:vAlign w:val="center"/>
            <w:hideMark/>
          </w:tcPr>
          <w:p w14:paraId="6CFE37F6" w14:textId="3628A708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  <w:tc>
          <w:tcPr>
            <w:tcW w:w="406" w:type="pct"/>
            <w:vAlign w:val="center"/>
            <w:hideMark/>
          </w:tcPr>
          <w:p w14:paraId="6FB5C96E" w14:textId="504E011D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400" w:type="pct"/>
            <w:vAlign w:val="center"/>
            <w:hideMark/>
          </w:tcPr>
          <w:p w14:paraId="2BFD84E9" w14:textId="5F5DB795" w:rsidR="00244768" w:rsidRPr="004E32FF" w:rsidRDefault="00244768" w:rsidP="004E32FF">
            <w:pPr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>√</w:t>
            </w:r>
          </w:p>
        </w:tc>
        <w:tc>
          <w:tcPr>
            <w:tcW w:w="1311" w:type="pct"/>
            <w:vAlign w:val="center"/>
            <w:hideMark/>
          </w:tcPr>
          <w:p w14:paraId="37E0B38A" w14:textId="4ECB9C74" w:rsidR="00244768" w:rsidRPr="004E32FF" w:rsidRDefault="00244768" w:rsidP="004E32FF">
            <w:pPr>
              <w:snapToGrid w:val="0"/>
              <w:spacing w:line="288" w:lineRule="auto"/>
              <w:jc w:val="center"/>
              <w:rPr>
                <w:rFonts w:hint="eastAsia"/>
                <w:sz w:val="11"/>
                <w:szCs w:val="11"/>
              </w:rPr>
            </w:pPr>
            <w:r w:rsidRPr="004E32FF">
              <w:rPr>
                <w:rFonts w:hint="eastAsia"/>
                <w:sz w:val="11"/>
                <w:szCs w:val="11"/>
              </w:rPr>
              <w:t xml:space="preserve">In KEGG,the drug-target information </w:t>
            </w:r>
            <w:proofErr w:type="gramStart"/>
            <w:r w:rsidRPr="004E32FF">
              <w:rPr>
                <w:rFonts w:hint="eastAsia"/>
                <w:sz w:val="11"/>
                <w:szCs w:val="11"/>
              </w:rPr>
              <w:t>are</w:t>
            </w:r>
            <w:proofErr w:type="gramEnd"/>
            <w:r w:rsidRPr="004E32FF">
              <w:rPr>
                <w:rFonts w:hint="eastAsia"/>
                <w:sz w:val="11"/>
                <w:szCs w:val="11"/>
              </w:rPr>
              <w:t xml:space="preserve"> simply collected from ChEMBL, Drugbank and Pubchem, without selection or integration</w:t>
            </w:r>
          </w:p>
        </w:tc>
      </w:tr>
    </w:tbl>
    <w:p w14:paraId="13C40F90" w14:textId="69EAF23A" w:rsidR="00C7200F" w:rsidRDefault="00C7200F" w:rsidP="004E32FF">
      <w:pPr>
        <w:rPr>
          <w:sz w:val="13"/>
          <w:szCs w:val="15"/>
        </w:rPr>
      </w:pPr>
    </w:p>
    <w:p w14:paraId="755B97E6" w14:textId="55DF43EC" w:rsidR="00270CFB" w:rsidRDefault="00270CFB" w:rsidP="004E32FF">
      <w:pPr>
        <w:rPr>
          <w:sz w:val="13"/>
          <w:szCs w:val="15"/>
        </w:rPr>
      </w:pPr>
    </w:p>
    <w:p w14:paraId="713D87D4" w14:textId="6090BAB6" w:rsidR="00270CFB" w:rsidRDefault="00270CFB" w:rsidP="004E32FF">
      <w:pPr>
        <w:rPr>
          <w:sz w:val="13"/>
          <w:szCs w:val="15"/>
        </w:rPr>
      </w:pPr>
    </w:p>
    <w:p w14:paraId="2B57CB22" w14:textId="6218AA38" w:rsidR="00270CFB" w:rsidRDefault="00270CFB" w:rsidP="004E32FF">
      <w:pPr>
        <w:rPr>
          <w:sz w:val="13"/>
          <w:szCs w:val="15"/>
        </w:rPr>
      </w:pPr>
    </w:p>
    <w:p w14:paraId="6747227F" w14:textId="2F036184" w:rsidR="00270CFB" w:rsidRDefault="00270CFB" w:rsidP="004E32FF">
      <w:pPr>
        <w:rPr>
          <w:sz w:val="13"/>
          <w:szCs w:val="15"/>
        </w:rPr>
      </w:pPr>
    </w:p>
    <w:p w14:paraId="2FC0D6B4" w14:textId="13F97163" w:rsidR="00270CFB" w:rsidRDefault="00270CFB" w:rsidP="004E32FF">
      <w:pPr>
        <w:rPr>
          <w:sz w:val="13"/>
          <w:szCs w:val="15"/>
        </w:rPr>
      </w:pPr>
    </w:p>
    <w:p w14:paraId="637FAD11" w14:textId="341F57AB" w:rsidR="00270CFB" w:rsidRDefault="00270CFB" w:rsidP="004E32FF">
      <w:pPr>
        <w:rPr>
          <w:sz w:val="13"/>
          <w:szCs w:val="15"/>
        </w:rPr>
      </w:pPr>
    </w:p>
    <w:p w14:paraId="31730394" w14:textId="245D110B" w:rsidR="00270CFB" w:rsidRDefault="00270CFB" w:rsidP="004E32FF">
      <w:pPr>
        <w:rPr>
          <w:sz w:val="13"/>
          <w:szCs w:val="15"/>
        </w:rPr>
      </w:pPr>
    </w:p>
    <w:p w14:paraId="2163A964" w14:textId="0766255E" w:rsidR="00270CFB" w:rsidRDefault="00270CFB" w:rsidP="004E32FF">
      <w:pPr>
        <w:rPr>
          <w:sz w:val="13"/>
          <w:szCs w:val="15"/>
        </w:rPr>
      </w:pPr>
    </w:p>
    <w:p w14:paraId="74B437ED" w14:textId="40D26274" w:rsidR="00270CFB" w:rsidRDefault="00270CFB" w:rsidP="004E32FF">
      <w:pPr>
        <w:rPr>
          <w:sz w:val="13"/>
          <w:szCs w:val="15"/>
        </w:rPr>
      </w:pPr>
    </w:p>
    <w:p w14:paraId="6217D095" w14:textId="46A9D92B" w:rsidR="00270CFB" w:rsidRDefault="00270CFB" w:rsidP="004E32FF">
      <w:pPr>
        <w:rPr>
          <w:sz w:val="13"/>
          <w:szCs w:val="15"/>
        </w:rPr>
      </w:pPr>
    </w:p>
    <w:p w14:paraId="7CFD15D1" w14:textId="143AF2E8" w:rsidR="00270CFB" w:rsidRDefault="00270CFB" w:rsidP="004E32FF">
      <w:pPr>
        <w:rPr>
          <w:sz w:val="13"/>
          <w:szCs w:val="15"/>
        </w:rPr>
      </w:pPr>
    </w:p>
    <w:p w14:paraId="34856B0D" w14:textId="7D68911C" w:rsidR="00270CFB" w:rsidRDefault="00270CFB" w:rsidP="004E32FF">
      <w:pPr>
        <w:rPr>
          <w:sz w:val="13"/>
          <w:szCs w:val="15"/>
        </w:rPr>
      </w:pPr>
    </w:p>
    <w:p w14:paraId="2F93D2A3" w14:textId="55048D9B" w:rsidR="00270CFB" w:rsidRDefault="00270CFB" w:rsidP="004E32FF">
      <w:pPr>
        <w:rPr>
          <w:sz w:val="13"/>
          <w:szCs w:val="15"/>
        </w:rPr>
      </w:pPr>
    </w:p>
    <w:p w14:paraId="2AB95DB5" w14:textId="244CBFE6" w:rsidR="00270CFB" w:rsidRDefault="00270CFB" w:rsidP="004E32FF">
      <w:pPr>
        <w:rPr>
          <w:sz w:val="13"/>
          <w:szCs w:val="15"/>
        </w:rPr>
      </w:pPr>
    </w:p>
    <w:p w14:paraId="2F6A978C" w14:textId="2744AA28" w:rsidR="00270CFB" w:rsidRDefault="00270CFB" w:rsidP="004E32FF">
      <w:pPr>
        <w:rPr>
          <w:sz w:val="13"/>
          <w:szCs w:val="15"/>
        </w:rPr>
      </w:pPr>
    </w:p>
    <w:p w14:paraId="10408146" w14:textId="15AC0B83" w:rsidR="00270CFB" w:rsidRDefault="00270CFB" w:rsidP="004E32FF">
      <w:pPr>
        <w:rPr>
          <w:sz w:val="13"/>
          <w:szCs w:val="15"/>
        </w:rPr>
      </w:pPr>
    </w:p>
    <w:bookmarkStart w:id="0" w:name="_MON_1719929098"/>
    <w:bookmarkEnd w:id="0"/>
    <w:p w14:paraId="04425318" w14:textId="16C2D7C8" w:rsidR="00270CFB" w:rsidRPr="004E32FF" w:rsidRDefault="00270CFB" w:rsidP="004E32FF">
      <w:pPr>
        <w:rPr>
          <w:rFonts w:hint="eastAsia"/>
          <w:sz w:val="13"/>
          <w:szCs w:val="15"/>
        </w:rPr>
      </w:pPr>
      <w:r>
        <w:rPr>
          <w:rFonts w:asciiTheme="minorEastAsia" w:hAnsiTheme="minorEastAsia"/>
          <w:szCs w:val="21"/>
        </w:rPr>
        <w:object w:dxaOrig="10908" w:dyaOrig="10611" w14:anchorId="7F7A8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4.95pt;height:403.7pt" o:ole="">
            <v:imagedata r:id="rId5" o:title=""/>
          </v:shape>
          <o:OLEObject Type="Embed" ProgID="Excel.Sheet.12" ShapeID="_x0000_i1042" DrawAspect="Content" ObjectID="_1719989140" r:id="rId6"/>
        </w:object>
      </w:r>
    </w:p>
    <w:sectPr w:rsidR="00270CFB" w:rsidRPr="004E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0F"/>
    <w:rsid w:val="0004541C"/>
    <w:rsid w:val="00127357"/>
    <w:rsid w:val="00244768"/>
    <w:rsid w:val="00270CFB"/>
    <w:rsid w:val="004E32FF"/>
    <w:rsid w:val="0059171D"/>
    <w:rsid w:val="006D57E8"/>
    <w:rsid w:val="008E5D03"/>
    <w:rsid w:val="00C7200F"/>
    <w:rsid w:val="00CA512D"/>
    <w:rsid w:val="00E005B3"/>
    <w:rsid w:val="00F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3715"/>
  <w15:chartTrackingRefBased/>
  <w15:docId w15:val="{1836638B-B37C-4207-8049-D01501D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A717-D99B-4C34-897B-025CFAC8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jiaqi</dc:creator>
  <cp:keywords/>
  <dc:description/>
  <cp:lastModifiedBy>chen jiaqi</cp:lastModifiedBy>
  <cp:revision>1</cp:revision>
  <dcterms:created xsi:type="dcterms:W3CDTF">2022-07-22T00:52:00Z</dcterms:created>
  <dcterms:modified xsi:type="dcterms:W3CDTF">2022-07-22T01:56:00Z</dcterms:modified>
</cp:coreProperties>
</file>