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Folio · 10 套智能体长文档测试案例</w:t>
      </w:r>
    </w:p>
    <w:p>
      <w:r>
        <w:t>合成资料包与预期交付蓝图 · 2026-10-15</w:t>
      </w:r>
    </w:p>
    <w:p>
      <w:r>
        <w:t>每套包含可上传原件、用户生成指令、文件Manifest、预期Word结构与事实/计算/图表验收规则。所有企业、人物、规则和数字均为虚构，供测试使用。</w:t>
      </w:r>
    </w:p>
    <w:p>
      <w:r>
        <w:t>先上传sources中的文件，发送prompt.txt并确认目录，再把生成的Word与expected中的验收蓝图逐项比对。预期蓝图不上传、不作为实际长文成品。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</w:tcPr>
          <w:p>
            <w:r>
              <w:t>案例</w:t>
            </w:r>
          </w:p>
        </w:tc>
        <w:tc>
          <w:tcPr>
            <w:tcW w:type="dxa" w:w="2353"/>
          </w:tcPr>
          <w:p>
            <w:r>
              <w:t>文档</w:t>
            </w:r>
          </w:p>
        </w:tc>
        <w:tc>
          <w:tcPr>
            <w:tcW w:type="dxa" w:w="2353"/>
          </w:tcPr>
          <w:p>
            <w:r>
              <w:t>目标字符</w:t>
            </w:r>
          </w:p>
        </w:tc>
        <w:tc>
          <w:tcPr>
            <w:tcW w:type="dxa" w:w="2353"/>
          </w:tcPr>
          <w:p>
            <w:r>
              <w:t>资料数</w:t>
            </w:r>
          </w:p>
        </w:tc>
      </w:tr>
      <w:tr>
        <w:tc>
          <w:tcPr>
            <w:tcW w:type="dxa" w:w="2353"/>
          </w:tcPr>
          <w:p>
            <w:r>
              <w:t>TC01 澄川制造集团费用报销需求说明书</w:t>
            </w:r>
          </w:p>
        </w:tc>
        <w:tc>
          <w:tcPr>
            <w:tcW w:type="dxa" w:w="2353"/>
          </w:tcPr>
          <w:p>
            <w:r>
              <w:t>urd</w:t>
            </w:r>
          </w:p>
        </w:tc>
        <w:tc>
          <w:tcPr>
            <w:tcW w:type="dxa" w:w="2353"/>
          </w:tcPr>
          <w:p>
            <w:r>
              <w:t>15,000—20,000</w:t>
            </w:r>
          </w:p>
        </w:tc>
        <w:tc>
          <w:tcPr>
            <w:tcW w:type="dxa" w:w="2353"/>
          </w:tcPr>
          <w:p>
            <w:r>
              <w:t>6</w:t>
            </w:r>
          </w:p>
        </w:tc>
      </w:tr>
      <w:tr>
        <w:tc>
          <w:tcPr>
            <w:tcW w:type="dxa" w:w="2353"/>
          </w:tcPr>
          <w:p>
            <w:r>
              <w:t>TC02 星屿生活全渠道订单中台需求规格说明书</w:t>
            </w:r>
          </w:p>
        </w:tc>
        <w:tc>
          <w:tcPr>
            <w:tcW w:type="dxa" w:w="2353"/>
          </w:tcPr>
          <w:p>
            <w:r>
              <w:t>srs</w:t>
            </w:r>
          </w:p>
        </w:tc>
        <w:tc>
          <w:tcPr>
            <w:tcW w:type="dxa" w:w="2353"/>
          </w:tcPr>
          <w:p>
            <w:r>
              <w:t>25,000—35,000</w:t>
            </w:r>
          </w:p>
        </w:tc>
        <w:tc>
          <w:tcPr>
            <w:tcW w:type="dxa" w:w="2353"/>
          </w:tcPr>
          <w:p>
            <w:r>
              <w:t>7</w:t>
            </w:r>
          </w:p>
        </w:tc>
      </w:tr>
      <w:tr>
        <w:tc>
          <w:tcPr>
            <w:tcW w:type="dxa" w:w="2353"/>
          </w:tcPr>
          <w:p>
            <w:r>
              <w:t>TC03 砺川精工制造质量追溯需求规格说明书</w:t>
            </w:r>
          </w:p>
        </w:tc>
        <w:tc>
          <w:tcPr>
            <w:tcW w:type="dxa" w:w="2353"/>
          </w:tcPr>
          <w:p>
            <w:r>
              <w:t>srs</w:t>
            </w:r>
          </w:p>
        </w:tc>
        <w:tc>
          <w:tcPr>
            <w:tcW w:type="dxa" w:w="2353"/>
          </w:tcPr>
          <w:p>
            <w:r>
              <w:t>35,000—45,000</w:t>
            </w:r>
          </w:p>
        </w:tc>
        <w:tc>
          <w:tcPr>
            <w:tcW w:type="dxa" w:w="2353"/>
          </w:tcPr>
          <w:p>
            <w:r>
              <w:t>7</w:t>
            </w:r>
          </w:p>
        </w:tc>
      </w:tr>
      <w:tr>
        <w:tc>
          <w:tcPr>
            <w:tcW w:type="dxa" w:w="2353"/>
          </w:tcPr>
          <w:p>
            <w:r>
              <w:t>TC04 客服工单用户需求说明书：版本与范围冲突</w:t>
            </w:r>
          </w:p>
        </w:tc>
        <w:tc>
          <w:tcPr>
            <w:tcW w:type="dxa" w:w="2353"/>
          </w:tcPr>
          <w:p>
            <w:r>
              <w:t>urd</w:t>
            </w:r>
          </w:p>
        </w:tc>
        <w:tc>
          <w:tcPr>
            <w:tcW w:type="dxa" w:w="2353"/>
          </w:tcPr>
          <w:p>
            <w:r>
              <w:t>20,000—30,000</w:t>
            </w:r>
          </w:p>
        </w:tc>
        <w:tc>
          <w:tcPr>
            <w:tcW w:type="dxa" w:w="2353"/>
          </w:tcPr>
          <w:p>
            <w:r>
              <w:t>7</w:t>
            </w:r>
          </w:p>
        </w:tc>
      </w:tr>
      <w:tr>
        <w:tc>
          <w:tcPr>
            <w:tcW w:type="dxa" w:w="2353"/>
          </w:tcPr>
          <w:p>
            <w:r>
              <w:t>TC05 库存补货经营分析报告：表格计算与可复核金标</w:t>
            </w:r>
          </w:p>
        </w:tc>
        <w:tc>
          <w:tcPr>
            <w:tcW w:type="dxa" w:w="2353"/>
          </w:tcPr>
          <w:p>
            <w:r>
              <w:t>general</w:t>
            </w:r>
          </w:p>
        </w:tc>
        <w:tc>
          <w:tcPr>
            <w:tcW w:type="dxa" w:w="2353"/>
          </w:tcPr>
          <w:p>
            <w:r>
              <w:t>18,000—25,000</w:t>
            </w:r>
          </w:p>
        </w:tc>
        <w:tc>
          <w:tcPr>
            <w:tcW w:type="dxa" w:w="2353"/>
          </w:tcPr>
          <w:p>
            <w:r>
              <w:t>6</w:t>
            </w:r>
          </w:p>
        </w:tc>
      </w:tr>
      <w:tr>
        <w:tc>
          <w:tcPr>
            <w:tcW w:type="dxa" w:w="2353"/>
          </w:tcPr>
          <w:p>
            <w:r>
              <w:t>TC06 平台运维长手册：本地不足、两轮离线搜索与标注补全</w:t>
            </w:r>
          </w:p>
        </w:tc>
        <w:tc>
          <w:tcPr>
            <w:tcW w:type="dxa" w:w="2353"/>
          </w:tcPr>
          <w:p>
            <w:r>
              <w:t>general</w:t>
            </w:r>
          </w:p>
        </w:tc>
        <w:tc>
          <w:tcPr>
            <w:tcW w:type="dxa" w:w="2353"/>
          </w:tcPr>
          <w:p>
            <w:r>
              <w:t>25,000—35,000</w:t>
            </w:r>
          </w:p>
        </w:tc>
        <w:tc>
          <w:tcPr>
            <w:tcW w:type="dxa" w:w="2353"/>
          </w:tcPr>
          <w:p>
            <w:r>
              <w:t>6</w:t>
            </w:r>
          </w:p>
        </w:tc>
      </w:tr>
      <w:tr>
        <w:tc>
          <w:tcPr>
            <w:tcW w:type="dxa" w:w="2353"/>
          </w:tcPr>
          <w:p>
            <w:r>
              <w:t>TC07 青岚大学一站式校园服务门户：多模态例外与业务边界</w:t>
            </w:r>
          </w:p>
        </w:tc>
        <w:tc>
          <w:tcPr>
            <w:tcW w:type="dxa" w:w="2353"/>
          </w:tcPr>
          <w:p>
            <w:r>
              <w:t>urd</w:t>
            </w:r>
          </w:p>
        </w:tc>
        <w:tc>
          <w:tcPr>
            <w:tcW w:type="dxa" w:w="2353"/>
          </w:tcPr>
          <w:p>
            <w:r>
              <w:t>25,000—35,000</w:t>
            </w:r>
          </w:p>
        </w:tc>
        <w:tc>
          <w:tcPr>
            <w:tcW w:type="dxa" w:w="2353"/>
          </w:tcPr>
          <w:p>
            <w:r>
              <w:t>6</w:t>
            </w:r>
          </w:p>
        </w:tc>
      </w:tr>
      <w:tr>
        <w:tc>
          <w:tcPr>
            <w:tcW w:type="dxa" w:w="2353"/>
          </w:tcPr>
          <w:p>
            <w:r>
              <w:t>TC08 星澜数据治理平台：108字段、48接口与超长范围覆盖</w:t>
            </w:r>
          </w:p>
        </w:tc>
        <w:tc>
          <w:tcPr>
            <w:tcW w:type="dxa" w:w="2353"/>
          </w:tcPr>
          <w:p>
            <w:r>
              <w:t>srs</w:t>
            </w:r>
          </w:p>
        </w:tc>
        <w:tc>
          <w:tcPr>
            <w:tcW w:type="dxa" w:w="2353"/>
          </w:tcPr>
          <w:p>
            <w:r>
              <w:t>50,000—65,000</w:t>
            </w:r>
          </w:p>
        </w:tc>
        <w:tc>
          <w:tcPr>
            <w:tcW w:type="dxa" w:w="2353"/>
          </w:tcPr>
          <w:p>
            <w:r>
              <w:t>6</w:t>
            </w:r>
          </w:p>
        </w:tc>
      </w:tr>
      <w:tr>
        <w:tc>
          <w:tcPr>
            <w:tcW w:type="dxa" w:w="2353"/>
          </w:tcPr>
          <w:p>
            <w:r>
              <w:t>TC09 澄川演示平台业务连续性演练手册：跨部门、时区与长决策表</w:t>
            </w:r>
          </w:p>
        </w:tc>
        <w:tc>
          <w:tcPr>
            <w:tcW w:type="dxa" w:w="2353"/>
          </w:tcPr>
          <w:p>
            <w:r>
              <w:t>general</w:t>
            </w:r>
          </w:p>
        </w:tc>
        <w:tc>
          <w:tcPr>
            <w:tcW w:type="dxa" w:w="2353"/>
          </w:tcPr>
          <w:p>
            <w:r>
              <w:t>30,000—40,000</w:t>
            </w:r>
          </w:p>
        </w:tc>
        <w:tc>
          <w:tcPr>
            <w:tcW w:type="dxa" w:w="2353"/>
          </w:tcPr>
          <w:p>
            <w:r>
              <w:t>6</w:t>
            </w:r>
          </w:p>
        </w:tc>
      </w:tr>
      <w:tr>
        <w:tc>
          <w:tcPr>
            <w:tcW w:type="dxa" w:w="2353"/>
          </w:tcPr>
          <w:p>
            <w:r>
              <w:t>TC10 集团一体化运营平台超长SRS</w:t>
            </w:r>
          </w:p>
        </w:tc>
        <w:tc>
          <w:tcPr>
            <w:tcW w:type="dxa" w:w="2353"/>
          </w:tcPr>
          <w:p>
            <w:r>
              <w:t>srs</w:t>
            </w:r>
          </w:p>
        </w:tc>
        <w:tc>
          <w:tcPr>
            <w:tcW w:type="dxa" w:w="2353"/>
          </w:tcPr>
          <w:p>
            <w:r>
              <w:t>80,000—100,000</w:t>
            </w:r>
          </w:p>
        </w:tc>
        <w:tc>
          <w:tcPr>
            <w:tcW w:type="dxa" w:w="2353"/>
          </w:tcPr>
          <w:p>
            <w:r>
              <w:t>148</w:t>
            </w:r>
          </w:p>
        </w:tc>
      </w:tr>
    </w:tbl>
    <w:p>
      <w:r>
        <w:br w:type="page"/>
      </w:r>
    </w:p>
    <w:p>
      <w:pPr>
        <w:pStyle w:val="Heading1"/>
      </w:pPr>
      <w:r>
        <w:t>TC01 · 澄川制造集团费用报销需求说明书</w:t>
      </w:r>
    </w:p>
    <w:p>
      <w:r>
        <w:t>预期输出：澄川制造集团费用报销平台需求说明书.docx</w:t>
      </w:r>
    </w:p>
    <w:p>
      <w:r>
        <w:t>正文目标 15,000—20,000 有效字符；12 个主章；18 个关键事实锚点。</w:t>
      </w:r>
    </w:p>
    <w:p>
      <w:r>
        <w:t>6 份资料，格式：docx、md、txt、xlsx</w:t>
      </w:r>
    </w:p>
    <w:p>
      <w:pPr>
        <w:pStyle w:val="ListBullet"/>
      </w:pPr>
      <w:r>
        <w:t>制度版本取舍</w:t>
      </w:r>
    </w:p>
    <w:p>
      <w:pPr>
        <w:pStyle w:val="ListBullet"/>
      </w:pPr>
      <w:r>
        <w:t>3000/20000 元审批精确边界</w:t>
      </w:r>
    </w:p>
    <w:p>
      <w:pPr>
        <w:pStyle w:val="ListBullet"/>
      </w:pPr>
      <w:r>
        <w:t>垫款抵扣及逐行四舍五入</w:t>
      </w:r>
    </w:p>
    <w:p>
      <w:pPr>
        <w:pStyle w:val="ListBullet"/>
      </w:pPr>
      <w:r>
        <w:t>跨章节全局事实一致</w:t>
      </w:r>
    </w:p>
    <w:p>
      <w:pPr>
        <w:pStyle w:val="ListBullet"/>
      </w:pPr>
      <w:r>
        <w:t>角色隔离与例外流程</w:t>
      </w:r>
    </w:p>
    <w:p>
      <w:pPr>
        <w:pStyle w:val="ListBullet"/>
      </w:pPr>
      <w:r>
        <w:t>业务流程图和页面原型</w:t>
      </w:r>
    </w:p>
    <w:p>
      <w:pPr>
        <w:pStyle w:val="ListBullet"/>
      </w:pPr>
      <w:r>
        <w:t>长文档去重复与 Word 排版</w:t>
      </w:r>
    </w:p>
    <w:p>
      <w:r>
        <w:t>上传资料：cases/01_expense_urd/sources/</w:t>
      </w:r>
    </w:p>
    <w:p>
      <w:r>
        <w:t>生成指令：cases/01_expense_urd/prompt.txt</w:t>
      </w:r>
    </w:p>
    <w:p>
      <w:r>
        <w:t>验收蓝图：cases/01_expense_urd/expected/交付预期.docx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TC02 · 星屿生活全渠道订单中台需求规格说明书</w:t>
      </w:r>
    </w:p>
    <w:p>
      <w:r>
        <w:t>预期输出：星屿生活全渠道订单中台需求规格说明书.docx</w:t>
      </w:r>
    </w:p>
    <w:p>
      <w:r>
        <w:t>正文目标 25,000—35,000 有效字符；14 个主章；20 个关键事实锚点。</w:t>
      </w:r>
    </w:p>
    <w:p>
      <w:r>
        <w:t>7 份资料，格式：docx、md、txt、xlsx</w:t>
      </w:r>
    </w:p>
    <w:p>
      <w:pPr>
        <w:pStyle w:val="ListBullet"/>
      </w:pPr>
      <w:r>
        <w:t>多来源接口契约整合</w:t>
      </w:r>
    </w:p>
    <w:p>
      <w:pPr>
        <w:pStyle w:val="ListBullet"/>
      </w:pPr>
      <w:r>
        <w:t>支付与超时并发竞态</w:t>
      </w:r>
    </w:p>
    <w:p>
      <w:pPr>
        <w:pStyle w:val="ListBullet"/>
      </w:pPr>
      <w:r>
        <w:t>状态机和幂等</w:t>
      </w:r>
    </w:p>
    <w:p>
      <w:pPr>
        <w:pStyle w:val="ListBullet"/>
      </w:pPr>
      <w:r>
        <w:t>异步最终一致性</w:t>
      </w:r>
    </w:p>
    <w:p>
      <w:pPr>
        <w:pStyle w:val="ListBullet"/>
      </w:pPr>
      <w:r>
        <w:t>分摊舍入与部分退款</w:t>
      </w:r>
    </w:p>
    <w:p>
      <w:pPr>
        <w:pStyle w:val="ListBullet"/>
      </w:pPr>
      <w:r>
        <w:t>版本冲突</w:t>
      </w:r>
    </w:p>
    <w:p>
      <w:pPr>
        <w:pStyle w:val="ListBullet"/>
      </w:pPr>
      <w:r>
        <w:t>长规格书逐项可验收</w:t>
      </w:r>
    </w:p>
    <w:p>
      <w:r>
        <w:t>上传资料：cases/02_order_srs/sources/</w:t>
      </w:r>
    </w:p>
    <w:p>
      <w:r>
        <w:t>生成指令：cases/02_order_srs/prompt.txt</w:t>
      </w:r>
    </w:p>
    <w:p>
      <w:r>
        <w:t>验收蓝图：cases/02_order_srs/expected/交付预期.docx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TC03 · 砺川精工制造质量追溯需求规格说明书</w:t>
      </w:r>
    </w:p>
    <w:p>
      <w:r>
        <w:t>预期输出：砺川精工制造质量追溯平台需求规格说明书.docx</w:t>
      </w:r>
    </w:p>
    <w:p>
      <w:r>
        <w:t>正文目标 35,000—45,000 有效字符；16 个主章；24 个关键事实锚点。</w:t>
      </w:r>
    </w:p>
    <w:p>
      <w:r>
        <w:t>7 份资料，格式：docx、md、txt、xlsx</w:t>
      </w:r>
    </w:p>
    <w:p>
      <w:pPr>
        <w:pStyle w:val="ListBullet"/>
      </w:pPr>
      <w:r>
        <w:t>大型多Sheet表格渐进读取</w:t>
      </w:r>
    </w:p>
    <w:p>
      <w:pPr>
        <w:pStyle w:val="ListBullet"/>
      </w:pPr>
      <w:r>
        <w:t>98个实际业务字段</w:t>
      </w:r>
    </w:p>
    <w:p>
      <w:pPr>
        <w:pStyle w:val="ListBullet"/>
      </w:pPr>
      <w:r>
        <w:t>隐藏Sheet与公式识别</w:t>
      </w:r>
    </w:p>
    <w:p>
      <w:pPr>
        <w:pStyle w:val="ListBullet"/>
      </w:pPr>
      <w:r>
        <w:t>跨表外键和有向批次谱系</w:t>
      </w:r>
    </w:p>
    <w:p>
      <w:pPr>
        <w:pStyle w:val="ListBullet"/>
      </w:pPr>
      <w:r>
        <w:t>单位隔离与拆分重复计数</w:t>
      </w:r>
    </w:p>
    <w:p>
      <w:pPr>
        <w:pStyle w:val="ListBullet"/>
      </w:pPr>
      <w:r>
        <w:t>异常和历史版本隔离</w:t>
      </w:r>
    </w:p>
    <w:p>
      <w:pPr>
        <w:pStyle w:val="ListBullet"/>
      </w:pPr>
      <w:r>
        <w:t>长SRS与追溯图一致</w:t>
      </w:r>
    </w:p>
    <w:p>
      <w:r>
        <w:t>上传资料：cases/03_traceability_srs/sources/</w:t>
      </w:r>
    </w:p>
    <w:p>
      <w:r>
        <w:t>生成指令：cases/03_traceability_srs/prompt.txt</w:t>
      </w:r>
    </w:p>
    <w:p>
      <w:r>
        <w:t>验收蓝图：cases/03_traceability_srs/expected/交付预期.docx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TC04 · 客服工单用户需求说明书：版本与范围冲突</w:t>
      </w:r>
    </w:p>
    <w:p>
      <w:r>
        <w:t>预期输出：澄川客服工单中心_用户需求说明书.docx</w:t>
      </w:r>
    </w:p>
    <w:p>
      <w:r>
        <w:t>正文目标 20,000—30,000 有效字符；12 个主章；18 个关键事实锚点。</w:t>
      </w:r>
    </w:p>
    <w:p>
      <w:r>
        <w:t>7 份资料，格式：docx、md、png、pptx、txt、xlsx</w:t>
      </w:r>
    </w:p>
    <w:p>
      <w:pPr>
        <w:pStyle w:val="ListBullet"/>
      </w:pPr>
      <w:r>
        <w:t>规则版本和生效范围</w:t>
      </w:r>
    </w:p>
    <w:p>
      <w:pPr>
        <w:pStyle w:val="ListBullet"/>
      </w:pPr>
      <w:r>
        <w:t>未决冲突保留</w:t>
      </w:r>
    </w:p>
    <w:p>
      <w:pPr>
        <w:pStyle w:val="ListBullet"/>
      </w:pPr>
      <w:r>
        <w:t>全局事实一致性</w:t>
      </w:r>
    </w:p>
    <w:p>
      <w:pPr>
        <w:pStyle w:val="ListBullet"/>
      </w:pPr>
      <w:r>
        <w:t>原型与业务权限一致</w:t>
      </w:r>
    </w:p>
    <w:p>
      <w:pPr>
        <w:pStyle w:val="ListBullet"/>
      </w:pPr>
      <w:r>
        <w:t>长文需求追踪</w:t>
      </w:r>
    </w:p>
    <w:p>
      <w:r>
        <w:t>上传资料：cases/04_service_urd/sources/</w:t>
      </w:r>
    </w:p>
    <w:p>
      <w:r>
        <w:t>生成指令：cases/04_service_urd/prompt.txt</w:t>
      </w:r>
    </w:p>
    <w:p>
      <w:r>
        <w:t>验收蓝图：cases/04_service_urd/expected/交付预期.docx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TC05 · 库存补货经营分析报告：表格计算与可复核金标</w:t>
      </w:r>
    </w:p>
    <w:p>
      <w:r>
        <w:t>预期输出：澜舟耗材_2026年9月库存与补货分析报告.docx</w:t>
      </w:r>
    </w:p>
    <w:p>
      <w:r>
        <w:t>正文目标 18,000—25,000 有效字符；12 个主章；17 个关键事实锚点。</w:t>
      </w:r>
    </w:p>
    <w:p>
      <w:r>
        <w:t>6 份资料，格式：docx、md、pptx、txt、xlsx</w:t>
      </w:r>
    </w:p>
    <w:p>
      <w:pPr>
        <w:pStyle w:val="ListBullet"/>
      </w:pPr>
      <w:r>
        <w:t>多Sheet和隐藏Sheet导航</w:t>
      </w:r>
    </w:p>
    <w:p>
      <w:pPr>
        <w:pStyle w:val="ListBullet"/>
      </w:pPr>
      <w:r>
        <w:t>整数金额与时区边界</w:t>
      </w:r>
    </w:p>
    <w:p>
      <w:pPr>
        <w:pStyle w:val="ListBullet"/>
      </w:pPr>
      <w:r>
        <w:t>退款状态与排除规则</w:t>
      </w:r>
    </w:p>
    <w:p>
      <w:pPr>
        <w:pStyle w:val="ListBullet"/>
      </w:pPr>
      <w:r>
        <w:t>Python精确计算和派生证据</w:t>
      </w:r>
    </w:p>
    <w:p>
      <w:pPr>
        <w:pStyle w:val="ListBullet"/>
      </w:pPr>
      <w:r>
        <w:t>长报告的数字全局一致</w:t>
      </w:r>
    </w:p>
    <w:p>
      <w:r>
        <w:t>上传资料：cases/05_inventory_report/sources/</w:t>
      </w:r>
    </w:p>
    <w:p>
      <w:r>
        <w:t>生成指令：cases/05_inventory_report/prompt.txt</w:t>
      </w:r>
    </w:p>
    <w:p>
      <w:r>
        <w:t>验收蓝图：cases/05_inventory_report/expected/交付预期.docx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TC06 · 平台运维长手册：本地不足、两轮离线搜索与标注补全</w:t>
      </w:r>
    </w:p>
    <w:p>
      <w:r>
        <w:t>预期输出：云栈协同平台_运维操作手册.docx</w:t>
      </w:r>
    </w:p>
    <w:p>
      <w:r>
        <w:t>正文目标 25,000—35,000 有效字符；14 个主章；18 个关键事实锚点。</w:t>
      </w:r>
    </w:p>
    <w:p>
      <w:r>
        <w:t>6 份资料，格式：docx、md、pptx、txt、xlsx</w:t>
      </w:r>
    </w:p>
    <w:p>
      <w:pPr>
        <w:pStyle w:val="ListBullet"/>
      </w:pPr>
      <w:r>
        <w:t>本地研究最多3轮</w:t>
      </w:r>
    </w:p>
    <w:p>
      <w:pPr>
        <w:pStyle w:val="ListBullet"/>
      </w:pPr>
      <w:r>
        <w:t>Mock Tavily最多2轮</w:t>
      </w:r>
    </w:p>
    <w:p>
      <w:pPr>
        <w:pStyle w:val="ListBullet"/>
      </w:pPr>
      <w:r>
        <w:t>资料不足降级与LLM建议标签</w:t>
      </w:r>
    </w:p>
    <w:p>
      <w:pPr>
        <w:pStyle w:val="ListBullet"/>
      </w:pPr>
      <w:r>
        <w:t>项目事实与外部一般知识区分</w:t>
      </w:r>
    </w:p>
    <w:p>
      <w:pPr>
        <w:pStyle w:val="ListBullet"/>
      </w:pPr>
      <w:r>
        <w:t>长文操作手册及视觉流程</w:t>
      </w:r>
    </w:p>
    <w:p>
      <w:r>
        <w:t>上传资料：cases/06_operations_manual/sources/</w:t>
      </w:r>
    </w:p>
    <w:p>
      <w:r>
        <w:t>生成指令：cases/06_operations_manual/prompt.txt</w:t>
      </w:r>
    </w:p>
    <w:p>
      <w:r>
        <w:t>验收蓝图：cases/06_operations_manual/expected/交付预期.docx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TC07 · 青岚大学一站式校园服务门户：多模态例外与业务边界</w:t>
      </w:r>
    </w:p>
    <w:p>
      <w:r>
        <w:t>预期输出：青岚大学校园服务门户_用户需求说明书.docx</w:t>
      </w:r>
    </w:p>
    <w:p>
      <w:r>
        <w:t>正文目标 25,000—35,000 有效字符；14 个主章；15 个关键事实锚点。</w:t>
      </w:r>
    </w:p>
    <w:p>
      <w:r>
        <w:t>6 份资料，格式：docx、md、pdf、png、pptx、xlsx</w:t>
      </w:r>
    </w:p>
    <w:p>
      <w:pPr>
        <w:pStyle w:val="ListBullet"/>
      </w:pPr>
      <w:r>
        <w:t>PPT和Word交叉研究</w:t>
      </w:r>
    </w:p>
    <w:p>
      <w:pPr>
        <w:pStyle w:val="ListBullet"/>
      </w:pPr>
      <w:r>
        <w:t>原型图文字与状态辨识</w:t>
      </w:r>
    </w:p>
    <w:p>
      <w:pPr>
        <w:pStyle w:val="ListBullet"/>
      </w:pPr>
      <w:r>
        <w:t>混合PDF逐页完整性</w:t>
      </w:r>
    </w:p>
    <w:p>
      <w:pPr>
        <w:pStyle w:val="ListBullet"/>
      </w:pPr>
      <w:r>
        <w:t>只在图片中的关键例外</w:t>
      </w:r>
    </w:p>
    <w:p>
      <w:pPr>
        <w:pStyle w:val="ListBullet"/>
      </w:pPr>
      <w:r>
        <w:t>范围冲突裁决</w:t>
      </w:r>
    </w:p>
    <w:p>
      <w:pPr>
        <w:pStyle w:val="ListBullet"/>
      </w:pPr>
      <w:r>
        <w:t>14章长文一致性</w:t>
      </w:r>
    </w:p>
    <w:p>
      <w:r>
        <w:t>上传资料：cases/07_campus_urd/sources/</w:t>
      </w:r>
    </w:p>
    <w:p>
      <w:r>
        <w:t>生成指令：cases/07_campus_urd/prompt.txt</w:t>
      </w:r>
    </w:p>
    <w:p>
      <w:r>
        <w:t>验收蓝图：cases/07_campus_urd/expected/交付预期.docx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TC08 · 星澜数据治理平台：108字段、48接口与超长范围覆盖</w:t>
      </w:r>
    </w:p>
    <w:p>
      <w:r>
        <w:t>预期输出：星澜数据治理平台_软件需求规格说明书.docx</w:t>
      </w:r>
    </w:p>
    <w:p>
      <w:r>
        <w:t>正文目标 50,000—65,000 有效字符；14 个主章；18 个关键事实锚点。</w:t>
      </w:r>
    </w:p>
    <w:p>
      <w:r>
        <w:t>6 份资料，格式：docx、md、pdf、txt、xlsx</w:t>
      </w:r>
    </w:p>
    <w:p>
      <w:pPr>
        <w:pStyle w:val="ListBullet"/>
      </w:pPr>
      <w:r>
        <w:t>12个Sheet的渐进读取</w:t>
      </w:r>
    </w:p>
    <w:p>
      <w:pPr>
        <w:pStyle w:val="ListBullet"/>
      </w:pPr>
      <w:r>
        <w:t>108字段完整覆盖</w:t>
      </w:r>
    </w:p>
    <w:p>
      <w:pPr>
        <w:pStyle w:val="ListBullet"/>
      </w:pPr>
      <w:r>
        <w:t>48接口与48规则追溯</w:t>
      </w:r>
    </w:p>
    <w:p>
      <w:pPr>
        <w:pStyle w:val="ListBullet"/>
      </w:pPr>
      <w:r>
        <w:t>末尾范围召回</w:t>
      </w:r>
    </w:p>
    <w:p>
      <w:pPr>
        <w:pStyle w:val="ListBullet"/>
      </w:pPr>
      <w:r>
        <w:t>长文术语版本一致</w:t>
      </w:r>
    </w:p>
    <w:p>
      <w:pPr>
        <w:pStyle w:val="ListBullet"/>
      </w:pPr>
      <w:r>
        <w:t>分母去重计算</w:t>
      </w:r>
    </w:p>
    <w:p>
      <w:pPr>
        <w:pStyle w:val="ListBullet"/>
      </w:pPr>
      <w:r>
        <w:t>恢复与状态边界</w:t>
      </w:r>
    </w:p>
    <w:p>
      <w:r>
        <w:t>上传资料：cases/08_data_platform_srs/sources/</w:t>
      </w:r>
    </w:p>
    <w:p>
      <w:r>
        <w:t>生成指令：cases/08_data_platform_srs/prompt.txt</w:t>
      </w:r>
    </w:p>
    <w:p>
      <w:r>
        <w:t>验收蓝图：cases/08_data_platform_srs/expected/交付预期.docx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TC09 · 澄川演示平台业务连续性演练手册：跨部门、时区与长决策表</w:t>
      </w:r>
    </w:p>
    <w:p>
      <w:r>
        <w:t>预期输出：澄川演示平台_业务连续性演练执行手册.docx</w:t>
      </w:r>
    </w:p>
    <w:p>
      <w:r>
        <w:t>正文目标 30,000—40,000 有效字符；14 个主章；17 个关键事实锚点。</w:t>
      </w:r>
    </w:p>
    <w:p>
      <w:r>
        <w:t>6 份资料，格式：docx、md、pdf、pptx、txt、xlsx</w:t>
      </w:r>
    </w:p>
    <w:p>
      <w:pPr>
        <w:pStyle w:val="ListBullet"/>
      </w:pPr>
      <w:r>
        <w:t>通用长文档而非需求规格模板</w:t>
      </w:r>
    </w:p>
    <w:p>
      <w:pPr>
        <w:pStyle w:val="ListBullet"/>
      </w:pPr>
      <w:r>
        <w:t>跨部门协作与批准边界</w:t>
      </w:r>
    </w:p>
    <w:p>
      <w:pPr>
        <w:pStyle w:val="ListBullet"/>
      </w:pPr>
      <w:r>
        <w:t>UTC和Asia/Shanghai统一</w:t>
      </w:r>
    </w:p>
    <w:p>
      <w:pPr>
        <w:pStyle w:val="ListBullet"/>
      </w:pPr>
      <w:r>
        <w:t>RTO/RPO推导</w:t>
      </w:r>
    </w:p>
    <w:p>
      <w:pPr>
        <w:pStyle w:val="ListBullet"/>
      </w:pPr>
      <w:r>
        <w:t>恢复与启动状态区分</w:t>
      </w:r>
    </w:p>
    <w:p>
      <w:pPr>
        <w:pStyle w:val="ListBullet"/>
      </w:pPr>
      <w:r>
        <w:t>48行决策表跨页排版</w:t>
      </w:r>
    </w:p>
    <w:p>
      <w:pPr>
        <w:pStyle w:val="ListBullet"/>
      </w:pPr>
      <w:r>
        <w:t>失败证据与整改闭环</w:t>
      </w:r>
    </w:p>
    <w:p>
      <w:r>
        <w:t>上传资料：cases/09_continuity_handbook/sources/</w:t>
      </w:r>
    </w:p>
    <w:p>
      <w:r>
        <w:t>生成指令：cases/09_continuity_handbook/prompt.txt</w:t>
      </w:r>
    </w:p>
    <w:p>
      <w:r>
        <w:t>验收蓝图：cases/09_continuity_handbook/expected/交付预期.docx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p>
      <w:r>
        <w:br w:type="page"/>
      </w:r>
    </w:p>
    <w:p>
      <w:pPr>
        <w:pStyle w:val="Heading1"/>
      </w:pPr>
      <w:r>
        <w:t>TC10 · 集团一体化运营平台超长SRS</w:t>
      </w:r>
    </w:p>
    <w:p>
      <w:r>
        <w:t>预期输出：青禾集团一体化运营平台_SRS_V1.0.docx</w:t>
      </w:r>
    </w:p>
    <w:p>
      <w:r>
        <w:t>正文目标 80,000—100,000 有效字符；17 个主章；22 个关键事实锚点。</w:t>
      </w:r>
    </w:p>
    <w:p>
      <w:r>
        <w:t>148 份资料，格式：docx、md、txt、xlsx</w:t>
      </w:r>
    </w:p>
    <w:p>
      <w:pPr>
        <w:pStyle w:val="ListBullet"/>
      </w:pPr>
      <w:r>
        <w:t>148份资料的Manifest分页</w:t>
      </w:r>
    </w:p>
    <w:p>
      <w:pPr>
        <w:pStyle w:val="ListBullet"/>
      </w:pPr>
      <w:r>
        <w:t>12业务域、144需求卡、48接口覆盖</w:t>
      </w:r>
    </w:p>
    <w:p>
      <w:pPr>
        <w:pStyle w:val="ListBullet"/>
      </w:pPr>
      <w:r>
        <w:t>8万至10万字长文与全局一致性</w:t>
      </w:r>
    </w:p>
    <w:p>
      <w:pPr>
        <w:pStyle w:val="ListBullet"/>
      </w:pPr>
      <w:r>
        <w:t>末尾变更、隐藏Sheet、历史指标</w:t>
      </w:r>
    </w:p>
    <w:p>
      <w:pPr>
        <w:pStyle w:val="ListBullet"/>
      </w:pPr>
      <w:r>
        <w:t>长表排版与暂停恢复</w:t>
      </w:r>
    </w:p>
    <w:p>
      <w:r>
        <w:t>上传资料：cases/10_enterprise_srs/sources/</w:t>
      </w:r>
    </w:p>
    <w:p>
      <w:r>
        <w:t>生成指令：cases/10_enterprise_srs/prompt.txt</w:t>
      </w:r>
    </w:p>
    <w:p>
      <w:r>
        <w:t>验收蓝图：cases/10_enterprise_srs/expected/交付预期.docx</w:t>
      </w:r>
    </w:p>
    <w:p>
      <w:r>
        <w:t>判定需同时检查业务正确性、来源与缺口、完整覆盖、字数和实际Word版式。关键词或编号命中仅作遗漏初筛，不能证明事实语义正确。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