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澄川制造集团费用报销需求说明书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目标文件：澄川制造集团费用报销平台需求说明书.docx；类型：urd；正文目标：15,000—20,000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项目背景与业务目标（至少 1000 字符）</w:t>
      </w:r>
    </w:p>
    <w:p>
      <w:pPr>
        <w:pStyle w:val="ListBullet"/>
      </w:pPr>
      <w:r>
        <w:t>现状痛点</w:t>
      </w:r>
    </w:p>
    <w:p>
      <w:pPr>
        <w:pStyle w:val="ListBullet"/>
      </w:pPr>
      <w:r>
        <w:t>试点核算单位与规模</w:t>
      </w:r>
    </w:p>
    <w:p>
      <w:pPr>
        <w:pStyle w:val="ListBullet"/>
      </w:pPr>
      <w:r>
        <w:t>可测成功标准</w:t>
      </w:r>
    </w:p>
    <w:p>
      <w:r>
        <w:t>依据：01_业务访谈.docx</w:t>
      </w:r>
    </w:p>
    <w:p>
      <w:pPr>
        <w:pStyle w:val="Heading2"/>
      </w:pPr>
      <w:r>
        <w:t>2. 业务范围与系统边界（至少 1100 字符）</w:t>
      </w:r>
    </w:p>
    <w:p>
      <w:pPr>
        <w:pStyle w:val="ListBullet"/>
      </w:pPr>
      <w:r>
        <w:t>一期包含/排除</w:t>
      </w:r>
    </w:p>
    <w:p>
      <w:pPr>
        <w:pStyle w:val="ListBullet"/>
      </w:pPr>
      <w:r>
        <w:t>主数据与登录</w:t>
      </w:r>
    </w:p>
    <w:p>
      <w:pPr>
        <w:pStyle w:val="ListBullet"/>
      </w:pPr>
      <w:r>
        <w:t>正式单号与试点短号</w:t>
      </w:r>
    </w:p>
    <w:p>
      <w:r>
        <w:t>依据：01_业务访谈.docx、06_系统边界与会议纪要.txt</w:t>
      </w:r>
    </w:p>
    <w:p>
      <w:pPr>
        <w:pStyle w:val="Heading2"/>
      </w:pPr>
      <w:r>
        <w:t>3. 角色、权限与岗位分离（至少 1300 字符）</w:t>
      </w:r>
    </w:p>
    <w:p>
      <w:pPr>
        <w:pStyle w:val="ListBullet"/>
      </w:pPr>
      <w:r>
        <w:t>六类角色</w:t>
      </w:r>
    </w:p>
    <w:p>
      <w:pPr>
        <w:pStyle w:val="ListBullet"/>
      </w:pPr>
      <w:r>
        <w:t>数据范围</w:t>
      </w:r>
    </w:p>
    <w:p>
      <w:pPr>
        <w:pStyle w:val="ListBullet"/>
      </w:pPr>
      <w:r>
        <w:t>本人审批代理与缺省挂起</w:t>
      </w:r>
    </w:p>
    <w:p>
      <w:pPr>
        <w:pStyle w:val="ListBullet"/>
      </w:pPr>
      <w:r>
        <w:t>会计出纳同单隔离</w:t>
      </w:r>
    </w:p>
    <w:p>
      <w:r>
        <w:t>依据：02_费用制度V1.2.docx、03_试点报销记录.xlsx</w:t>
      </w:r>
    </w:p>
    <w:p>
      <w:pPr>
        <w:pStyle w:val="Heading2"/>
      </w:pPr>
      <w:r>
        <w:t>4. 端到端流程与单据状态（至少 1600 字符）</w:t>
      </w:r>
    </w:p>
    <w:p>
      <w:pPr>
        <w:pStyle w:val="ListBullet"/>
      </w:pPr>
      <w:r>
        <w:t>完整状态转移</w:t>
      </w:r>
    </w:p>
    <w:p>
      <w:pPr>
        <w:pStyle w:val="ListBullet"/>
      </w:pPr>
      <w:r>
        <w:t>撤回、退回、作废</w:t>
      </w:r>
    </w:p>
    <w:p>
      <w:pPr>
        <w:pStyle w:val="ListBullet"/>
      </w:pPr>
      <w:r>
        <w:t>付款失败与核对差异</w:t>
      </w:r>
    </w:p>
    <w:p>
      <w:r>
        <w:t>依据：02_费用制度V1.2.docx</w:t>
      </w:r>
    </w:p>
    <w:p>
      <w:pPr>
        <w:pStyle w:val="Heading2"/>
      </w:pPr>
      <w:r>
        <w:t>5. 填单、附件与资料校验（至少 1400 字符）</w:t>
      </w:r>
    </w:p>
    <w:p>
      <w:pPr>
        <w:pStyle w:val="ListBullet"/>
      </w:pPr>
      <w:r>
        <w:t>费用字段</w:t>
      </w:r>
    </w:p>
    <w:p>
      <w:pPr>
        <w:pStyle w:val="ListBullet"/>
      </w:pPr>
      <w:r>
        <w:t>附件上限</w:t>
      </w:r>
    </w:p>
    <w:p>
      <w:pPr>
        <w:pStyle w:val="ListBullet"/>
      </w:pPr>
      <w:r>
        <w:t>明细校验</w:t>
      </w:r>
    </w:p>
    <w:p>
      <w:pPr>
        <w:pStyle w:val="ListBullet"/>
      </w:pPr>
      <w:r>
        <w:t>票据提示与真伪区别</w:t>
      </w:r>
    </w:p>
    <w:p>
      <w:r>
        <w:t>依据：02_费用制度V1.2.docx、05_页面与角色清单.md</w:t>
      </w:r>
    </w:p>
    <w:p>
      <w:pPr>
        <w:pStyle w:val="Heading2"/>
      </w:pPr>
      <w:r>
        <w:t>6. 费用制度、日期与版本（至少 1400 字符）</w:t>
      </w:r>
    </w:p>
    <w:p>
      <w:pPr>
        <w:pStyle w:val="ListBullet"/>
      </w:pPr>
      <w:r>
        <w:t>V0.9/V1.2</w:t>
      </w:r>
    </w:p>
    <w:p>
      <w:pPr>
        <w:pStyle w:val="ListBullet"/>
      </w:pPr>
      <w:r>
        <w:t>首次提交决定版本</w:t>
      </w:r>
    </w:p>
    <w:p>
      <w:pPr>
        <w:pStyle w:val="ListBullet"/>
      </w:pPr>
      <w:r>
        <w:t>30/31天</w:t>
      </w:r>
    </w:p>
    <w:p>
      <w:pPr>
        <w:pStyle w:val="ListBullet"/>
      </w:pPr>
      <w:r>
        <w:t>住宿和供餐扣减</w:t>
      </w:r>
    </w:p>
    <w:p>
      <w:r>
        <w:t>依据：02_费用制度V1.2.docx、04_历史制度V0.9.md</w:t>
      </w:r>
    </w:p>
    <w:p>
      <w:pPr>
        <w:pStyle w:val="Heading2"/>
      </w:pPr>
      <w:r>
        <w:t>7. 金额、外币与借款计算（至少 1500 字符）</w:t>
      </w:r>
    </w:p>
    <w:p>
      <w:pPr>
        <w:pStyle w:val="ListBullet"/>
      </w:pPr>
      <w:r>
        <w:t>逐行HALF_UP</w:t>
      </w:r>
    </w:p>
    <w:p>
      <w:pPr>
        <w:pStyle w:val="ListBullet"/>
      </w:pPr>
      <w:r>
        <w:t>五类计算样例</w:t>
      </w:r>
    </w:p>
    <w:p>
      <w:pPr>
        <w:pStyle w:val="ListBullet"/>
      </w:pPr>
      <w:r>
        <w:t>借款余额与应付分离</w:t>
      </w:r>
    </w:p>
    <w:p>
      <w:r>
        <w:t>依据：02_费用制度V1.2.docx、03_试点报销记录.xlsx</w:t>
      </w:r>
    </w:p>
    <w:p>
      <w:pPr>
        <w:pStyle w:val="Heading2"/>
      </w:pPr>
      <w:r>
        <w:t>8. 审批、复核与例外处理（至少 1500 字符）</w:t>
      </w:r>
    </w:p>
    <w:p>
      <w:pPr>
        <w:pStyle w:val="ListBullet"/>
      </w:pPr>
      <w:r>
        <w:t>四个边界金额</w:t>
      </w:r>
    </w:p>
    <w:p>
      <w:pPr>
        <w:pStyle w:val="ListBullet"/>
      </w:pPr>
      <w:r>
        <w:t>调额跨档</w:t>
      </w:r>
    </w:p>
    <w:p>
      <w:pPr>
        <w:pStyle w:val="ListBullet"/>
      </w:pPr>
      <w:r>
        <w:t>逾期例外</w:t>
      </w:r>
    </w:p>
    <w:p>
      <w:pPr>
        <w:pStyle w:val="ListBullet"/>
      </w:pPr>
      <w:r>
        <w:t>代理缺失</w:t>
      </w:r>
    </w:p>
    <w:p>
      <w:r>
        <w:t>依据：02_费用制度V1.2.docx、03_试点报销记录.xlsx</w:t>
      </w:r>
    </w:p>
    <w:p>
      <w:pPr>
        <w:pStyle w:val="Heading2"/>
      </w:pPr>
      <w:r>
        <w:t>9. 付款登记、核对与审计（至少 1300 字符）</w:t>
      </w:r>
    </w:p>
    <w:p>
      <w:pPr>
        <w:pStyle w:val="ListBullet"/>
      </w:pPr>
      <w:r>
        <w:t>外部网银登记</w:t>
      </w:r>
    </w:p>
    <w:p>
      <w:pPr>
        <w:pStyle w:val="ListBullet"/>
      </w:pPr>
      <w:r>
        <w:t>幂等、失败重试</w:t>
      </w:r>
    </w:p>
    <w:p>
      <w:pPr>
        <w:pStyle w:val="ListBullet"/>
      </w:pPr>
      <w:r>
        <w:t>金额不可直接修改</w:t>
      </w:r>
    </w:p>
    <w:p>
      <w:pPr>
        <w:pStyle w:val="ListBullet"/>
      </w:pPr>
      <w:r>
        <w:t>回单核对</w:t>
      </w:r>
    </w:p>
    <w:p>
      <w:r>
        <w:t>依据：02_费用制度V1.2.docx、05_页面与角色清单.md</w:t>
      </w:r>
    </w:p>
    <w:p>
      <w:pPr>
        <w:pStyle w:val="Heading2"/>
      </w:pPr>
      <w:r>
        <w:t>10. 页面原型与交互需求（至少 1600 字符）</w:t>
      </w:r>
    </w:p>
    <w:p>
      <w:pPr>
        <w:pStyle w:val="ListBullet"/>
      </w:pPr>
      <w:r>
        <w:t>填单页</w:t>
      </w:r>
    </w:p>
    <w:p>
      <w:pPr>
        <w:pStyle w:val="ListBullet"/>
      </w:pPr>
      <w:r>
        <w:t>审核页</w:t>
      </w:r>
    </w:p>
    <w:p>
      <w:pPr>
        <w:pStyle w:val="ListBullet"/>
      </w:pPr>
      <w:r>
        <w:t>付款核对页</w:t>
      </w:r>
    </w:p>
    <w:p>
      <w:pPr>
        <w:pStyle w:val="ListBullet"/>
      </w:pPr>
      <w:r>
        <w:t>空状态和异常提示</w:t>
      </w:r>
    </w:p>
    <w:p>
      <w:r>
        <w:t>依据：05_页面与角色清单.md</w:t>
      </w:r>
    </w:p>
    <w:p>
      <w:pPr>
        <w:pStyle w:val="Heading2"/>
      </w:pPr>
      <w:r>
        <w:t>11. 报表与非功能需求（至少 1200 字符）</w:t>
      </w:r>
    </w:p>
    <w:p>
      <w:pPr>
        <w:pStyle w:val="ListBullet"/>
      </w:pPr>
      <w:r>
        <w:t>统计口径</w:t>
      </w:r>
    </w:p>
    <w:p>
      <w:pPr>
        <w:pStyle w:val="ListBullet"/>
      </w:pPr>
      <w:r>
        <w:t>10万单据150人</w:t>
      </w:r>
    </w:p>
    <w:p>
      <w:pPr>
        <w:pStyle w:val="ListBullet"/>
      </w:pPr>
      <w:r>
        <w:t>95%列表2秒</w:t>
      </w:r>
    </w:p>
    <w:p>
      <w:pPr>
        <w:pStyle w:val="ListBullet"/>
      </w:pPr>
      <w:r>
        <w:t>待确认恢复保存要求</w:t>
      </w:r>
    </w:p>
    <w:p>
      <w:r>
        <w:t>依据：01_业务访谈.docx、06_系统边界与会议纪要.txt</w:t>
      </w:r>
    </w:p>
    <w:p>
      <w:pPr>
        <w:pStyle w:val="Heading2"/>
      </w:pPr>
      <w:r>
        <w:t>12. 验收场景与待确认事项（至少 1600 字符）</w:t>
      </w:r>
    </w:p>
    <w:p>
      <w:pPr>
        <w:pStyle w:val="ListBullet"/>
      </w:pPr>
      <w:r>
        <w:t>可执行Given/When/Then</w:t>
      </w:r>
    </w:p>
    <w:p>
      <w:pPr>
        <w:pStyle w:val="ListBullet"/>
      </w:pPr>
      <w:r>
        <w:t>反向场景</w:t>
      </w:r>
    </w:p>
    <w:p>
      <w:pPr>
        <w:pStyle w:val="ListBullet"/>
      </w:pPr>
      <w:r>
        <w:t>范围外项目</w:t>
      </w:r>
    </w:p>
    <w:p>
      <w:pPr>
        <w:pStyle w:val="ListBullet"/>
      </w:pPr>
      <w:r>
        <w:t>来源定位</w:t>
      </w:r>
    </w:p>
    <w:p>
      <w:r>
        <w:t>依据：01_业务访谈.docx、02_费用制度V1.2.docx、03_试点报销记录.xlsx、04_历史制度V0.9.md、05_页面与角色清单.md、06_系统边界与会议纪要.txt</w:t>
      </w:r>
    </w:p>
    <w:p>
      <w:pPr>
        <w:pStyle w:val="Heading1"/>
      </w:pPr>
      <w:r>
        <w:t>二、必须准确表达的事实</w:t>
      </w:r>
    </w:p>
    <w:p>
      <w:r>
        <w:t>F01 [critical] V1.2 自2026-07-01按首次提交日期适用；退回重提保留首次版本</w:t>
      </w:r>
    </w:p>
    <w:p>
      <w:r>
        <w:t>依据：02_费用制度V1.2.docx / 1 适用日期与优先级</w:t>
      </w:r>
    </w:p>
    <w:p>
      <w:r>
        <w:t>F02 [critical] 3000.00归直属主管档，3000.01增加部门负责人</w:t>
      </w:r>
    </w:p>
    <w:p>
      <w:r>
        <w:t>依据：02_费用制度V1.2.docx / 2 审批金额分段</w:t>
      </w:r>
    </w:p>
    <w:p>
      <w:r>
        <w:t>F03 [critical] 20000.00仍为两级，20000.01增加财务总监</w:t>
      </w:r>
    </w:p>
    <w:p>
      <w:r>
        <w:t>依据：02_费用制度V1.2.docx / 2 审批金额分段</w:t>
      </w:r>
    </w:p>
    <w:p>
      <w:r>
        <w:t>F04 [critical] 住宿上限是每人每晚500，2晚1120可报1000</w:t>
      </w:r>
    </w:p>
    <w:p>
      <w:r>
        <w:t>依据：02_费用制度V1.2.docx / 3 差旅费用与补贴</w:t>
      </w:r>
    </w:p>
    <w:p>
      <w:r>
        <w:t>F05 [critical] 每天80，早餐20午餐30晚餐30，单日最低0</w:t>
      </w:r>
    </w:p>
    <w:p>
      <w:r>
        <w:t>依据：02_费用制度V1.2.docx / 3 差旅费用与补贴</w:t>
      </w:r>
    </w:p>
    <w:p>
      <w:r>
        <w:t>F06 [critical] 借款仅抵扣付款，不减少核准费用，不生成负付款</w:t>
      </w:r>
    </w:p>
    <w:p>
      <w:r>
        <w:t>依据：02_费用制度V1.2.docx / 4 借款、币种和舍入</w:t>
      </w:r>
    </w:p>
    <w:p>
      <w:r>
        <w:t>F07 [critical] 外币逐行十进制HALF_UP到分再汇总</w:t>
      </w:r>
    </w:p>
    <w:p>
      <w:r>
        <w:t>依据：02_费用制度V1.2.docx / 4 借款、币种和舍入</w:t>
      </w:r>
    </w:p>
    <w:p>
      <w:r>
        <w:t>F08 [critical] 第30天正常，第31天可提交但需逾期说明和部门负责人例外审批</w:t>
      </w:r>
    </w:p>
    <w:p>
      <w:r>
        <w:t>依据：02_费用制度V1.2.docx / 5 单据时限与附件检查</w:t>
      </w:r>
    </w:p>
    <w:p>
      <w:r>
        <w:t>F09 [critical] 重复提示使用发票号码+日期+含税金额，提示不能代替税务查验</w:t>
      </w:r>
    </w:p>
    <w:p>
      <w:r>
        <w:t>依据：02_费用制度V1.2.docx / 5 单据时限与附件检查</w:t>
      </w:r>
    </w:p>
    <w:p>
      <w:r>
        <w:t>F10 [critical] 申请人不能审批本人；代理缺失挂起</w:t>
      </w:r>
    </w:p>
    <w:p>
      <w:r>
        <w:t>依据：02_费用制度V1.2.docx / 2 审批金额分段</w:t>
      </w:r>
    </w:p>
    <w:p>
      <w:r>
        <w:t>F11 [critical] 同单会计复核与出纳登记不能由同一人员执行</w:t>
      </w:r>
    </w:p>
    <w:p>
      <w:r>
        <w:t>依据：02_费用制度V1.2.docx / 7 付款与岗位分离</w:t>
      </w:r>
    </w:p>
    <w:p>
      <w:r>
        <w:t>F12 [critical] 付款处理中不得撤回，成功后待核对而非直接已完成</w:t>
      </w:r>
    </w:p>
    <w:p>
      <w:r>
        <w:t>依据：02_费用制度V1.2.docx / 6 单据状态与撤回规则</w:t>
      </w:r>
    </w:p>
    <w:p>
      <w:r>
        <w:t>F13 [critical] 第一期是外部网银付款后登记，不含银行直连和税务查验</w:t>
      </w:r>
    </w:p>
    <w:p>
      <w:r>
        <w:t>依据：06_系统边界与会议纪要.txt / 已确认边界</w:t>
      </w:r>
    </w:p>
    <w:p>
      <w:r>
        <w:t>F14 [critical] 附件每单最多20个，每个最大10MB，限PDF/JPG/PNG</w:t>
      </w:r>
    </w:p>
    <w:p>
      <w:r>
        <w:t>依据：01_业务访谈.docx / 2 员工访谈</w:t>
      </w:r>
    </w:p>
    <w:p>
      <w:r>
        <w:t>F15 [critical] 正式单号BX-YYYYMM-六位流水，试点短号不是编号需求</w:t>
      </w:r>
    </w:p>
    <w:p>
      <w:r>
        <w:t>依据：06_系统边界与会议纪要.txt / 已确认边界</w:t>
      </w:r>
    </w:p>
    <w:p>
      <w:r>
        <w:t>F16 [critical] 旧制450住宿与2000/10000审批仅对历史首次提交适用</w:t>
      </w:r>
    </w:p>
    <w:p>
      <w:r>
        <w:t>依据：04_历史制度V0.9.md / 与新版本不同的规则</w:t>
      </w:r>
    </w:p>
    <w:p>
      <w:r>
        <w:t>F17 [critical] 管理员维护组织权限但不默认取得全部财务数据</w:t>
      </w:r>
    </w:p>
    <w:p>
      <w:r>
        <w:t>依据：03_试点报销记录.xlsx / 权限矩阵!A7:D7</w:t>
      </w:r>
    </w:p>
    <w:p>
      <w:r>
        <w:t>F18 [major] 列表性能约束必须包含10万单、150人、50行和95%不超过2秒的条件</w:t>
      </w:r>
    </w:p>
    <w:p>
      <w:r>
        <w:t>依据：06_系统边界与会议纪要.txt / 确定的非功能约束</w:t>
      </w:r>
    </w:p>
    <w:p>
      <w:pPr>
        <w:pStyle w:val="Heading1"/>
      </w:pPr>
      <w:r>
        <w:t>三、计算与统计口径</w:t>
      </w:r>
    </w:p>
    <w:p>
      <w:r>
        <w:t>C01 何禾住宿可报及个人承担：min(1120,2*500)=1000; 1120-1000=120 = 可报1000.00；个人承担120.00 CNY</w:t>
      </w:r>
    </w:p>
    <w:p>
      <w:r>
        <w:t>C02 何禾三天补贴：3*80-2*30 = 180 CNY</w:t>
      </w:r>
    </w:p>
    <w:p>
      <w:r>
        <w:t>C03 何禾核准及借款抵扣后应付：300+1000+180+156=1636; 1636-min(1636,1000)=636 = 核准1636.00；抵扣1000.00；应付636.00 CNY</w:t>
      </w:r>
    </w:p>
    <w:p>
      <w:r>
        <w:t>C04 孟语外币与借款超额：120*7.2=864; max(864-1000,0)=0;1000-864=136 = 核准864.00；应付0.00；借款余额136.00 CNY</w:t>
      </w:r>
    </w:p>
    <w:p>
      <w:r>
        <w:t>C05 两条10.125逐行舍入：HALF_UP(10.125,2)+HALF_UP(10.125,2)=10.13+10.13 = 20.26 CNY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报销审批、复核与付款核对流程 / flowchart</w:t>
      </w:r>
    </w:p>
    <w:p>
      <w:pPr>
        <w:pStyle w:val="ListBullet"/>
      </w:pPr>
      <w:r>
        <w:t>体现三个金额区间及精确包含关系</w:t>
      </w:r>
    </w:p>
    <w:p>
      <w:pPr>
        <w:pStyle w:val="ListBullet"/>
      </w:pPr>
      <w:r>
        <w:t>有退回、代理缺失挂起、付款失败回待付款分支</w:t>
      </w:r>
    </w:p>
    <w:p>
      <w:pPr>
        <w:pStyle w:val="ListBullet"/>
      </w:pPr>
      <w:r>
        <w:t>付款成功必须经过待核对</w:t>
      </w:r>
    </w:p>
    <w:p>
      <w:pPr>
        <w:pStyle w:val="Heading2"/>
      </w:pPr>
      <w:r>
        <w:t>员工填单页 / prototype</w:t>
      </w:r>
    </w:p>
    <w:p>
      <w:pPr>
        <w:pStyle w:val="ListBullet"/>
      </w:pPr>
      <w:r>
        <w:t>申报、预估可报、个人承担、抵扣与应付分栏</w:t>
      </w:r>
    </w:p>
    <w:p>
      <w:pPr>
        <w:pStyle w:val="ListBullet"/>
      </w:pPr>
      <w:r>
        <w:t>附件逐条状态</w:t>
      </w:r>
    </w:p>
    <w:p>
      <w:pPr>
        <w:pStyle w:val="ListBullet"/>
      </w:pPr>
      <w:r>
        <w:t>费用明细行定位错误</w:t>
      </w:r>
    </w:p>
    <w:p>
      <w:pPr>
        <w:pStyle w:val="Heading2"/>
      </w:pPr>
      <w:r>
        <w:t>审核工作台 / prototype</w:t>
      </w:r>
    </w:p>
    <w:p>
      <w:pPr>
        <w:pStyle w:val="ListBullet"/>
      </w:pPr>
      <w:r>
        <w:t>票据与明细并排</w:t>
      </w:r>
    </w:p>
    <w:p>
      <w:pPr>
        <w:pStyle w:val="ListBullet"/>
      </w:pPr>
      <w:r>
        <w:t>金额调整原因必填</w:t>
      </w:r>
    </w:p>
    <w:p>
      <w:pPr>
        <w:pStyle w:val="ListBullet"/>
      </w:pPr>
      <w:r>
        <w:t>展示版本和历史意见</w:t>
      </w:r>
    </w:p>
    <w:p>
      <w:pPr>
        <w:pStyle w:val="Heading2"/>
      </w:pPr>
      <w:r>
        <w:t>付款与核对页 / prototype</w:t>
      </w:r>
    </w:p>
    <w:p>
      <w:pPr>
        <w:pStyle w:val="ListBullet"/>
      </w:pPr>
      <w:r>
        <w:t>显示有效与失败付款尝试</w:t>
      </w:r>
    </w:p>
    <w:p>
      <w:pPr>
        <w:pStyle w:val="ListBullet"/>
      </w:pPr>
      <w:r>
        <w:t>付款处理中禁用提交</w:t>
      </w:r>
    </w:p>
    <w:p>
      <w:pPr>
        <w:pStyle w:val="ListBullet"/>
      </w:pPr>
      <w:r>
        <w:t>核对差异提示</w:t>
      </w:r>
    </w:p>
    <w:p>
      <w:pPr>
        <w:pStyle w:val="Heading1"/>
      </w:pPr>
      <w:r>
        <w:t>五、缺口与不得写成事实的结论</w:t>
      </w:r>
    </w:p>
    <w:p>
      <w:r>
        <w:t>恢复目标与数据保存期限：会议明确尚未确定；预期：单独列待确认并提出可选方案，不标为已批准要求。</w:t>
      </w:r>
    </w:p>
    <w:p>
      <w:r>
        <w:t>银行自动支付与税务查验：一期明确不实现；预期：列为范围外及后续可选能力，不能绘入一期自动流程。</w:t>
      </w:r>
    </w:p>
    <w:p>
      <w:r>
        <w:t>全套错误码及移动端设计：资料只给关键异常和桌面边界；预期：错误码方案可作为建议，移动端原生App不纳入验收。</w:t>
      </w:r>
    </w:p>
    <w:p>
      <w:pPr>
        <w:pStyle w:val="ListBullet"/>
      </w:pPr>
      <w:r>
        <w:t>不得将3000.00归两级、20000.00归三级。</w:t>
      </w:r>
    </w:p>
    <w:p>
      <w:pPr>
        <w:pStyle w:val="ListBullet"/>
      </w:pPr>
      <w:r>
        <w:t>不得将V0.9的450元住宿上限写成当前默认规则。</w:t>
      </w:r>
    </w:p>
    <w:p>
      <w:pPr>
        <w:pStyle w:val="ListBullet"/>
      </w:pPr>
      <w:r>
        <w:t>不得写第一期已自动调用银行支付、税务验真、工资扣款或移动端App。</w:t>
      </w:r>
    </w:p>
    <w:p>
      <w:pPr>
        <w:pStyle w:val="ListBullet"/>
      </w:pPr>
      <w:r>
        <w:t>不得把付款成功直接视为已完成。</w:t>
      </w:r>
    </w:p>
    <w:p>
      <w:pPr>
        <w:pStyle w:val="ListBullet"/>
      </w:pPr>
      <w:r>
        <w:t>不得把管理员等同于无限财务权限。</w:t>
      </w:r>
    </w:p>
    <w:p>
      <w:pPr>
        <w:pStyle w:val="ListBullet"/>
      </w:pPr>
      <w:r>
        <w:t>不得编造恢复目标、法定保存期限或真实法规结论。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正文15000～20000字符且各章实质展开；不将重复原文、空表或目录计入长度。</w:t>
      </w:r>
    </w:p>
    <w:p>
      <w:pPr>
        <w:pStyle w:val="ListBullet"/>
      </w:pPr>
      <w:r>
        <w:t>所有章节、图、原型和验收场景采用同一审批边界和九种单据状态。</w:t>
      </w:r>
    </w:p>
    <w:p>
      <w:pPr>
        <w:pStyle w:val="ListBullet"/>
      </w:pPr>
      <w:r>
        <w:t>至少覆盖3000.00、3000.01、20000.00、20000.01、第30/31天、退回重提跨版本、付款重复点击、自己审批8类边界场景。</w:t>
      </w:r>
    </w:p>
    <w:p>
      <w:pPr>
        <w:pStyle w:val="ListBullet"/>
      </w:pPr>
      <w:r>
        <w:t>五组计算均正确，展示核准与付款两种口径，不把剩余借款做成负应付。</w:t>
      </w:r>
    </w:p>
    <w:p>
      <w:pPr>
        <w:pStyle w:val="ListBullet"/>
      </w:pPr>
      <w:r>
        <w:t>全局事实能追溯到明确文件及章节或Sheet；未确认事项与已确认业务严格区分。</w:t>
      </w:r>
    </w:p>
    <w:p>
      <w:pPr>
        <w:pStyle w:val="ListBullet"/>
      </w:pPr>
      <w:r>
        <w:t>Word目录、标题、图题、页码、重复表头可读；原型和流程图内容不是占位。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"所有组织、人员、交易、产品及规则均为虚构测试数据。",</w:t>
        <w:br/>
        <w:t xml:space="preserve">    "本地研究最多 3 轮，每轮可进行多次有界工具调用；该用例禁用联网，必须记录 Tavily 不可用并进入明确标注的建议补全，不能伪称搜索成功。",</w:t>
        <w:br/>
        <w:t xml:space="preserve">    "只向被测智能体上传 sources 目录并发送 prompt；expected 为独立验收参考，不能加入资料包。",</w:t>
        <w:br/>
        <w:t xml:space="preserve">    "正文有效字符数：汉字、英文字母、数字逐字符计数，计入表格，不计封面、目录、标题、页眉页脚、空白和标点。页数只作观察，不作字数替代；字数达标不能替代事实正确与覆盖完整，不得重复段落或表格凑数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