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业务访谈：费用报销试点 2026-06-20</w:t>
      </w:r>
    </w:p>
    <w:p>
      <w:pPr>
        <w:pStyle w:val="Heading1"/>
      </w:pPr>
      <w:r>
        <w:t>1 项目背景与试点范围</w:t>
      </w:r>
    </w:p>
    <w:p>
      <w:r>
        <w:t>澄川制造集团是虚构的设备制造企业。第一期覆盖总部与苏州工厂两个核算单位，共 800 名员工，财务共享中心统一复核。销售费用、研发费用、生产支持费用分别归入已建项目编码；项目编码来自现有主数据，不由报销平台创建。</w:t>
      </w:r>
    </w:p>
    <w:p>
      <w:r>
        <w:t>当前员工提交纸质表单，部门主管签字，出纳在网银付款后手工记账。痛点是相同发票重复报销、差旅补贴手算出错、审批越权、付款结果回写不及时。第一期目标是支持可追踪的填单、审核、登记付款、到账核对，不包含采购结算和供应商应付账款。</w:t>
      </w:r>
    </w:p>
    <w:p>
      <w:pPr>
        <w:pStyle w:val="Heading1"/>
      </w:pPr>
      <w:r>
        <w:t>2 员工访谈</w:t>
      </w:r>
    </w:p>
    <w:p>
      <w:r>
        <w:t>员工何禾：我希望在草稿里多次保存票据，手机拍照上传仅作为未来建议。现在实际使用公司内网电脑，附件类型先支持 PDF、JPG、PNG，单文件不超过 10 MB，每单最多 20 个附件。网络中断后已成功保存的草稿不能丢失。</w:t>
      </w:r>
    </w:p>
    <w:p>
      <w:r>
        <w:t>员工孟语：一次出差可能有交通、住宿和差旅补贴三类明细；如果有公司借款，希望看到核准额、抵扣额和最终应付额分别是多少。退回时需要看清是整单原因还是某条明细的问题。</w:t>
      </w:r>
    </w:p>
    <w:p>
      <w:pPr>
        <w:pStyle w:val="Heading1"/>
      </w:pPr>
      <w:r>
        <w:t>3 财务与主管访谈</w:t>
      </w:r>
    </w:p>
    <w:p>
      <w:r>
        <w:t>主管只应看到本部门人员的单据；跨部门项目借用人员仍由员工归属部门审批，项目负责人只可查看被授权的项目费用统计。会计要求核准金额调整必须填写原因，并让员工可见；不得悄悄覆盖原申报金额。</w:t>
      </w:r>
    </w:p>
    <w:p>
      <w:r>
        <w:t>出纳要求同一报销单只能登记一笔有效付款指令，但失败后可以发起新尝试；历史尝试必须保留。付款成功不等于自动核对完成，需要会计核对银行回单。</w:t>
      </w:r>
    </w:p>
    <w:p>
      <w:pPr>
        <w:pStyle w:val="Heading1"/>
      </w:pPr>
      <w:r>
        <w:t>4 业务成功标准</w:t>
      </w:r>
    </w:p>
    <w:p>
      <w:r>
        <w:t>试点验收用 30 份人工确认样例核对金额与审批路线，要求全部一致。暂不承诺节约百分比，节约时间仅在上线后按记录分析。所有审核与付款操作应记录操作者、时间、前后状态及原因，普通业务用户不可修改审计记录。</w:t>
      </w:r>
    </w:p>
    <w:p>
      <w:r>
        <w:t>运营指标包括草稿提交量、一次通过率、退回原因分布、审批耗时中位数和未核对付款数量。不同币种申报金额不能不经换算直接合并；报表汇总使用核准人民币金额。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