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费用制度 V1.2（已批准，2026-07-01 生效）</w:t>
      </w:r>
    </w:p>
    <w:p>
      <w:pPr>
        <w:pStyle w:val="Heading1"/>
      </w:pPr>
      <w:r>
        <w:t>1 适用日期与优先级</w:t>
      </w:r>
    </w:p>
    <w:p>
      <w:r>
        <w:t>本制度版本 V1.2 由虚构财务委员会于 2026-06-25 批准，自 2026-07-01 00:00 起对首次提交的报销单生效，以集团业务时区 Asia/Shanghai 记录提交时间。草稿创建日、出差发生日均不决定版本；退回后重提继续使用首次提交时的制度版本。历史 V0.9 单据不得因修改或重试被自动切换到 V1.2。</w:t>
      </w:r>
    </w:p>
    <w:p>
      <w:pPr>
        <w:pStyle w:val="Heading1"/>
      </w:pPr>
      <w:r>
        <w:t>2 审批金额分段</w:t>
      </w:r>
    </w:p>
    <w:p>
      <w:r>
        <w:t>审批分段根据整单核准人民币金额，未完成会计核准前使用申报可报金额预判路线。金额调整跨越分段时重新计算未完成的审批节点，并记录原路线；已完成节点无需重复审批，但不能绕过新增上级节点。</w:t>
      </w:r>
    </w:p>
    <w:p>
      <w:r>
        <w:t>V1.2 路线：金额 ≤3000.00 元由直属主管审批；3000.00 元＜金额≤20000.00 元由直属主管、部门负责人依次审批；金额＞20000.00 元再增加财务总监审批。三档均需会计复核和出纳付款登记。申请人不得审批自己的单据；节点命中申请人时改派到已配置的代理人，未配置代理人则挂起并提示管理员，不得自动同意。</w:t>
      </w:r>
    </w:p>
    <w:p>
      <w:pPr>
        <w:pStyle w:val="Heading1"/>
      </w:pPr>
      <w:r>
        <w:t>3 差旅费用与补贴</w:t>
      </w:r>
    </w:p>
    <w:p>
      <w:r>
        <w:t>住宿按实际有效票据与每人每晚 500.00 元上限取较小值；超出部分由个人承担，除非附加事前批准的专项豁免。试点样例没有专项豁免，不得默认存在。住宿晚数取入住日期至退房日期的自然日差，不能用含首尾天数计算。</w:t>
      </w:r>
    </w:p>
    <w:p>
      <w:r>
        <w:t>差旅补贴每天 80.00 元；公司或客户已提供的早餐扣 20.00 元，午餐扣 30.00 元，晚餐扣 30.00 元，当天补贴最低为 0。差旅日期按自然日计，补贴不需要发票，不允许再报销同日同餐实际餐费。市内交通按有效票据实报，禁止凭经验推断固定补贴。</w:t>
      </w:r>
    </w:p>
    <w:p>
      <w:pPr>
        <w:pStyle w:val="Heading1"/>
      </w:pPr>
      <w:r>
        <w:t>4 借款、币种和舍入</w:t>
      </w:r>
    </w:p>
    <w:p>
      <w:r>
        <w:t>借款抵扣不改变核准费用总额。抵扣额为核准总额与该员工本单指定的未结借款余额二者的较小值；应付金额=max(核准总额-抵扣额,0)。剩余借款继续挂账，本期不生成负付款或自动扣工资。</w:t>
      </w:r>
    </w:p>
    <w:p>
      <w:r>
        <w:t>外币明细按财务维护的业务日期汇率折算人民币，每条明细先四舍五入到分，再汇总；计算使用十进制定点数与 HALF_UP，不能采用银行家舍入。USD 样例汇率为 7.2000。原币、汇率、折算额应同时保存并显示。</w:t>
      </w:r>
    </w:p>
    <w:p>
      <w:pPr>
        <w:pStyle w:val="Heading1"/>
      </w:pPr>
      <w:r>
        <w:t>5 单据时限与附件检查</w:t>
      </w:r>
    </w:p>
    <w:p>
      <w:r>
        <w:t>出差结束后 30 个自然日内提交为正常；第 31 天及以后仍允许提交，但必须填写逾期说明并进入部门负责人例外审批，不自动驳回。逾期判断不含出差结束日当日，例如 2026-07-01 结束，2026-07-31 首次提交为第 30 天。</w:t>
      </w:r>
    </w:p>
    <w:p>
      <w:r>
        <w:t>电子发票采用发票号码+开票日期+含税金额作为跨员工的重复提示键。相同三元组只提示风险，由会计判断；不能单凭金额相同拦截，也不能声称本期已对接税务真伪查验。不能辨认的票据要求人工核验，OCR 文本不自动等同于真实合法票据。</w:t>
      </w:r>
    </w:p>
    <w:p>
      <w:pPr>
        <w:pStyle w:val="Heading1"/>
      </w:pPr>
      <w:r>
        <w:t>6 单据状态与撤回规则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</w:tcPr>
          <w:p>
            <w:r>
              <w:t>状态</w:t>
            </w:r>
          </w:p>
        </w:tc>
        <w:tc>
          <w:tcPr>
            <w:tcW w:type="dxa" w:w="2353"/>
          </w:tcPr>
          <w:p>
            <w:r>
              <w:t>进入条件</w:t>
            </w:r>
          </w:p>
        </w:tc>
        <w:tc>
          <w:tcPr>
            <w:tcW w:type="dxa" w:w="2353"/>
          </w:tcPr>
          <w:p>
            <w:r>
              <w:t>允许操作</w:t>
            </w:r>
          </w:p>
        </w:tc>
        <w:tc>
          <w:tcPr>
            <w:tcW w:type="dxa" w:w="2353"/>
          </w:tcPr>
          <w:p>
            <w:r>
              <w:t>退出条件</w:t>
            </w:r>
          </w:p>
        </w:tc>
      </w:tr>
      <w:tr>
        <w:tc>
          <w:tcPr>
            <w:tcW w:type="dxa" w:w="2353"/>
          </w:tcPr>
          <w:p>
            <w:r>
              <w:t>草稿</w:t>
            </w:r>
          </w:p>
        </w:tc>
        <w:tc>
          <w:tcPr>
            <w:tcW w:type="dxa" w:w="2353"/>
          </w:tcPr>
          <w:p>
            <w:r>
              <w:t>员工新建或主动撤回未审批单</w:t>
            </w:r>
          </w:p>
        </w:tc>
        <w:tc>
          <w:tcPr>
            <w:tcW w:type="dxa" w:w="2353"/>
          </w:tcPr>
          <w:p>
            <w:r>
              <w:t>编辑、删除草稿、提交</w:t>
            </w:r>
          </w:p>
        </w:tc>
        <w:tc>
          <w:tcPr>
            <w:tcW w:type="dxa" w:w="2353"/>
          </w:tcPr>
          <w:p>
            <w:r>
              <w:t>通过前置校验进入待审批</w:t>
            </w:r>
          </w:p>
        </w:tc>
      </w:tr>
      <w:tr>
        <w:tc>
          <w:tcPr>
            <w:tcW w:type="dxa" w:w="2353"/>
          </w:tcPr>
          <w:p>
            <w:r>
              <w:t>待审批</w:t>
            </w:r>
          </w:p>
        </w:tc>
        <w:tc>
          <w:tcPr>
            <w:tcW w:type="dxa" w:w="2353"/>
          </w:tcPr>
          <w:p>
            <w:r>
              <w:t>首次提交或退回重提</w:t>
            </w:r>
          </w:p>
        </w:tc>
        <w:tc>
          <w:tcPr>
            <w:tcW w:type="dxa" w:w="2353"/>
          </w:tcPr>
          <w:p>
            <w:r>
              <w:t>查看进度；未有审批意见时可撤回</w:t>
            </w:r>
          </w:p>
        </w:tc>
        <w:tc>
          <w:tcPr>
            <w:tcW w:type="dxa" w:w="2353"/>
          </w:tcPr>
          <w:p>
            <w:r>
              <w:t>所有业务节点通过后待复核；退回则已退回</w:t>
            </w:r>
          </w:p>
        </w:tc>
      </w:tr>
      <w:tr>
        <w:tc>
          <w:tcPr>
            <w:tcW w:type="dxa" w:w="2353"/>
          </w:tcPr>
          <w:p>
            <w:r>
              <w:t>已退回</w:t>
            </w:r>
          </w:p>
        </w:tc>
        <w:tc>
          <w:tcPr>
            <w:tcW w:type="dxa" w:w="2353"/>
          </w:tcPr>
          <w:p>
            <w:r>
              <w:t>业务审批或会计要求修改</w:t>
            </w:r>
          </w:p>
        </w:tc>
        <w:tc>
          <w:tcPr>
            <w:tcW w:type="dxa" w:w="2353"/>
          </w:tcPr>
          <w:p>
            <w:r>
              <w:t>员工编辑并重提；保留原单号和历史</w:t>
            </w:r>
          </w:p>
        </w:tc>
        <w:tc>
          <w:tcPr>
            <w:tcW w:type="dxa" w:w="2353"/>
          </w:tcPr>
          <w:p>
            <w:r>
              <w:t>重新进入待审批</w:t>
            </w:r>
          </w:p>
        </w:tc>
      </w:tr>
      <w:tr>
        <w:tc>
          <w:tcPr>
            <w:tcW w:type="dxa" w:w="2353"/>
          </w:tcPr>
          <w:p>
            <w:r>
              <w:t>待复核</w:t>
            </w:r>
          </w:p>
        </w:tc>
        <w:tc>
          <w:tcPr>
            <w:tcW w:type="dxa" w:w="2353"/>
          </w:tcPr>
          <w:p>
            <w:r>
              <w:t>所需业务节点全部通过</w:t>
            </w:r>
          </w:p>
        </w:tc>
        <w:tc>
          <w:tcPr>
            <w:tcW w:type="dxa" w:w="2353"/>
          </w:tcPr>
          <w:p>
            <w:r>
              <w:t>会计核准或退回</w:t>
            </w:r>
          </w:p>
        </w:tc>
        <w:tc>
          <w:tcPr>
            <w:tcW w:type="dxa" w:w="2353"/>
          </w:tcPr>
          <w:p>
            <w:r>
              <w:t>核准后待付款</w:t>
            </w:r>
          </w:p>
        </w:tc>
      </w:tr>
      <w:tr>
        <w:tc>
          <w:tcPr>
            <w:tcW w:type="dxa" w:w="2353"/>
          </w:tcPr>
          <w:p>
            <w:r>
              <w:t>待付款</w:t>
            </w:r>
          </w:p>
        </w:tc>
        <w:tc>
          <w:tcPr>
            <w:tcW w:type="dxa" w:w="2353"/>
          </w:tcPr>
          <w:p>
            <w:r>
              <w:t>会计核准完成</w:t>
            </w:r>
          </w:p>
        </w:tc>
        <w:tc>
          <w:tcPr>
            <w:tcW w:type="dxa" w:w="2353"/>
          </w:tcPr>
          <w:p>
            <w:r>
              <w:t>出纳登记付款；允许授权作废且需原因</w:t>
            </w:r>
          </w:p>
        </w:tc>
        <w:tc>
          <w:tcPr>
            <w:tcW w:type="dxa" w:w="2353"/>
          </w:tcPr>
          <w:p>
            <w:r>
              <w:t>指令已发出进入付款处理中</w:t>
            </w:r>
          </w:p>
        </w:tc>
      </w:tr>
      <w:tr>
        <w:tc>
          <w:tcPr>
            <w:tcW w:type="dxa" w:w="2353"/>
          </w:tcPr>
          <w:p>
            <w:r>
              <w:t>付款处理中</w:t>
            </w:r>
          </w:p>
        </w:tc>
        <w:tc>
          <w:tcPr>
            <w:tcW w:type="dxa" w:w="2353"/>
          </w:tcPr>
          <w:p>
            <w:r>
              <w:t>出纳保存有效付款指令</w:t>
            </w:r>
          </w:p>
        </w:tc>
        <w:tc>
          <w:tcPr>
            <w:tcW w:type="dxa" w:w="2353"/>
          </w:tcPr>
          <w:p>
            <w:r>
              <w:t>只读；登记成功或失败</w:t>
            </w:r>
          </w:p>
        </w:tc>
        <w:tc>
          <w:tcPr>
            <w:tcW w:type="dxa" w:w="2353"/>
          </w:tcPr>
          <w:p>
            <w:r>
              <w:t>成功进入待核对；失败回待付款</w:t>
            </w:r>
          </w:p>
        </w:tc>
      </w:tr>
      <w:tr>
        <w:tc>
          <w:tcPr>
            <w:tcW w:type="dxa" w:w="2353"/>
          </w:tcPr>
          <w:p>
            <w:r>
              <w:t>待核对</w:t>
            </w:r>
          </w:p>
        </w:tc>
        <w:tc>
          <w:tcPr>
            <w:tcW w:type="dxa" w:w="2353"/>
          </w:tcPr>
          <w:p>
            <w:r>
              <w:t>付款登记成功并附回单号</w:t>
            </w:r>
          </w:p>
        </w:tc>
        <w:tc>
          <w:tcPr>
            <w:tcW w:type="dxa" w:w="2353"/>
          </w:tcPr>
          <w:p>
            <w:r>
              <w:t>会计核对或标记异常</w:t>
            </w:r>
          </w:p>
        </w:tc>
        <w:tc>
          <w:tcPr>
            <w:tcW w:type="dxa" w:w="2353"/>
          </w:tcPr>
          <w:p>
            <w:r>
              <w:t>核对成功进入已完成；异常保留待核对</w:t>
            </w:r>
          </w:p>
        </w:tc>
      </w:tr>
      <w:tr>
        <w:tc>
          <w:tcPr>
            <w:tcW w:type="dxa" w:w="2353"/>
          </w:tcPr>
          <w:p>
            <w:r>
              <w:t>已完成</w:t>
            </w:r>
          </w:p>
        </w:tc>
        <w:tc>
          <w:tcPr>
            <w:tcW w:type="dxa" w:w="2353"/>
          </w:tcPr>
          <w:p>
            <w:r>
              <w:t>会计核对账实相符</w:t>
            </w:r>
          </w:p>
        </w:tc>
        <w:tc>
          <w:tcPr>
            <w:tcW w:type="dxa" w:w="2353"/>
          </w:tcPr>
          <w:p>
            <w:r>
              <w:t>只读、按权限导出</w:t>
            </w:r>
          </w:p>
        </w:tc>
        <w:tc>
          <w:tcPr>
            <w:tcW w:type="dxa" w:w="2353"/>
          </w:tcPr>
          <w:p>
            <w:r>
              <w:t>不可直接改金额或删除</w:t>
            </w:r>
          </w:p>
        </w:tc>
      </w:tr>
      <w:tr>
        <w:tc>
          <w:tcPr>
            <w:tcW w:type="dxa" w:w="2353"/>
          </w:tcPr>
          <w:p>
            <w:r>
              <w:t>已作废</w:t>
            </w:r>
          </w:p>
        </w:tc>
        <w:tc>
          <w:tcPr>
            <w:tcW w:type="dxa" w:w="2353"/>
          </w:tcPr>
          <w:p>
            <w:r>
              <w:t>授权人作废未付款单</w:t>
            </w:r>
          </w:p>
        </w:tc>
        <w:tc>
          <w:tcPr>
            <w:tcW w:type="dxa" w:w="2353"/>
          </w:tcPr>
          <w:p>
            <w:r>
              <w:t>只读查看原因</w:t>
            </w:r>
          </w:p>
        </w:tc>
        <w:tc>
          <w:tcPr>
            <w:tcW w:type="dxa" w:w="2353"/>
          </w:tcPr>
          <w:p>
            <w:r>
              <w:t>不可再次付款</w:t>
            </w:r>
          </w:p>
        </w:tc>
      </w:tr>
    </w:tbl>
    <w:p>
      <w:pPr>
        <w:pStyle w:val="Heading1"/>
      </w:pPr>
      <w:r>
        <w:t>7 付款与岗位分离</w:t>
      </w:r>
    </w:p>
    <w:p>
      <w:r>
        <w:t>同一人员不得对同一单同时担任会计复核人与出纳付款登记人。有效付款指令需要业务唯一键；网络重复提交不能生成重复指令。失败尝试保留失败码、原因与时间，重试必须先核实未实际出款。付款处理中不允许员工撤回。会计复核通过以后金额修改必须退回业务流程，不能在付款页面直接改数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