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星屿生活全渠道订单中台需求规格说明书 · 交付预期与验收</w:t>
      </w:r>
    </w:p>
    <w:p>
      <w:r>
        <w:t>本文件供测试人员核对成品，不上传资料库。它是验收蓝图，不是已经生成的完整业务文档。</w:t>
      </w:r>
    </w:p>
    <w:p>
      <w:r>
        <w:t>目标文件：星屿生活全渠道订单中台需求规格说明书.docx；类型：srs；正文目标：25,000—35,000 字符。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p>
      <w:pPr>
        <w:pStyle w:val="Heading1"/>
      </w:pPr>
      <w:r>
        <w:t>一、预期目录与各章展开程度</w:t>
      </w:r>
    </w:p>
    <w:p>
      <w:pPr>
        <w:pStyle w:val="Heading2"/>
      </w:pPr>
      <w:r>
        <w:t>1. 引言、术语与适用版本（至少 1200 字符）</w:t>
      </w:r>
    </w:p>
    <w:p>
      <w:pPr>
        <w:pStyle w:val="ListBullet"/>
      </w:pPr>
      <w:r>
        <w:t>SRS读者</w:t>
      </w:r>
    </w:p>
    <w:p>
      <w:pPr>
        <w:pStyle w:val="ListBullet"/>
      </w:pPr>
      <w:r>
        <w:t>V1/V2区分</w:t>
      </w:r>
    </w:p>
    <w:p>
      <w:pPr>
        <w:pStyle w:val="ListBullet"/>
      </w:pPr>
      <w:r>
        <w:t>金额分与UTC</w:t>
      </w:r>
    </w:p>
    <w:p>
      <w:r>
        <w:t>依据：01_渠道业务研讨.docx、03_库存支付接口契约.docx、06_旧接口V1归档.md</w:t>
      </w:r>
    </w:p>
    <w:p>
      <w:pPr>
        <w:pStyle w:val="Heading2"/>
      </w:pPr>
      <w:r>
        <w:t>2. 业务范围与角色权限（至少 1500 字符）</w:t>
      </w:r>
    </w:p>
    <w:p>
      <w:pPr>
        <w:pStyle w:val="ListBullet"/>
      </w:pPr>
      <w:r>
        <w:t>渠道及40店</w:t>
      </w:r>
    </w:p>
    <w:p>
      <w:pPr>
        <w:pStyle w:val="ListBullet"/>
      </w:pPr>
      <w:r>
        <w:t>单履约地点</w:t>
      </w:r>
    </w:p>
    <w:p>
      <w:pPr>
        <w:pStyle w:val="ListBullet"/>
      </w:pPr>
      <w:r>
        <w:t>权限隔离</w:t>
      </w:r>
    </w:p>
    <w:p>
      <w:r>
        <w:t>依据：01_渠道业务研讨.docx、07_页面及权限清单.md</w:t>
      </w:r>
    </w:p>
    <w:p>
      <w:pPr>
        <w:pStyle w:val="Heading2"/>
      </w:pPr>
      <w:r>
        <w:t>3. 领域模型与四组状态机（至少 2300 字符）</w:t>
      </w:r>
    </w:p>
    <w:p>
      <w:pPr>
        <w:pStyle w:val="ListBullet"/>
      </w:pPr>
      <w:r>
        <w:t>订单支付履约退款</w:t>
      </w:r>
    </w:p>
    <w:p>
      <w:pPr>
        <w:pStyle w:val="ListBullet"/>
      </w:pPr>
      <w:r>
        <w:t>合法与非法迁移</w:t>
      </w:r>
    </w:p>
    <w:p>
      <w:pPr>
        <w:pStyle w:val="ListBullet"/>
      </w:pPr>
      <w:r>
        <w:t>组合展示</w:t>
      </w:r>
    </w:p>
    <w:p>
      <w:r>
        <w:t>依据：02_订单状态与竞争规则.md</w:t>
      </w:r>
    </w:p>
    <w:p>
      <w:pPr>
        <w:pStyle w:val="Heading2"/>
      </w:pPr>
      <w:r>
        <w:t>4. 商品快照、报价与优惠（至少 1800 字符）</w:t>
      </w:r>
    </w:p>
    <w:p>
      <w:pPr>
        <w:pStyle w:val="ListBullet"/>
      </w:pPr>
      <w:r>
        <w:t>价格不可追溯修改</w:t>
      </w:r>
    </w:p>
    <w:p>
      <w:pPr>
        <w:pStyle w:val="ListBullet"/>
      </w:pPr>
      <w:r>
        <w:t>最大余数法</w:t>
      </w:r>
    </w:p>
    <w:p>
      <w:pPr>
        <w:pStyle w:val="ListBullet"/>
      </w:pPr>
      <w:r>
        <w:t>赠品及运费</w:t>
      </w:r>
    </w:p>
    <w:p>
      <w:r>
        <w:t>依据：01_渠道业务研讨.docx、04_订单与退款样例.xlsx</w:t>
      </w:r>
    </w:p>
    <w:p>
      <w:pPr>
        <w:pStyle w:val="Heading2"/>
      </w:pPr>
      <w:r>
        <w:t>5. 下单与库存预占（至少 2100 字符）</w:t>
      </w:r>
    </w:p>
    <w:p>
      <w:pPr>
        <w:pStyle w:val="ListBullet"/>
      </w:pPr>
      <w:r>
        <w:t>全成全败</w:t>
      </w:r>
    </w:p>
    <w:p>
      <w:pPr>
        <w:pStyle w:val="ListBullet"/>
      </w:pPr>
      <w:r>
        <w:t>预占ID</w:t>
      </w:r>
    </w:p>
    <w:p>
      <w:pPr>
        <w:pStyle w:val="ListBullet"/>
      </w:pPr>
      <w:r>
        <w:t>重复请求</w:t>
      </w:r>
    </w:p>
    <w:p>
      <w:pPr>
        <w:pStyle w:val="ListBullet"/>
      </w:pPr>
      <w:r>
        <w:t>TTL与明确释放</w:t>
      </w:r>
    </w:p>
    <w:p>
      <w:r>
        <w:t>依据：02_订单状态与竞争规则.md、03_库存支付接口契约.docx</w:t>
      </w:r>
    </w:p>
    <w:p>
      <w:pPr>
        <w:pStyle w:val="Heading2"/>
      </w:pPr>
      <w:r>
        <w:t>6. 支付窗口与并发竞争（至少 2600 字符）</w:t>
      </w:r>
    </w:p>
    <w:p>
      <w:pPr>
        <w:pStyle w:val="ListBullet"/>
      </w:pPr>
      <w:r>
        <w:t>15分钟等号边界</w:t>
      </w:r>
    </w:p>
    <w:p>
      <w:pPr>
        <w:pStyle w:val="ListBullet"/>
      </w:pPr>
      <w:r>
        <w:t>乐观锁裁决</w:t>
      </w:r>
    </w:p>
    <w:p>
      <w:pPr>
        <w:pStyle w:val="ListBullet"/>
      </w:pPr>
      <w:r>
        <w:t>晚到成功补偿</w:t>
      </w:r>
    </w:p>
    <w:p>
      <w:pPr>
        <w:pStyle w:val="ListBullet"/>
      </w:pPr>
      <w:r>
        <w:t>金额和签名检查</w:t>
      </w:r>
    </w:p>
    <w:p>
      <w:r>
        <w:t>依据：02_订单状态与竞争规则.md、04_订单与退款样例.xlsx</w:t>
      </w:r>
    </w:p>
    <w:p>
      <w:pPr>
        <w:pStyle w:val="Heading2"/>
      </w:pPr>
      <w:r>
        <w:t>7. 取消、履约与门店自提（至少 1900 字符）</w:t>
      </w:r>
    </w:p>
    <w:p>
      <w:pPr>
        <w:pStyle w:val="ListBullet"/>
      </w:pPr>
      <w:r>
        <w:t>PICKING拦截</w:t>
      </w:r>
    </w:p>
    <w:p>
      <w:pPr>
        <w:pStyle w:val="ListBullet"/>
      </w:pPr>
      <w:r>
        <w:t>多包裹单地点</w:t>
      </w:r>
    </w:p>
    <w:p>
      <w:pPr>
        <w:pStyle w:val="ListBullet"/>
      </w:pPr>
      <w:r>
        <w:t>核销权限</w:t>
      </w:r>
    </w:p>
    <w:p>
      <w:pPr>
        <w:pStyle w:val="ListBullet"/>
      </w:pPr>
      <w:r>
        <w:t>关闭并非退款</w:t>
      </w:r>
    </w:p>
    <w:p>
      <w:r>
        <w:t>依据：01_渠道业务研讨.docx、02_订单状态与竞争规则.md、07_页面及权限清单.md</w:t>
      </w:r>
    </w:p>
    <w:p>
      <w:pPr>
        <w:pStyle w:val="Heading2"/>
      </w:pPr>
      <w:r>
        <w:t>8. 退款、退货与额度控制（至少 2500 字符）</w:t>
      </w:r>
    </w:p>
    <w:p>
      <w:pPr>
        <w:pStyle w:val="ListBullet"/>
      </w:pPr>
      <w:r>
        <w:t>原路退款</w:t>
      </w:r>
    </w:p>
    <w:p>
      <w:pPr>
        <w:pStyle w:val="ListBullet"/>
      </w:pPr>
      <w:r>
        <w:t>分件固定份额</w:t>
      </w:r>
    </w:p>
    <w:p>
      <w:pPr>
        <w:pStyle w:val="ListBullet"/>
      </w:pPr>
      <w:r>
        <w:t>占用可退额度</w:t>
      </w:r>
    </w:p>
    <w:p>
      <w:pPr>
        <w:pStyle w:val="ListBullet"/>
      </w:pPr>
      <w:r>
        <w:t>运费未决规则</w:t>
      </w:r>
    </w:p>
    <w:p>
      <w:r>
        <w:t>依据：01_渠道业务研讨.docx、03_库存支付接口契约.docx、04_订单与退款样例.xlsx、05_故障演练与SLO.txt</w:t>
      </w:r>
    </w:p>
    <w:p>
      <w:pPr>
        <w:pStyle w:val="Heading2"/>
      </w:pPr>
      <w:r>
        <w:t>9. 接口与错误语义（至少 2500 字符）</w:t>
      </w:r>
    </w:p>
    <w:p>
      <w:pPr>
        <w:pStyle w:val="ListBullet"/>
      </w:pPr>
      <w:r>
        <w:t>路径字段</w:t>
      </w:r>
    </w:p>
    <w:p>
      <w:pPr>
        <w:pStyle w:val="ListBullet"/>
      </w:pPr>
      <w:r>
        <w:t>响应码</w:t>
      </w:r>
    </w:p>
    <w:p>
      <w:pPr>
        <w:pStyle w:val="ListBullet"/>
      </w:pPr>
      <w:r>
        <w:t>24小时键和长期业务约束</w:t>
      </w:r>
    </w:p>
    <w:p>
      <w:pPr>
        <w:pStyle w:val="ListBullet"/>
      </w:pPr>
      <w:r>
        <w:t>查询接口</w:t>
      </w:r>
    </w:p>
    <w:p>
      <w:r>
        <w:t>依据：03_库存支付接口契约.docx</w:t>
      </w:r>
    </w:p>
    <w:p>
      <w:pPr>
        <w:pStyle w:val="Heading2"/>
      </w:pPr>
      <w:r>
        <w:t>10. 数据模型与事件契约（至少 2000 字符）</w:t>
      </w:r>
    </w:p>
    <w:p>
      <w:pPr>
        <w:pStyle w:val="ListBullet"/>
      </w:pPr>
      <w:r>
        <w:t>主键引用</w:t>
      </w:r>
    </w:p>
    <w:p>
      <w:pPr>
        <w:pStyle w:val="ListBullet"/>
      </w:pPr>
      <w:r>
        <w:t>金额整数</w:t>
      </w:r>
    </w:p>
    <w:p>
      <w:pPr>
        <w:pStyle w:val="ListBullet"/>
      </w:pPr>
      <w:r>
        <w:t>时间存储</w:t>
      </w:r>
    </w:p>
    <w:p>
      <w:pPr>
        <w:pStyle w:val="ListBullet"/>
      </w:pPr>
      <w:r>
        <w:t>去重及乱序</w:t>
      </w:r>
    </w:p>
    <w:p>
      <w:r>
        <w:t>依据：02_订单状态与竞争规则.md、03_库存支付接口契约.docx、04_订单与退款样例.xlsx</w:t>
      </w:r>
    </w:p>
    <w:p>
      <w:pPr>
        <w:pStyle w:val="Heading2"/>
      </w:pPr>
      <w:r>
        <w:t>11. 补偿、对账与可观测性（至少 1900 字符）</w:t>
      </w:r>
    </w:p>
    <w:p>
      <w:pPr>
        <w:pStyle w:val="ListBullet"/>
      </w:pPr>
      <w:r>
        <w:t>outbox</w:t>
      </w:r>
    </w:p>
    <w:p>
      <w:pPr>
        <w:pStyle w:val="ListBullet"/>
      </w:pPr>
      <w:r>
        <w:t>五次重试</w:t>
      </w:r>
    </w:p>
    <w:p>
      <w:pPr>
        <w:pStyle w:val="ListBullet"/>
      </w:pPr>
      <w:r>
        <w:t>10分钟对账</w:t>
      </w:r>
    </w:p>
    <w:p>
      <w:pPr>
        <w:pStyle w:val="ListBullet"/>
      </w:pPr>
      <w:r>
        <w:t>死信人工处理</w:t>
      </w:r>
    </w:p>
    <w:p>
      <w:r>
        <w:t>依据：02_订单状态与竞争规则.md、05_故障演练与SLO.txt</w:t>
      </w:r>
    </w:p>
    <w:p>
      <w:pPr>
        <w:pStyle w:val="Heading2"/>
      </w:pPr>
      <w:r>
        <w:t>12. 页面交互与敏感数据权限（至少 1500 字符）</w:t>
      </w:r>
    </w:p>
    <w:p>
      <w:pPr>
        <w:pStyle w:val="ListBullet"/>
      </w:pPr>
      <w:r>
        <w:t>客服详情</w:t>
      </w:r>
    </w:p>
    <w:p>
      <w:pPr>
        <w:pStyle w:val="ListBullet"/>
      </w:pPr>
      <w:r>
        <w:t>退款审核</w:t>
      </w:r>
    </w:p>
    <w:p>
      <w:pPr>
        <w:pStyle w:val="ListBullet"/>
      </w:pPr>
      <w:r>
        <w:t>自提核销</w:t>
      </w:r>
    </w:p>
    <w:p>
      <w:pPr>
        <w:pStyle w:val="ListBullet"/>
      </w:pPr>
      <w:r>
        <w:t>受理与成功区分</w:t>
      </w:r>
    </w:p>
    <w:p>
      <w:r>
        <w:t>依据：07_页面及权限清单.md</w:t>
      </w:r>
    </w:p>
    <w:p>
      <w:pPr>
        <w:pStyle w:val="Heading2"/>
      </w:pPr>
      <w:r>
        <w:t>13. 非功能与运行验收（至少 1800 字符）</w:t>
      </w:r>
    </w:p>
    <w:p>
      <w:pPr>
        <w:pStyle w:val="ListBullet"/>
      </w:pPr>
      <w:r>
        <w:t>有条件性能SLO</w:t>
      </w:r>
    </w:p>
    <w:p>
      <w:pPr>
        <w:pStyle w:val="ListBullet"/>
      </w:pPr>
      <w:r>
        <w:t>99.9%</w:t>
      </w:r>
    </w:p>
    <w:p>
      <w:pPr>
        <w:pStyle w:val="ListBullet"/>
      </w:pPr>
      <w:r>
        <w:t>RTO/RPO</w:t>
      </w:r>
    </w:p>
    <w:p>
      <w:pPr>
        <w:pStyle w:val="ListBullet"/>
      </w:pPr>
      <w:r>
        <w:t>故障演练</w:t>
      </w:r>
    </w:p>
    <w:p>
      <w:r>
        <w:t>依据：05_故障演练与SLO.txt</w:t>
      </w:r>
    </w:p>
    <w:p>
      <w:pPr>
        <w:pStyle w:val="Heading2"/>
      </w:pPr>
      <w:r>
        <w:t>14. 验收矩阵、追溯与待确认（至少 2400 字符）</w:t>
      </w:r>
    </w:p>
    <w:p>
      <w:pPr>
        <w:pStyle w:val="ListBullet"/>
      </w:pPr>
      <w:r>
        <w:t>需求场景映射</w:t>
      </w:r>
    </w:p>
    <w:p>
      <w:pPr>
        <w:pStyle w:val="ListBullet"/>
      </w:pPr>
      <w:r>
        <w:t>边界和并发</w:t>
      </w:r>
    </w:p>
    <w:p>
      <w:pPr>
        <w:pStyle w:val="ListBullet"/>
      </w:pPr>
      <w:r>
        <w:t>计算核对</w:t>
      </w:r>
    </w:p>
    <w:p>
      <w:pPr>
        <w:pStyle w:val="ListBullet"/>
      </w:pPr>
      <w:r>
        <w:t>供应商及留存未定</w:t>
      </w:r>
    </w:p>
    <w:p>
      <w:r>
        <w:t>依据：01_渠道业务研讨.docx、02_订单状态与竞争规则.md、03_库存支付接口契约.docx、04_订单与退款样例.xlsx、05_故障演练与SLO.txt、06_旧接口V1归档.md、07_页面及权限清单.md</w:t>
      </w:r>
    </w:p>
    <w:p>
      <w:pPr>
        <w:pStyle w:val="Heading1"/>
      </w:pPr>
      <w:r>
        <w:t>二、必须准确表达的事实</w:t>
      </w:r>
    </w:p>
    <w:p>
      <w:r>
        <w:t>F01 [critical] 第一期覆盖WEB/MINI_APP/STORE，40店，不含第三方电商</w:t>
      </w:r>
    </w:p>
    <w:p>
      <w:r>
        <w:t>依据：01_渠道业务研讨.docx / 1 业务边界</w:t>
      </w:r>
    </w:p>
    <w:p>
      <w:r>
        <w:t>F02 [critical] 订单一期只能一个履约地点但可多个包裹</w:t>
      </w:r>
    </w:p>
    <w:p>
      <w:r>
        <w:t>依据：01_渠道业务研讨.docx / 1 业务边界</w:t>
      </w:r>
    </w:p>
    <w:p>
      <w:r>
        <w:t>F03 [critical] 当前支付窗口15分钟，now等于expires_at拒绝新支付</w:t>
      </w:r>
    </w:p>
    <w:p>
      <w:r>
        <w:t>依据：02_订单状态与竞争规则.md / 2 库存预占与15分钟窗口</w:t>
      </w:r>
    </w:p>
    <w:p>
      <w:r>
        <w:t>F04 [critical] 时间存UTC毫秒、页面Asia/Shanghai</w:t>
      </w:r>
    </w:p>
    <w:p>
      <w:r>
        <w:t>依据：02_订单状态与竞争规则.md / 2 库存预占与15分钟窗口</w:t>
      </w:r>
    </w:p>
    <w:p>
      <w:r>
        <w:t>F05 [critical] 竞争由PENDING_PAYMENT+version原子更新裁决，不能只比paid_at</w:t>
      </w:r>
    </w:p>
    <w:p>
      <w:r>
        <w:t>依据：02_订单状态与竞争规则.md / 3 超时与支付成功竞争</w:t>
      </w:r>
    </w:p>
    <w:p>
      <w:r>
        <w:t>F06 [critical] 已取消订单迟到有效支付不能复活，保留PAID并原路全额补偿</w:t>
      </w:r>
    </w:p>
    <w:p>
      <w:r>
        <w:t>依据：02_订单状态与竞争规则.md / 3 超时与支付成功竞争</w:t>
      </w:r>
    </w:p>
    <w:p>
      <w:r>
        <w:t>F07 [critical] 幂等键24小时，相同键不同请求409，业务唯一键持续约束</w:t>
      </w:r>
    </w:p>
    <w:p>
      <w:r>
        <w:t>依据：03_库存支付接口契约.docx / 1 通用契约</w:t>
      </w:r>
    </w:p>
    <w:p>
      <w:r>
        <w:t>F08 [critical] 当前金额为人民币分整数，V1元小数不是现规范</w:t>
      </w:r>
    </w:p>
    <w:p>
      <w:r>
        <w:t>依据：03_库存支付接口契约.docx / 1 通用契约</w:t>
      </w:r>
    </w:p>
    <w:p>
      <w:r>
        <w:t>F09 [critical] 四组状态独立，已取消可同时已支付退款处理中</w:t>
      </w:r>
    </w:p>
    <w:p>
      <w:r>
        <w:t>依据：02_订单状态与竞争规则.md / 1 四组状态必须分开</w:t>
      </w:r>
    </w:p>
    <w:p>
      <w:r>
        <w:t>F10 [critical] 退款受理不是成功，未知结果不释放额度</w:t>
      </w:r>
    </w:p>
    <w:p>
      <w:r>
        <w:t>依据：03_库存支付接口契约.docx / 5 退款契约</w:t>
      </w:r>
    </w:p>
    <w:p>
      <w:r>
        <w:t>F11 [critical] 成功和处理中退款都占数量及金额额度</w:t>
      </w:r>
    </w:p>
    <w:p>
      <w:r>
        <w:t>依据：01_渠道业务研讨.docx / 4 履约和售后</w:t>
      </w:r>
    </w:p>
    <w:p>
      <w:r>
        <w:t>F12 [critical] 50000分仍规则审核，50001分需财务</w:t>
      </w:r>
    </w:p>
    <w:p>
      <w:r>
        <w:t>依据：01_渠道业务研讨.docx / 2 角色与责任</w:t>
      </w:r>
    </w:p>
    <w:p>
      <w:r>
        <w:t>F13 [critical] 部分退款不退运费，已全发货全退运费尚未定</w:t>
      </w:r>
    </w:p>
    <w:p>
      <w:r>
        <w:t>依据：01_渠道业务研讨.docx / 3 下单与优惠</w:t>
      </w:r>
    </w:p>
    <w:p>
      <w:r>
        <w:t>F14 [critical] 折扣最大余数法，余数相同line_id升序</w:t>
      </w:r>
    </w:p>
    <w:p>
      <w:r>
        <w:t>依据：01_渠道业务研讨.docx / 3 下单与优惠</w:t>
      </w:r>
    </w:p>
    <w:p>
      <w:r>
        <w:t>F15 [critical] PICKING后普通取消进入人工拦截，不直接释放库存</w:t>
      </w:r>
    </w:p>
    <w:p>
      <w:r>
        <w:t>依据：01_渠道业务研讨.docx / 4 履约和售后</w:t>
      </w:r>
    </w:p>
    <w:p>
      <w:r>
        <w:t>F16 [critical] 新建峰值300次每秒、P95 800ms有下游150ms与最多20SKU条件</w:t>
      </w:r>
    </w:p>
    <w:p>
      <w:r>
        <w:t>依据：05_故障演练与SLO.txt / 已批准的性能条件</w:t>
      </w:r>
    </w:p>
    <w:p>
      <w:r>
        <w:t>F17 [critical] 5次重试5/30/120/300/900秒后转人工，每10分钟对账</w:t>
      </w:r>
    </w:p>
    <w:p>
      <w:r>
        <w:t>依据：05_故障演练与SLO.txt / 补偿与事件投递</w:t>
      </w:r>
    </w:p>
    <w:p>
      <w:r>
        <w:t>F18 [critical] 三件8999分固定份额3000/3000/2999，不能超退9000</w:t>
      </w:r>
    </w:p>
    <w:p>
      <w:r>
        <w:t>依据：05_故障演练与SLO.txt / 分件退款正式补充规则</w:t>
      </w:r>
    </w:p>
    <w:p>
      <w:r>
        <w:t>F19 [critical] provider_txn_id全局唯一、金额不符不确认发货</w:t>
      </w:r>
    </w:p>
    <w:p>
      <w:r>
        <w:t>依据：03_库存支付接口契约.docx / 4 支付回调</w:t>
      </w:r>
    </w:p>
    <w:p>
      <w:r>
        <w:t>F20 [critical] RTO30分钟RPO5分钟为目标尚未经生产验证</w:t>
      </w:r>
    </w:p>
    <w:p>
      <w:r>
        <w:t>依据：05_故障演练与SLO.txt / 已批准的性能条件</w:t>
      </w:r>
    </w:p>
    <w:p>
      <w:pPr>
        <w:pStyle w:val="Heading1"/>
      </w:pPr>
      <w:r>
        <w:t>三、计算与统计口径</w:t>
      </w:r>
    </w:p>
    <w:p>
      <w:r>
        <w:t>C01 O-001优惠分摊：1000*[10000,20000,30000]/60000，先取[166,333,500]后余分给L01 = L01=167；L02=333；L03=500；L04=0 分</w:t>
      </w:r>
    </w:p>
    <w:p>
      <w:r>
        <w:t>C02 O-001实付与退款后余额：(10000-167)+(20000-333)+(30000-500)+600=59600;59600-19667=39933 = 实付59600；退L02为19667；余额39933 分</w:t>
      </w:r>
    </w:p>
    <w:p>
      <w:r>
        <w:t>C03 相同余数优惠排序：1*[100,100,100]/300，余数相同按A/B/C = A优惠1；B优惠0；C优惠0；实付299 分</w:t>
      </w:r>
    </w:p>
    <w:p>
      <w:r>
        <w:t>C04 O-003分件及可退额度：9999-1000=8999;8999=3000+3000+2999;8999-3000-3000=2999 = 最后可申请1件2999；RF-004和RF-005不可同时获准 分</w:t>
      </w:r>
    </w:p>
    <w:p>
      <w:r>
        <w:t>C05 30天月份99.9%可用性的不可用分钟预算：30*24*60*(1-0.999) = 43.2 分钟</w:t>
      </w:r>
    </w:p>
    <w:p>
      <w:pPr>
        <w:pStyle w:val="Heading1"/>
      </w:pPr>
      <w:r>
        <w:t>四、图表和原型</w:t>
      </w:r>
    </w:p>
    <w:p>
      <w:pPr>
        <w:pStyle w:val="Heading2"/>
      </w:pPr>
      <w:r>
        <w:t>下单预占、支付与履约主流程 / flowchart</w:t>
      </w:r>
    </w:p>
    <w:p>
      <w:pPr>
        <w:pStyle w:val="ListBullet"/>
      </w:pPr>
      <w:r>
        <w:t>预占全成全败</w:t>
      </w:r>
    </w:p>
    <w:p>
      <w:pPr>
        <w:pStyle w:val="ListBullet"/>
      </w:pPr>
      <w:r>
        <w:t>15分钟窗口</w:t>
      </w:r>
    </w:p>
    <w:p>
      <w:pPr>
        <w:pStyle w:val="ListBullet"/>
      </w:pPr>
      <w:r>
        <w:t>支付金额和签名校验</w:t>
      </w:r>
    </w:p>
    <w:p>
      <w:pPr>
        <w:pStyle w:val="ListBullet"/>
      </w:pPr>
      <w:r>
        <w:t>取消与补偿分支</w:t>
      </w:r>
    </w:p>
    <w:p>
      <w:pPr>
        <w:pStyle w:val="Heading2"/>
      </w:pPr>
      <w:r>
        <w:t>支付成功与超时关闭竞争时序 / flowchart</w:t>
      </w:r>
    </w:p>
    <w:p>
      <w:pPr>
        <w:pStyle w:val="ListBullet"/>
      </w:pPr>
      <w:r>
        <w:t>两种原子更新胜出情况</w:t>
      </w:r>
    </w:p>
    <w:p>
      <w:pPr>
        <w:pStyle w:val="ListBullet"/>
      </w:pPr>
      <w:r>
        <w:t>晚到支付退款补偿</w:t>
      </w:r>
    </w:p>
    <w:p>
      <w:pPr>
        <w:pStyle w:val="ListBullet"/>
      </w:pPr>
      <w:r>
        <w:t>已确认订单拒绝旧超时事件</w:t>
      </w:r>
    </w:p>
    <w:p>
      <w:pPr>
        <w:pStyle w:val="Heading2"/>
      </w:pPr>
      <w:r>
        <w:t>退款状态与额度占用 / flowchart</w:t>
      </w:r>
    </w:p>
    <w:p>
      <w:pPr>
        <w:pStyle w:val="ListBullet"/>
      </w:pPr>
      <w:r>
        <w:t>受理进入PROCESSING</w:t>
      </w:r>
    </w:p>
    <w:p>
      <w:pPr>
        <w:pStyle w:val="ListBullet"/>
      </w:pPr>
      <w:r>
        <w:t>成功才累计成功退款</w:t>
      </w:r>
    </w:p>
    <w:p>
      <w:pPr>
        <w:pStyle w:val="ListBullet"/>
      </w:pPr>
      <w:r>
        <w:t>未知结果查询</w:t>
      </w:r>
    </w:p>
    <w:p>
      <w:pPr>
        <w:pStyle w:val="ListBullet"/>
      </w:pPr>
      <w:r>
        <w:t>失败明确后释放额度</w:t>
      </w:r>
    </w:p>
    <w:p>
      <w:pPr>
        <w:pStyle w:val="Heading2"/>
      </w:pPr>
      <w:r>
        <w:t>客服订单详情与退款审核 / prototype</w:t>
      </w:r>
    </w:p>
    <w:p>
      <w:pPr>
        <w:pStyle w:val="ListBullet"/>
      </w:pPr>
      <w:r>
        <w:t>三组业务状态与逐笔退款并列</w:t>
      </w:r>
    </w:p>
    <w:p>
      <w:pPr>
        <w:pStyle w:val="ListBullet"/>
      </w:pPr>
      <w:r>
        <w:t>处理中额度显示</w:t>
      </w:r>
    </w:p>
    <w:p>
      <w:pPr>
        <w:pStyle w:val="ListBullet"/>
      </w:pPr>
      <w:r>
        <w:t>50000分审核边界</w:t>
      </w:r>
    </w:p>
    <w:p>
      <w:pPr>
        <w:pStyle w:val="ListBullet"/>
      </w:pPr>
      <w:r>
        <w:t>手机号和地址脱敏</w:t>
      </w:r>
    </w:p>
    <w:p>
      <w:pPr>
        <w:pStyle w:val="Heading1"/>
      </w:pPr>
      <w:r>
        <w:t>五、缺口与不得写成事实的结论</w:t>
      </w:r>
    </w:p>
    <w:p>
      <w:r>
        <w:t>全部发货后全退的运费：业务未决；预期：列独立待确认和分支影响，不在计算示例擅定。</w:t>
      </w:r>
    </w:p>
    <w:p>
      <w:r>
        <w:t>支付供应商、承运商、留存期限与增长量：纪要未选择或未估算；预期：保持平台契约；可提出评估项，不能声称已接入。</w:t>
      </w:r>
    </w:p>
    <w:p>
      <w:r>
        <w:t>历史全量迁移及自提纠错：只有兼容约束未定实施；预期：列待确认、记录假设，并与一期强制验收分开。</w:t>
      </w:r>
    </w:p>
    <w:p>
      <w:pPr>
        <w:pStyle w:val="ListBullet"/>
      </w:pPr>
      <w:r>
        <w:t>不得使用30分钟作为新订单支付窗口。</w:t>
      </w:r>
    </w:p>
    <w:p>
      <w:pPr>
        <w:pStyle w:val="ListBullet"/>
      </w:pPr>
      <w:r>
        <w:t>不得把支付回调晚到一律判失败、忽略真实入账或复活已取消订单。</w:t>
      </w:r>
    </w:p>
    <w:p>
      <w:pPr>
        <w:pStyle w:val="ListBullet"/>
      </w:pPr>
      <w:r>
        <w:t>不得用消息event_id去重替代业务幂等。</w:t>
      </w:r>
    </w:p>
    <w:p>
      <w:pPr>
        <w:pStyle w:val="ListBullet"/>
      </w:pPr>
      <w:r>
        <w:t>不得将退款accepted或超时未知写成SUCCEEDED。</w:t>
      </w:r>
    </w:p>
    <w:p>
      <w:pPr>
        <w:pStyle w:val="ListBullet"/>
      </w:pPr>
      <w:r>
        <w:t>不得为多包裹自动引入跨仓拆单。</w:t>
      </w:r>
    </w:p>
    <w:p>
      <w:pPr>
        <w:pStyle w:val="ListBullet"/>
      </w:pPr>
      <w:r>
        <w:t>不得指定尚未选择的真实支付商、承运商或数据保存期限。</w:t>
      </w:r>
    </w:p>
    <w:p>
      <w:pPr>
        <w:pStyle w:val="ListBullet"/>
      </w:pPr>
      <w:r>
        <w:t>不得把所有SLO推广到无条件的所有接口响应。</w:t>
      </w:r>
    </w:p>
    <w:p>
      <w:pPr>
        <w:pStyle w:val="Heading1"/>
      </w:pPr>
      <w:r>
        <w:t>六、人工语义与版式验收</w:t>
      </w:r>
    </w:p>
    <w:p>
      <w:pPr>
        <w:pStyle w:val="ListBullet"/>
      </w:pPr>
      <w:r>
        <w:t>正文25000～35000字符，含14个完整主题，不能重复阐述金额和状态凑字数。</w:t>
      </w:r>
    </w:p>
    <w:p>
      <w:pPr>
        <w:pStyle w:val="ListBullet"/>
      </w:pPr>
      <w:r>
        <w:t>至少给出20条可执行验收用例，覆盖三种支付竞争、两个幂等层次、库存丢响应、退款未知、消息乱序、权限越界及运费未定。</w:t>
      </w:r>
    </w:p>
    <w:p>
      <w:pPr>
        <w:pStyle w:val="ListBullet"/>
      </w:pPr>
      <w:r>
        <w:t>四组状态字段、所有边界金额、15分钟包含关系在接口、流程、数据表和测试一致。</w:t>
      </w:r>
    </w:p>
    <w:p>
      <w:pPr>
        <w:pStyle w:val="ListBullet"/>
      </w:pPr>
      <w:r>
        <w:t>五组计算均正确；未知结果保留业务事实及补偿，而非标成成功或失败。</w:t>
      </w:r>
    </w:p>
    <w:p>
      <w:pPr>
        <w:pStyle w:val="ListBullet"/>
      </w:pPr>
      <w:r>
        <w:t>接口字段类型、枚举、唯一性、错误码和重试条件具体可实现，并注明来源。</w:t>
      </w:r>
    </w:p>
    <w:p>
      <w:pPr>
        <w:pStyle w:val="ListBullet"/>
      </w:pPr>
      <w:r>
        <w:t>Word长字段表跨页可读、流程图无裁切、原型按钮与角色权限一致。</w:t>
      </w:r>
    </w:p>
    <w:p>
      <w:pPr>
        <w:pStyle w:val="ListBullet"/>
      </w:pPr>
      <w:r>
        <w:t>章节层级与目录一致，标题不孤悬；页码在 Word/WPS 更新后核对。</w:t>
      </w:r>
    </w:p>
    <w:p>
      <w:pPr>
        <w:pStyle w:val="ListBullet"/>
      </w:pPr>
      <w:r>
        <w:t>表头跨页重复，表格和图片不超出页边距；正文、标题、表格使用一致的中文字体。</w:t>
      </w:r>
    </w:p>
    <w:p>
      <w:pPr>
        <w:pStyle w:val="ListBullet"/>
      </w:pPr>
      <w:r>
        <w:t>流程图分支、回路、例外条件与正文一致；缩放到实际页面后图中文字清晰。</w:t>
      </w:r>
    </w:p>
    <w:p>
      <w:pPr>
        <w:pStyle w:val="ListBullet"/>
      </w:pPr>
      <w:r>
        <w:t>模型建议与已证实事实明确区分，重复段落和空泛扩写不能用于补足字数。</w:t>
      </w:r>
    </w:p>
    <w:p>
      <w:pPr>
        <w:pStyle w:val="ListBullet"/>
      </w:pPr>
      <w:r>
        <w:t>达到字数或命中关键词不代表语义验收通过；逐项确认事实、关系、缺口与来源。</w:t>
      </w:r>
    </w:p>
    <w:p>
      <w:pPr>
        <w:pStyle w:val="Heading1"/>
      </w:pPr>
      <w:r>
        <w:t>七、执行与过程验收</w:t>
      </w:r>
    </w:p>
    <w:p>
      <w:r>
        <w:t>{</w:t>
        <w:br/>
        <w:t xml:space="preserve">  "web_mode": "disabled",</w:t>
        <w:br/>
        <w:t xml:space="preserve">  "local_round_limit": 3,</w:t>
        <w:br/>
        <w:t xml:space="preserve">  "web_round_limit": 2,</w:t>
        <w:br/>
        <w:t xml:space="preserve">  "notes": [</w:t>
        <w:br/>
        <w:t xml:space="preserve">    "所有组织、人员、交易、产品及规则均为虚构测试数据。",</w:t>
        <w:br/>
        <w:t xml:space="preserve">    "本地研究最多 3 轮，每轮可进行多次有界工具调用；该用例禁用联网，必须记录 Tavily 不可用并进入明确标注的建议补全，不能伪称搜索成功。",</w:t>
        <w:br/>
        <w:t xml:space="preserve">    "只向被测智能体上传 sources 目录并发送 prompt；expected 为独立验收参考，不能加入资料包。",</w:t>
        <w:br/>
        <w:t xml:space="preserve">    "正文有效字符数：汉字、英文字母、数字逐字符计数，计入表格，不计封面、目录、标题、页眉页脚、空白和标点。页数只作观察，不作字数替代；字数达标不能替代事实正确与覆盖完整，不得重复段落或表格凑数。"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