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全渠道订单中台业务研讨（2026-08-03 定稿）</w:t>
      </w:r>
    </w:p>
    <w:p>
      <w:pPr>
        <w:pStyle w:val="Heading1"/>
      </w:pPr>
      <w:r>
        <w:t>1 业务边界</w:t>
      </w:r>
    </w:p>
    <w:p>
      <w:r>
        <w:t>星屿生活是虚构家居品牌，经营自营Web商城、小程序和40家直营门店。订单中台一期统一这些自营渠道，不接第三方电商平台，不处理跨境税费和加盟商结算。商品、价格和促销来自上游服务；中台保存下单快照，不允许后续商品改价倒改历史订单。</w:t>
      </w:r>
    </w:p>
    <w:p>
      <w:r>
        <w:t>销售单位为件，金额统一为人民币分整数。订单下单时记录渠道与门店；Web和小程序订单由中心仓发货，门店自提仅限有库存的指定门店。一个订单一期只允许一个履约地点，不自动跨仓拆单；订单可分多包裹发货。</w:t>
      </w:r>
    </w:p>
    <w:p>
      <w:pPr>
        <w:pStyle w:val="Heading1"/>
      </w:pPr>
      <w:r>
        <w:t>2 角色与责任</w:t>
      </w:r>
    </w:p>
    <w:p>
      <w:r>
        <w:t>消费者创建订单、在未进入履约锁定时取消、提交退款申请和查看进度。客服可查看脱敏订单、代客发起取消或退款并填写理由，不能直接确认退款成功。财务审核单笔退款大于50000分的申请，低于或等于50000分由规则审核；质量原因退款不因此跳过金额权限。</w:t>
      </w:r>
    </w:p>
    <w:p>
      <w:r>
        <w:t>仓库接收拣货任务、锁定履约、登记包裹和签收事件；门店只能处理本店自提。运营管理商品销售策略，不直接修改库存余额。管理员配置权限不默认获得客户完整手机号与地址查看权。</w:t>
      </w:r>
    </w:p>
    <w:p>
      <w:pPr>
        <w:pStyle w:val="Heading1"/>
      </w:pPr>
      <w:r>
        <w:t>3 下单与优惠</w:t>
      </w:r>
    </w:p>
    <w:p>
      <w:r>
        <w:t>订单总价=商品行实付之和+运费；商品行实付由原价金额减优惠分摊得到。可参与的订单级优惠按参与行原价金额占比分摊，以分为单位使用最大余数法：先取整数下界，再按小数余数降序补余分；余数相同按line_id字典序升序。行退款采用已保存的行实付，不重新执行当前促销。</w:t>
      </w:r>
    </w:p>
    <w:p>
      <w:r>
        <w:t>试点不允许优惠超过参与商品总额；赠品原价和实付为0，不参与分摊、不产生可退金额。仅部分商品退款时不退原运费；全单未发货取消退款退全部实付含运费。已全部发货后全退是否退运费尚未确定，不能默认为必退或不退。</w:t>
      </w:r>
    </w:p>
    <w:p>
      <w:pPr>
        <w:pStyle w:val="Heading1"/>
      </w:pPr>
      <w:r>
        <w:t>4 履约和售后</w:t>
      </w:r>
    </w:p>
    <w:p>
      <w:r>
        <w:t>履约锁定之前允许普通取消；一旦进入PICKING，取消请求应进入人工拦截流程，不能直接释放库存和宣告取消成功。整单付款成功才允许出库。门店自提核销需有效核销码和门店权限；核销码不得出现在普通列表明文。</w:t>
      </w:r>
    </w:p>
    <w:p>
      <w:r>
        <w:t>一期允许一个订单多个退款申请，但同一订单行的累计已成功退款数量不得超过已购数量，累计已成功退款金额不得超过该行实付；同时处理中退款必须占用可退额度，防止并发超退。退货物流和质检由外部售后系统处理，中台接收其已确认可退款事件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