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库存、支付和退款接口契约 V2.1（2026-08-05）</w:t>
      </w:r>
    </w:p>
    <w:p>
      <w:pPr>
        <w:pStyle w:val="Heading1"/>
      </w:pPr>
      <w:r>
        <w:t>1 通用契约</w:t>
      </w:r>
    </w:p>
    <w:p>
      <w:r>
        <w:t>当前服务API版本为/v2。变更操作需要Idempotency-Key；相同租户、接口路径和幂等键在24小时内重试时返回首次执行结果。相同键不同规范化请求体返回409 IDEMPOTENCY_CONFLICT，不复用旧结果也不执行新业务。24小时后键缓存可以过期，但支付尝试号、退款号等业务唯一约束仍长期有效。</w:t>
      </w:r>
    </w:p>
    <w:p>
      <w:r>
        <w:t>统一错误响应包含code、message、retryable、trace_id。认证失败401，权限不足403，资源不存在404，业务状态冲突409，字段不合法422，依赖暂不可用503。请求金额采用整数分；不得从浮点金额反推分值。</w:t>
      </w:r>
    </w:p>
    <w:p>
      <w:pPr>
        <w:pStyle w:val="Heading1"/>
      </w:pPr>
      <w:r>
        <w:t>2 订单创建 POST /v2/orders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</w:tcPr>
          <w:p>
            <w:r>
              <w:t>字段</w:t>
            </w:r>
          </w:p>
        </w:tc>
        <w:tc>
          <w:tcPr>
            <w:tcW w:type="dxa" w:w="2353"/>
          </w:tcPr>
          <w:p>
            <w:r>
              <w:t>类型</w:t>
            </w:r>
          </w:p>
        </w:tc>
        <w:tc>
          <w:tcPr>
            <w:tcW w:type="dxa" w:w="2353"/>
          </w:tcPr>
          <w:p>
            <w:r>
              <w:t>必填</w:t>
            </w:r>
          </w:p>
        </w:tc>
        <w:tc>
          <w:tcPr>
            <w:tcW w:type="dxa" w:w="2353"/>
          </w:tcPr>
          <w:p>
            <w:r>
              <w:t>约束</w:t>
            </w:r>
          </w:p>
        </w:tc>
      </w:tr>
      <w:tr>
        <w:tc>
          <w:tcPr>
            <w:tcW w:type="dxa" w:w="2353"/>
          </w:tcPr>
          <w:p>
            <w:r>
              <w:t>client_order_no</w:t>
            </w:r>
          </w:p>
        </w:tc>
        <w:tc>
          <w:tcPr>
            <w:tcW w:type="dxa" w:w="2353"/>
          </w:tcPr>
          <w:p>
            <w:r>
              <w:t>string(64)</w:t>
            </w:r>
          </w:p>
        </w:tc>
        <w:tc>
          <w:tcPr>
            <w:tcW w:type="dxa" w:w="2353"/>
          </w:tcPr>
          <w:p>
            <w:r>
              <w:t>是</w:t>
            </w:r>
          </w:p>
        </w:tc>
        <w:tc>
          <w:tcPr>
            <w:tcW w:type="dxa" w:w="2353"/>
          </w:tcPr>
          <w:p>
            <w:r>
              <w:t>同租户+渠道唯一</w:t>
            </w:r>
          </w:p>
        </w:tc>
      </w:tr>
      <w:tr>
        <w:tc>
          <w:tcPr>
            <w:tcW w:type="dxa" w:w="2353"/>
          </w:tcPr>
          <w:p>
            <w:r>
              <w:t>channel</w:t>
            </w:r>
          </w:p>
        </w:tc>
        <w:tc>
          <w:tcPr>
            <w:tcW w:type="dxa" w:w="2353"/>
          </w:tcPr>
          <w:p>
            <w:r>
              <w:t>enum</w:t>
            </w:r>
          </w:p>
        </w:tc>
        <w:tc>
          <w:tcPr>
            <w:tcW w:type="dxa" w:w="2353"/>
          </w:tcPr>
          <w:p>
            <w:r>
              <w:t>是</w:t>
            </w:r>
          </w:p>
        </w:tc>
        <w:tc>
          <w:tcPr>
            <w:tcW w:type="dxa" w:w="2353"/>
          </w:tcPr>
          <w:p>
            <w:r>
              <w:t>WEB/MINI_APP/STORE</w:t>
            </w:r>
          </w:p>
        </w:tc>
      </w:tr>
      <w:tr>
        <w:tc>
          <w:tcPr>
            <w:tcW w:type="dxa" w:w="2353"/>
          </w:tcPr>
          <w:p>
            <w:r>
              <w:t>fulfillment_type</w:t>
            </w:r>
          </w:p>
        </w:tc>
        <w:tc>
          <w:tcPr>
            <w:tcW w:type="dxa" w:w="2353"/>
          </w:tcPr>
          <w:p>
            <w:r>
              <w:t>enum</w:t>
            </w:r>
          </w:p>
        </w:tc>
        <w:tc>
          <w:tcPr>
            <w:tcW w:type="dxa" w:w="2353"/>
          </w:tcPr>
          <w:p>
            <w:r>
              <w:t>是</w:t>
            </w:r>
          </w:p>
        </w:tc>
        <w:tc>
          <w:tcPr>
            <w:tcW w:type="dxa" w:w="2353"/>
          </w:tcPr>
          <w:p>
            <w:r>
              <w:t>DELIVERY/PICKUP</w:t>
            </w:r>
          </w:p>
        </w:tc>
      </w:tr>
      <w:tr>
        <w:tc>
          <w:tcPr>
            <w:tcW w:type="dxa" w:w="2353"/>
          </w:tcPr>
          <w:p>
            <w:r>
              <w:t>location_id</w:t>
            </w:r>
          </w:p>
        </w:tc>
        <w:tc>
          <w:tcPr>
            <w:tcW w:type="dxa" w:w="2353"/>
          </w:tcPr>
          <w:p>
            <w:r>
              <w:t>string(32)</w:t>
            </w:r>
          </w:p>
        </w:tc>
        <w:tc>
          <w:tcPr>
            <w:tcW w:type="dxa" w:w="2353"/>
          </w:tcPr>
          <w:p>
            <w:r>
              <w:t>是</w:t>
            </w:r>
          </w:p>
        </w:tc>
        <w:tc>
          <w:tcPr>
            <w:tcW w:type="dxa" w:w="2353"/>
          </w:tcPr>
          <w:p>
            <w:r>
              <w:t>单个中心仓或指定门店</w:t>
            </w:r>
          </w:p>
        </w:tc>
      </w:tr>
      <w:tr>
        <w:tc>
          <w:tcPr>
            <w:tcW w:type="dxa" w:w="2353"/>
          </w:tcPr>
          <w:p>
            <w:r>
              <w:t>lines[].line_id</w:t>
            </w:r>
          </w:p>
        </w:tc>
        <w:tc>
          <w:tcPr>
            <w:tcW w:type="dxa" w:w="2353"/>
          </w:tcPr>
          <w:p>
            <w:r>
              <w:t>string(32)</w:t>
            </w:r>
          </w:p>
        </w:tc>
        <w:tc>
          <w:tcPr>
            <w:tcW w:type="dxa" w:w="2353"/>
          </w:tcPr>
          <w:p>
            <w:r>
              <w:t>是</w:t>
            </w:r>
          </w:p>
        </w:tc>
        <w:tc>
          <w:tcPr>
            <w:tcW w:type="dxa" w:w="2353"/>
          </w:tcPr>
          <w:p>
            <w:r>
              <w:t>订单内唯一，稳定排序</w:t>
            </w:r>
          </w:p>
        </w:tc>
      </w:tr>
      <w:tr>
        <w:tc>
          <w:tcPr>
            <w:tcW w:type="dxa" w:w="2353"/>
          </w:tcPr>
          <w:p>
            <w:r>
              <w:t>lines[].sku_id</w:t>
            </w:r>
          </w:p>
        </w:tc>
        <w:tc>
          <w:tcPr>
            <w:tcW w:type="dxa" w:w="2353"/>
          </w:tcPr>
          <w:p>
            <w:r>
              <w:t>string(32)</w:t>
            </w:r>
          </w:p>
        </w:tc>
        <w:tc>
          <w:tcPr>
            <w:tcW w:type="dxa" w:w="2353"/>
          </w:tcPr>
          <w:p>
            <w:r>
              <w:t>是</w:t>
            </w:r>
          </w:p>
        </w:tc>
        <w:tc>
          <w:tcPr>
            <w:tcW w:type="dxa" w:w="2353"/>
          </w:tcPr>
          <w:p>
            <w:r>
              <w:t>已上架SKU</w:t>
            </w:r>
          </w:p>
        </w:tc>
      </w:tr>
      <w:tr>
        <w:tc>
          <w:tcPr>
            <w:tcW w:type="dxa" w:w="2353"/>
          </w:tcPr>
          <w:p>
            <w:r>
              <w:t>lines[].quantity</w:t>
            </w:r>
          </w:p>
        </w:tc>
        <w:tc>
          <w:tcPr>
            <w:tcW w:type="dxa" w:w="2353"/>
          </w:tcPr>
          <w:p>
            <w:r>
              <w:t>int</w:t>
            </w:r>
          </w:p>
        </w:tc>
        <w:tc>
          <w:tcPr>
            <w:tcW w:type="dxa" w:w="2353"/>
          </w:tcPr>
          <w:p>
            <w:r>
              <w:t>是</w:t>
            </w:r>
          </w:p>
        </w:tc>
        <w:tc>
          <w:tcPr>
            <w:tcW w:type="dxa" w:w="2353"/>
          </w:tcPr>
          <w:p>
            <w:r>
              <w:t>1～99</w:t>
            </w:r>
          </w:p>
        </w:tc>
      </w:tr>
      <w:tr>
        <w:tc>
          <w:tcPr>
            <w:tcW w:type="dxa" w:w="2353"/>
          </w:tcPr>
          <w:p>
            <w:r>
              <w:t>lines[].unit_price_fen</w:t>
            </w:r>
          </w:p>
        </w:tc>
        <w:tc>
          <w:tcPr>
            <w:tcW w:type="dxa" w:w="2353"/>
          </w:tcPr>
          <w:p>
            <w:r>
              <w:t>int64</w:t>
            </w:r>
          </w:p>
        </w:tc>
        <w:tc>
          <w:tcPr>
            <w:tcW w:type="dxa" w:w="2353"/>
          </w:tcPr>
          <w:p>
            <w:r>
              <w:t>是</w:t>
            </w:r>
          </w:p>
        </w:tc>
        <w:tc>
          <w:tcPr>
            <w:tcW w:type="dxa" w:w="2353"/>
          </w:tcPr>
          <w:p>
            <w:r>
              <w:t>非负，签名价格快照</w:t>
            </w:r>
          </w:p>
        </w:tc>
      </w:tr>
      <w:tr>
        <w:tc>
          <w:tcPr>
            <w:tcW w:type="dxa" w:w="2353"/>
          </w:tcPr>
          <w:p>
            <w:r>
              <w:t>promotion_snapshot_id</w:t>
            </w:r>
          </w:p>
        </w:tc>
        <w:tc>
          <w:tcPr>
            <w:tcW w:type="dxa" w:w="2353"/>
          </w:tcPr>
          <w:p>
            <w:r>
              <w:t>string(64)</w:t>
            </w:r>
          </w:p>
        </w:tc>
        <w:tc>
          <w:tcPr>
            <w:tcW w:type="dxa" w:w="2353"/>
          </w:tcPr>
          <w:p>
            <w:r>
              <w:t>否</w:t>
            </w:r>
          </w:p>
        </w:tc>
        <w:tc>
          <w:tcPr>
            <w:tcW w:type="dxa" w:w="2353"/>
          </w:tcPr>
          <w:p>
            <w:r>
              <w:t>用于重现优惠</w:t>
            </w:r>
          </w:p>
        </w:tc>
      </w:tr>
      <w:tr>
        <w:tc>
          <w:tcPr>
            <w:tcW w:type="dxa" w:w="2353"/>
          </w:tcPr>
          <w:p>
            <w:r>
              <w:t>shipping_fee_fen</w:t>
            </w:r>
          </w:p>
        </w:tc>
        <w:tc>
          <w:tcPr>
            <w:tcW w:type="dxa" w:w="2353"/>
          </w:tcPr>
          <w:p>
            <w:r>
              <w:t>int64</w:t>
            </w:r>
          </w:p>
        </w:tc>
        <w:tc>
          <w:tcPr>
            <w:tcW w:type="dxa" w:w="2353"/>
          </w:tcPr>
          <w:p>
            <w:r>
              <w:t>是</w:t>
            </w:r>
          </w:p>
        </w:tc>
        <w:tc>
          <w:tcPr>
            <w:tcW w:type="dxa" w:w="2353"/>
          </w:tcPr>
          <w:p>
            <w:r>
              <w:t>非负整数</w:t>
            </w:r>
          </w:p>
        </w:tc>
      </w:tr>
      <w:tr>
        <w:tc>
          <w:tcPr>
            <w:tcW w:type="dxa" w:w="2353"/>
          </w:tcPr>
          <w:p>
            <w:r>
              <w:t>address_token</w:t>
            </w:r>
          </w:p>
        </w:tc>
        <w:tc>
          <w:tcPr>
            <w:tcW w:type="dxa" w:w="2353"/>
          </w:tcPr>
          <w:p>
            <w:r>
              <w:t>string(128)</w:t>
            </w:r>
          </w:p>
        </w:tc>
        <w:tc>
          <w:tcPr>
            <w:tcW w:type="dxa" w:w="2353"/>
          </w:tcPr>
          <w:p>
            <w:r>
              <w:t>配送必填</w:t>
            </w:r>
          </w:p>
        </w:tc>
        <w:tc>
          <w:tcPr>
            <w:tcW w:type="dxa" w:w="2353"/>
          </w:tcPr>
          <w:p>
            <w:r>
              <w:t>地址服务令牌，不是明文全地址</w:t>
            </w:r>
          </w:p>
        </w:tc>
      </w:tr>
      <w:tr>
        <w:tc>
          <w:tcPr>
            <w:tcW w:type="dxa" w:w="2353"/>
          </w:tcPr>
          <w:p>
            <w:r>
              <w:t>pickup_store_id</w:t>
            </w:r>
          </w:p>
        </w:tc>
        <w:tc>
          <w:tcPr>
            <w:tcW w:type="dxa" w:w="2353"/>
          </w:tcPr>
          <w:p>
            <w:r>
              <w:t>string(32)</w:t>
            </w:r>
          </w:p>
        </w:tc>
        <w:tc>
          <w:tcPr>
            <w:tcW w:type="dxa" w:w="2353"/>
          </w:tcPr>
          <w:p>
            <w:r>
              <w:t>自提必填</w:t>
            </w:r>
          </w:p>
        </w:tc>
        <w:tc>
          <w:tcPr>
            <w:tcW w:type="dxa" w:w="2353"/>
          </w:tcPr>
          <w:p>
            <w:r>
              <w:t>须等于location_id</w:t>
            </w:r>
          </w:p>
        </w:tc>
      </w:tr>
    </w:tbl>
    <w:p>
      <w:pPr>
        <w:pStyle w:val="Heading1"/>
      </w:pPr>
      <w:r>
        <w:t>3 库存契约</w:t>
      </w:r>
    </w:p>
    <w:p>
      <w:r>
        <w:t>POST /v2/reservations 输入reservation_id、order_id、location_id、[{sku_id,quantity}]、expires_at；成功返回reservation_id与RESERVED。相同reservation_id相同内容重试返回原结果；内容不同返回冲突。多行预占须全成或全败，不能向订单返回部分成功。</w:t>
      </w:r>
    </w:p>
    <w:p>
      <w:r>
        <w:t>POST /v2/reservations/{id}/commit 在支付确认后转为已占用，release释放未出库占用；两者冲突由库存状态机拒绝并带当前状态。若扣减确认失败，订单保持已付款事实并进入履约异常，由补偿查询库存现态，不能盲目再预占一份。</w:t>
      </w:r>
    </w:p>
    <w:p>
      <w:pPr>
        <w:pStyle w:val="Heading1"/>
      </w:pPr>
      <w:r>
        <w:t>4 支付回调</w:t>
      </w:r>
    </w:p>
    <w:p>
      <w:r>
        <w:t>POST /v2/payment-events 字段：event_id、order_id、payment_attempt_id、provider_txn_id、amount_fen、currency、paid_at、signature。currency一期只能CNY；成功金额必须等于订单应付金额。签名正确但金额不符进入人工对账，不得确认可发货。provider_txn_id全局唯一，不允许关联两笔业务订单。</w:t>
      </w:r>
    </w:p>
    <w:p>
      <w:r>
        <w:t>支付结果查询可供补偿，未收到回调不等于支付失败；超时状态按已确认支付渠道结果处理。敏感签名、认证凭据不写日志；保留trace_id用于追踪。</w:t>
      </w:r>
    </w:p>
    <w:p>
      <w:pPr>
        <w:pStyle w:val="Heading1"/>
      </w:pPr>
      <w:r>
        <w:t>5 退款契约</w:t>
      </w:r>
    </w:p>
    <w:p>
      <w:r>
        <w:t>POST /v2/refunds 输入refund_request_id、order_id、payment_attempt_id、lines[{line_id,quantity,amount_fen}]、shipping_refund_fen、reason_code。refund_request_id为业务幂等键。处理中退款先占用数量和金额额度，明确失败才释放；超时未知不可马上释放，必须查询渠道结果。</w:t>
      </w:r>
    </w:p>
    <w:p>
      <w:r>
        <w:t>退款渠道响应accepted只表示已受理，申请进入PROCESSING；仅经过已验证的成功回调或成功结果查询才进入SUCCEEDED并更新累计退款额。回调使用refund_event_id去重，退款失败原因需要可供客服理解。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