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砺川精工制造质量追溯需求规格说明书 · 交付预期与验收</w:t>
      </w:r>
    </w:p>
    <w:p>
      <w:r>
        <w:t>本文件供测试人员核对成品，不上传资料库。它是验收蓝图，不是已经生成的完整业务文档。</w:t>
      </w:r>
    </w:p>
    <w:p>
      <w:r>
        <w:t>目标文件：砺川精工制造质量追溯平台需求规格说明书.docx；类型：srs；正文目标：35,000—45,000 字符。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p>
      <w:pPr>
        <w:pStyle w:val="Heading1"/>
      </w:pPr>
      <w:r>
        <w:t>一、预期目录与各章展开程度</w:t>
      </w:r>
    </w:p>
    <w:p>
      <w:pPr>
        <w:pStyle w:val="Heading2"/>
      </w:pPr>
      <w:r>
        <w:t>1. 引言、业务目标与适用范围（至少 1500 字符）</w:t>
      </w:r>
    </w:p>
    <w:p>
      <w:pPr>
        <w:pStyle w:val="ListBullet"/>
      </w:pPr>
      <w:r>
        <w:t>一期常州一厂</w:t>
      </w:r>
    </w:p>
    <w:p>
      <w:pPr>
        <w:pStyle w:val="ListBullet"/>
      </w:pPr>
      <w:r>
        <w:t>两产品两生产线</w:t>
      </w:r>
    </w:p>
    <w:p>
      <w:pPr>
        <w:pStyle w:val="ListBullet"/>
      </w:pPr>
      <w:r>
        <w:t>排除委外合批及多厂</w:t>
      </w:r>
    </w:p>
    <w:p>
      <w:r>
        <w:t>依据：01_制造质量调研.docx</w:t>
      </w:r>
    </w:p>
    <w:p>
      <w:pPr>
        <w:pStyle w:val="Heading2"/>
      </w:pPr>
      <w:r>
        <w:t>2. 角色、权限与审计职责（至少 1800 字符）</w:t>
      </w:r>
    </w:p>
    <w:p>
      <w:pPr>
        <w:pStyle w:val="ListBullet"/>
      </w:pPr>
      <w:r>
        <w:t>操作检验复核放行隔离</w:t>
      </w:r>
    </w:p>
    <w:p>
      <w:pPr>
        <w:pStyle w:val="ListBullet"/>
      </w:pPr>
      <w:r>
        <w:t>租户客户权限</w:t>
      </w:r>
    </w:p>
    <w:p>
      <w:pPr>
        <w:pStyle w:val="ListBullet"/>
      </w:pPr>
      <w:r>
        <w:t>管理员发布规则</w:t>
      </w:r>
    </w:p>
    <w:p>
      <w:r>
        <w:t>依据：01_制造质量调研.docx、02_追溯数据与样例.xlsx、04_事件与接口契约.md</w:t>
      </w:r>
    </w:p>
    <w:p>
      <w:pPr>
        <w:pStyle w:val="Heading2"/>
      </w:pPr>
      <w:r>
        <w:t>3. 领域实体与数据字典（至少 4200 字符）</w:t>
      </w:r>
    </w:p>
    <w:p>
      <w:pPr>
        <w:pStyle w:val="ListBullet"/>
      </w:pPr>
      <w:r>
        <w:t>至少60不同字段</w:t>
      </w:r>
    </w:p>
    <w:p>
      <w:pPr>
        <w:pStyle w:val="ListBullet"/>
      </w:pPr>
      <w:r>
        <w:t>九类实体关系</w:t>
      </w:r>
    </w:p>
    <w:p>
      <w:pPr>
        <w:pStyle w:val="ListBullet"/>
      </w:pPr>
      <w:r>
        <w:t>必填条件与数值精度</w:t>
      </w:r>
    </w:p>
    <w:p>
      <w:pPr>
        <w:pStyle w:val="ListBullet"/>
      </w:pPr>
      <w:r>
        <w:t>不同status语义</w:t>
      </w:r>
    </w:p>
    <w:p>
      <w:r>
        <w:t>依据：02_追溯数据与样例.xlsx</w:t>
      </w:r>
    </w:p>
    <w:p>
      <w:pPr>
        <w:pStyle w:val="Heading2"/>
      </w:pPr>
      <w:r>
        <w:t>4. 工单、来料与投料采集（至少 2200 字符）</w:t>
      </w:r>
    </w:p>
    <w:p>
      <w:pPr>
        <w:pStyle w:val="ListBullet"/>
      </w:pPr>
      <w:r>
        <w:t>ERP边界</w:t>
      </w:r>
    </w:p>
    <w:p>
      <w:pPr>
        <w:pStyle w:val="ListBullet"/>
      </w:pPr>
      <w:r>
        <w:t>多对多投料</w:t>
      </w:r>
    </w:p>
    <w:p>
      <w:pPr>
        <w:pStyle w:val="ListBullet"/>
      </w:pPr>
      <w:r>
        <w:t>单位校验</w:t>
      </w:r>
    </w:p>
    <w:p>
      <w:pPr>
        <w:pStyle w:val="ListBullet"/>
      </w:pPr>
      <w:r>
        <w:t>幂等与缺失引用</w:t>
      </w:r>
    </w:p>
    <w:p>
      <w:r>
        <w:t>依据：01_制造质量调研.docx、02_追溯数据与样例.xlsx、04_事件与接口契约.md</w:t>
      </w:r>
    </w:p>
    <w:p>
      <w:pPr>
        <w:pStyle w:val="Heading2"/>
      </w:pPr>
      <w:r>
        <w:t>5. 工序记录与规则版本（至少 2300 字符）</w:t>
      </w:r>
    </w:p>
    <w:p>
      <w:pPr>
        <w:pStyle w:val="ListBullet"/>
      </w:pPr>
      <w:r>
        <w:t>actual_start冻结版本</w:t>
      </w:r>
    </w:p>
    <w:p>
      <w:pPr>
        <w:pStyle w:val="ListBullet"/>
      </w:pPr>
      <w:r>
        <w:t>温度时间扭矩闭区间</w:t>
      </w:r>
    </w:p>
    <w:p>
      <w:pPr>
        <w:pStyle w:val="ListBullet"/>
      </w:pPr>
      <w:r>
        <w:t>缺测和校准</w:t>
      </w:r>
    </w:p>
    <w:p>
      <w:pPr>
        <w:pStyle w:val="ListBullet"/>
      </w:pPr>
      <w:r>
        <w:t>V2历史</w:t>
      </w:r>
    </w:p>
    <w:p>
      <w:r>
        <w:t>依据：02_追溯数据与样例.xlsx、03_质量规则V3.docx、06_历史规则V2归档.md</w:t>
      </w:r>
    </w:p>
    <w:p>
      <w:pPr>
        <w:pStyle w:val="Heading2"/>
      </w:pPr>
      <w:r>
        <w:t>6. 抽样、检验与复核（至少 2600 字符）</w:t>
      </w:r>
    </w:p>
    <w:p>
      <w:pPr>
        <w:pStyle w:val="ListBullet"/>
      </w:pPr>
      <w:r>
        <w:t>500/501/1200边界</w:t>
      </w:r>
    </w:p>
    <w:p>
      <w:pPr>
        <w:pStyle w:val="ListBullet"/>
      </w:pPr>
      <w:r>
        <w:t>Ac/Re与缺陷率</w:t>
      </w:r>
    </w:p>
    <w:p>
      <w:pPr>
        <w:pStyle w:val="ListBullet"/>
      </w:pPr>
      <w:r>
        <w:t>INCOMPLETE</w:t>
      </w:r>
    </w:p>
    <w:p>
      <w:pPr>
        <w:pStyle w:val="ListBullet"/>
      </w:pPr>
      <w:r>
        <w:t>留样与复检</w:t>
      </w:r>
    </w:p>
    <w:p>
      <w:r>
        <w:t>依据：02_追溯数据与样例.xlsx、03_质量规则V3.docx、05_车间异常纪要.txt</w:t>
      </w:r>
    </w:p>
    <w:p>
      <w:pPr>
        <w:pStyle w:val="Heading2"/>
      </w:pPr>
      <w:r>
        <w:t>7. 冻结、放行与质量处置（至少 2600 字符）</w:t>
      </w:r>
    </w:p>
    <w:p>
      <w:pPr>
        <w:pStyle w:val="ListBullet"/>
      </w:pPr>
      <w:r>
        <w:t>同事务冻结</w:t>
      </w:r>
    </w:p>
    <w:p>
      <w:pPr>
        <w:pStyle w:val="ListBullet"/>
      </w:pPr>
      <w:r>
        <w:t>正式放行独立</w:t>
      </w:r>
    </w:p>
    <w:p>
      <w:pPr>
        <w:pStyle w:val="ListBullet"/>
      </w:pPr>
      <w:r>
        <w:t>返工报废让步</w:t>
      </w:r>
    </w:p>
    <w:p>
      <w:pPr>
        <w:pStyle w:val="ListBullet"/>
      </w:pPr>
      <w:r>
        <w:t>部分解冻拆分</w:t>
      </w:r>
    </w:p>
    <w:p>
      <w:r>
        <w:t>依据：01_制造质量调研.docx、03_质量规则V3.docx、07_追溯页面与角色.md</w:t>
      </w:r>
    </w:p>
    <w:p>
      <w:pPr>
        <w:pStyle w:val="Heading2"/>
      </w:pPr>
      <w:r>
        <w:t>8. 拆分谱系与数量守恒（至少 2400 字符）</w:t>
      </w:r>
    </w:p>
    <w:p>
      <w:pPr>
        <w:pStyle w:val="ListBullet"/>
      </w:pPr>
      <w:r>
        <w:t>有向无环</w:t>
      </w:r>
    </w:p>
    <w:p>
      <w:pPr>
        <w:pStyle w:val="ListBullet"/>
      </w:pPr>
      <w:r>
        <w:t>原子父减子增</w:t>
      </w:r>
    </w:p>
    <w:p>
      <w:pPr>
        <w:pStyle w:val="ListBullet"/>
      </w:pPr>
      <w:r>
        <w:t>根产量与叶物理量</w:t>
      </w:r>
    </w:p>
    <w:p>
      <w:pPr>
        <w:pStyle w:val="ListBullet"/>
      </w:pPr>
      <w:r>
        <w:t>kg/件隔离</w:t>
      </w:r>
    </w:p>
    <w:p>
      <w:r>
        <w:t>依据：02_追溯数据与样例.xlsx、03_质量规则V3.docx、04_事件与接口契约.md</w:t>
      </w:r>
    </w:p>
    <w:p>
      <w:pPr>
        <w:pStyle w:val="Heading2"/>
      </w:pPr>
      <w:r>
        <w:t>9. 正反向追溯与完整性（至少 2600 字符）</w:t>
      </w:r>
    </w:p>
    <w:p>
      <w:pPr>
        <w:pStyle w:val="ListBullet"/>
      </w:pPr>
      <w:r>
        <w:t>RM-AL-240601正向</w:t>
      </w:r>
    </w:p>
    <w:p>
      <w:pPr>
        <w:pStyle w:val="ListBullet"/>
      </w:pPr>
      <w:r>
        <w:t>SH-001反向</w:t>
      </w:r>
    </w:p>
    <w:p>
      <w:pPr>
        <w:pStyle w:val="ListBullet"/>
      </w:pPr>
      <w:r>
        <w:t>路径证据</w:t>
      </w:r>
    </w:p>
    <w:p>
      <w:pPr>
        <w:pStyle w:val="ListBullet"/>
      </w:pPr>
      <w:r>
        <w:t>缺口和快照</w:t>
      </w:r>
    </w:p>
    <w:p>
      <w:r>
        <w:t>依据：02_追溯数据与样例.xlsx、04_事件与接口契约.md、05_车间异常纪要.txt</w:t>
      </w:r>
    </w:p>
    <w:p>
      <w:pPr>
        <w:pStyle w:val="Heading2"/>
      </w:pPr>
      <w:r>
        <w:t>10. 发运、召回与客户响应（至少 2400 字符）</w:t>
      </w:r>
    </w:p>
    <w:p>
      <w:pPr>
        <w:pStyle w:val="ListBullet"/>
      </w:pPr>
      <w:r>
        <w:t>350现场/650发运</w:t>
      </w:r>
    </w:p>
    <w:p>
      <w:pPr>
        <w:pStyle w:val="ListBullet"/>
      </w:pPr>
      <w:r>
        <w:t>客户甲500/乙150</w:t>
      </w:r>
    </w:p>
    <w:p>
      <w:pPr>
        <w:pStyle w:val="ListBullet"/>
      </w:pPr>
      <w:r>
        <w:t>召回不改库存</w:t>
      </w:r>
    </w:p>
    <w:p>
      <w:pPr>
        <w:pStyle w:val="ListBullet"/>
      </w:pPr>
      <w:r>
        <w:t>最终处置</w:t>
      </w:r>
    </w:p>
    <w:p>
      <w:r>
        <w:t>依据：02_追溯数据与样例.xlsx、05_车间异常纪要.txt、07_追溯页面与角色.md</w:t>
      </w:r>
    </w:p>
    <w:p>
      <w:pPr>
        <w:pStyle w:val="Heading2"/>
      </w:pPr>
      <w:r>
        <w:t>11. 接口契约与事件模型（至少 2700 字符）</w:t>
      </w:r>
    </w:p>
    <w:p>
      <w:pPr>
        <w:pStyle w:val="ListBullet"/>
      </w:pPr>
      <w:r>
        <w:t>事件信封</w:t>
      </w:r>
    </w:p>
    <w:p>
      <w:pPr>
        <w:pStyle w:val="ListBullet"/>
      </w:pPr>
      <w:r>
        <w:t>接口字段错误码</w:t>
      </w:r>
    </w:p>
    <w:p>
      <w:pPr>
        <w:pStyle w:val="ListBullet"/>
      </w:pPr>
      <w:r>
        <w:t>payload冲突</w:t>
      </w:r>
    </w:p>
    <w:p>
      <w:pPr>
        <w:pStyle w:val="ListBullet"/>
      </w:pPr>
      <w:r>
        <w:t>权限复查</w:t>
      </w:r>
    </w:p>
    <w:p>
      <w:r>
        <w:t>依据：04_事件与接口契约.md</w:t>
      </w:r>
    </w:p>
    <w:p>
      <w:pPr>
        <w:pStyle w:val="Heading2"/>
      </w:pPr>
      <w:r>
        <w:t>12. 离线、迟到与异常恢复（至少 2300 字符）</w:t>
      </w:r>
    </w:p>
    <w:p>
      <w:pPr>
        <w:pStyle w:val="ListBullet"/>
      </w:pPr>
      <w:r>
        <w:t>24小时缓存</w:t>
      </w:r>
    </w:p>
    <w:p>
      <w:pPr>
        <w:pStyle w:val="ListBullet"/>
      </w:pPr>
      <w:r>
        <w:t>依赖乱序</w:t>
      </w:r>
    </w:p>
    <w:p>
      <w:pPr>
        <w:pStyle w:val="ListBullet"/>
      </w:pPr>
      <w:r>
        <w:t>7分钟时钟偏差</w:t>
      </w:r>
    </w:p>
    <w:p>
      <w:pPr>
        <w:pStyle w:val="ListBullet"/>
      </w:pPr>
      <w:r>
        <w:t>重复与重放</w:t>
      </w:r>
    </w:p>
    <w:p>
      <w:r>
        <w:t>依据：01_制造质量调研.docx、04_事件与接口契约.md、05_车间异常纪要.txt</w:t>
      </w:r>
    </w:p>
    <w:p>
      <w:pPr>
        <w:pStyle w:val="Heading2"/>
      </w:pPr>
      <w:r>
        <w:t>13. 页面、报表与导出原型（至少 2000 字符）</w:t>
      </w:r>
    </w:p>
    <w:p>
      <w:pPr>
        <w:pStyle w:val="ListBullet"/>
      </w:pPr>
      <w:r>
        <w:t>批次详情</w:t>
      </w:r>
    </w:p>
    <w:p>
      <w:pPr>
        <w:pStyle w:val="ListBullet"/>
      </w:pPr>
      <w:r>
        <w:t>质量处置</w:t>
      </w:r>
    </w:p>
    <w:p>
      <w:pPr>
        <w:pStyle w:val="ListBullet"/>
      </w:pPr>
      <w:r>
        <w:t>召回工作台</w:t>
      </w:r>
    </w:p>
    <w:p>
      <w:pPr>
        <w:pStyle w:val="ListBullet"/>
      </w:pPr>
      <w:r>
        <w:t>图表分页和快照</w:t>
      </w:r>
    </w:p>
    <w:p>
      <w:r>
        <w:t>依据：07_追溯页面与角色.md</w:t>
      </w:r>
    </w:p>
    <w:p>
      <w:pPr>
        <w:pStyle w:val="Heading2"/>
      </w:pPr>
      <w:r>
        <w:t>14. 性能、安全及运行约束（至少 1700 字符）</w:t>
      </w:r>
    </w:p>
    <w:p>
      <w:pPr>
        <w:pStyle w:val="ListBullet"/>
      </w:pPr>
      <w:r>
        <w:t>500万事件20万批</w:t>
      </w:r>
    </w:p>
    <w:p>
      <w:pPr>
        <w:pStyle w:val="ListBullet"/>
      </w:pPr>
      <w:r>
        <w:t>10000节点20000边</w:t>
      </w:r>
    </w:p>
    <w:p>
      <w:pPr>
        <w:pStyle w:val="ListBullet"/>
      </w:pPr>
      <w:r>
        <w:t>30分钟回放</w:t>
      </w:r>
    </w:p>
    <w:p>
      <w:pPr>
        <w:pStyle w:val="ListBullet"/>
      </w:pPr>
      <w:r>
        <w:t>目标未验证</w:t>
      </w:r>
    </w:p>
    <w:p>
      <w:r>
        <w:t>依据：04_事件与接口契约.md、05_车间异常纪要.txt</w:t>
      </w:r>
    </w:p>
    <w:p>
      <w:pPr>
        <w:pStyle w:val="Heading2"/>
      </w:pPr>
      <w:r>
        <w:t>15. 验收场景与需求追溯（至少 3000 字符）</w:t>
      </w:r>
    </w:p>
    <w:p>
      <w:pPr>
        <w:pStyle w:val="ListBullet"/>
      </w:pPr>
      <w:r>
        <w:t>字段与业务覆盖</w:t>
      </w:r>
    </w:p>
    <w:p>
      <w:pPr>
        <w:pStyle w:val="ListBullet"/>
      </w:pPr>
      <w:r>
        <w:t>并发原子性</w:t>
      </w:r>
    </w:p>
    <w:p>
      <w:pPr>
        <w:pStyle w:val="ListBullet"/>
      </w:pPr>
      <w:r>
        <w:t>全部计算及异常</w:t>
      </w:r>
    </w:p>
    <w:p>
      <w:pPr>
        <w:pStyle w:val="ListBullet"/>
      </w:pPr>
      <w:r>
        <w:t>长图表可读</w:t>
      </w:r>
    </w:p>
    <w:p>
      <w:r>
        <w:t>依据：01_制造质量调研.docx、02_追溯数据与样例.xlsx、03_质量规则V3.docx、04_事件与接口契约.md、05_车间异常纪要.txt、06_历史规则V2归档.md、07_追溯页面与角色.md</w:t>
      </w:r>
    </w:p>
    <w:p>
      <w:pPr>
        <w:pStyle w:val="Heading2"/>
      </w:pPr>
      <w:r>
        <w:t>16. 待确认问题与实施建议（至少 1300 字符）</w:t>
      </w:r>
    </w:p>
    <w:p>
      <w:pPr>
        <w:pStyle w:val="ListBullet"/>
      </w:pPr>
      <w:r>
        <w:t>大批抽样</w:t>
      </w:r>
    </w:p>
    <w:p>
      <w:pPr>
        <w:pStyle w:val="ListBullet"/>
      </w:pPr>
      <w:r>
        <w:t>保质期留存灾备</w:t>
      </w:r>
    </w:p>
    <w:p>
      <w:pPr>
        <w:pStyle w:val="ListBullet"/>
      </w:pPr>
      <w:r>
        <w:t>ERP端点</w:t>
      </w:r>
    </w:p>
    <w:p>
      <w:pPr>
        <w:pStyle w:val="ListBullet"/>
      </w:pPr>
      <w:r>
        <w:t>建议与批准边界</w:t>
      </w:r>
    </w:p>
    <w:p>
      <w:r>
        <w:t>依据：01_制造质量调研.docx、05_车间异常纪要.txt、06_历史规则V2归档.md</w:t>
      </w:r>
    </w:p>
    <w:p>
      <w:pPr>
        <w:pStyle w:val="Heading1"/>
      </w:pPr>
      <w:r>
        <w:t>二、必须准确表达的事实</w:t>
      </w:r>
    </w:p>
    <w:p>
      <w:r>
        <w:t>F01 [critical] 一期常州一厂两线，两成品按件，铝材按kg，不能直接汇总</w:t>
      </w:r>
    </w:p>
    <w:p>
      <w:r>
        <w:t>依据：01_制造质量调研.docx / 1 工厂与项目边界</w:t>
      </w:r>
    </w:p>
    <w:p>
      <w:r>
        <w:t>F02 [critical] 来料与成品根批多对多，子批继承根批谱系，不复制原始事实</w:t>
      </w:r>
    </w:p>
    <w:p>
      <w:r>
        <w:t>依据：01_制造质量调研.docx / 2 核心业务链</w:t>
      </w:r>
    </w:p>
    <w:p>
      <w:r>
        <w:t>F03 [critical] RM-AL-240601只关联两根批及三个末端叶批，不含RM-AL-240602</w:t>
      </w:r>
    </w:p>
    <w:p>
      <w:r>
        <w:t>依据：02_追溯数据与样例.xlsx / 投料关系!A2:I4；拆分关系!A2:F3</w:t>
      </w:r>
    </w:p>
    <w:p>
      <w:r>
        <w:t>F04 [critical] 根批600拆成400+200，父批不再直接发运，不能重复计产量</w:t>
      </w:r>
    </w:p>
    <w:p>
      <w:r>
        <w:t>依据：03_质量规则V3.docx / 6 批次拆分与守恒</w:t>
      </w:r>
    </w:p>
    <w:p>
      <w:r>
        <w:t>F05 [critical] 现场冻结350仍是现场量，可用量为0</w:t>
      </w:r>
    </w:p>
    <w:p>
      <w:r>
        <w:t>依据：02_追溯数据与样例.xlsx / 成品批次!A3:P5；冻结记录!A2:I4</w:t>
      </w:r>
    </w:p>
    <w:p>
      <w:r>
        <w:t>F06 [critical] 关联发运650件，客户甲500、乙150，保持三条发运ID</w:t>
      </w:r>
    </w:p>
    <w:p>
      <w:r>
        <w:t>依据：02_追溯数据与样例.xlsx / 发货明细!A2:K4</w:t>
      </w:r>
    </w:p>
    <w:p>
      <w:r>
        <w:t>F07 [critical] 召回发起不产生退库，不改已发运数量</w:t>
      </w:r>
    </w:p>
    <w:p>
      <w:r>
        <w:t>依据：01_制造质量调研.docx / 4 追溯与召回业务目标</w:t>
      </w:r>
    </w:p>
    <w:p>
      <w:r>
        <w:t>F08 [critical] 温度175至185含两端，时长至少7200秒，扭矩23至27含两端</w:t>
      </w:r>
    </w:p>
    <w:p>
      <w:r>
        <w:t>依据：03_质量规则V3.docx / 2 工序阈值与缺测</w:t>
      </w:r>
    </w:p>
    <w:p>
      <w:r>
        <w:t>F09 [critical] 174.999或27.001不可经展示舍入变成合格</w:t>
      </w:r>
    </w:p>
    <w:p>
      <w:r>
        <w:t>依据：03_质量规则V3.docx / 2 工序阈值与缺测</w:t>
      </w:r>
    </w:p>
    <w:p>
      <w:r>
        <w:t>F10 [critical] ≤500抽32且Ac0/Re1，501至1200抽50且Ac1/Re2</w:t>
      </w:r>
    </w:p>
    <w:p>
      <w:r>
        <w:t>依据：03_质量规则V3.docx / 3 抽样判定</w:t>
      </w:r>
    </w:p>
    <w:p>
      <w:r>
        <w:t>F11 [critical] 50件2件不合格判FAIL，复检50件0缺陷未审核不解冻</w:t>
      </w:r>
    </w:p>
    <w:p>
      <w:r>
        <w:t>依据：05_车间异常纪要.txt / 2 留样与复检情景</w:t>
      </w:r>
    </w:p>
    <w:p>
      <w:r>
        <w:t>F12 [critical] PASS非正式放行，QA_RELEASE独立且原检验员不可解冻</w:t>
      </w:r>
    </w:p>
    <w:p>
      <w:r>
        <w:t>依据：02_追溯数据与样例.xlsx / 状态字典（隐藏）</w:t>
      </w:r>
    </w:p>
    <w:p>
      <w:r>
        <w:t>F13 [critical] 缺测INCOMPLETE，不能空值当0或缺异常当PASS</w:t>
      </w:r>
    </w:p>
    <w:p>
      <w:r>
        <w:t>依据：03_质量规则V3.docx / 2 工序阈值与缺测</w:t>
      </w:r>
    </w:p>
    <w:p>
      <w:r>
        <w:t>F14 [critical] V3按2026-06-01后actual_start冻结，不倒改旧规则</w:t>
      </w:r>
    </w:p>
    <w:p>
      <w:r>
        <w:t>依据：03_质量规则V3.docx / 1 规则生效与适用</w:t>
      </w:r>
    </w:p>
    <w:p>
      <w:r>
        <w:t>F15 [critical] 相同event_id不同payload_hash是409冲突，不覆盖原事实</w:t>
      </w:r>
    </w:p>
    <w:p>
      <w:r>
        <w:t>依据：04_事件与接口契约.md / 1 事件信封与幂等</w:t>
      </w:r>
    </w:p>
    <w:p>
      <w:r>
        <w:t>F16 [critical] 时间偏差超过5分钟标TIME_SKEW，原设备时间保留</w:t>
      </w:r>
    </w:p>
    <w:p>
      <w:r>
        <w:t>依据：04_事件与接口契约.md / 1 事件信封与幂等</w:t>
      </w:r>
    </w:p>
    <w:p>
      <w:r>
        <w:t>F17 [critical] 网关离线最多24小时，不允许离线新放行与发运</w:t>
      </w:r>
    </w:p>
    <w:p>
      <w:r>
        <w:t>依据：01_制造质量调研.docx / 5 使用环境</w:t>
      </w:r>
    </w:p>
    <w:p>
      <w:r>
        <w:t>F18 [critical] 节点10000边20000超限需异步或分页并提示，不静默宣称完整</w:t>
      </w:r>
    </w:p>
    <w:p>
      <w:r>
        <w:t>依据：05_车间异常纪要.txt / 3 有条件性能目标</w:t>
      </w:r>
    </w:p>
    <w:p>
      <w:r>
        <w:t>F19 [critical] 导出和翻页沿用snapshot_id与as_of防止混合时点</w:t>
      </w:r>
    </w:p>
    <w:p>
      <w:r>
        <w:t>依据：04_事件与接口契约.md / 4 追溯查询与导出</w:t>
      </w:r>
    </w:p>
    <w:p>
      <w:r>
        <w:t>F20 [critical] 让步接收必须关联客户书面同意编号和范围</w:t>
      </w:r>
    </w:p>
    <w:p>
      <w:r>
        <w:t>依据：03_质量规则V3.docx / 5 处置决策</w:t>
      </w:r>
    </w:p>
    <w:p>
      <w:r>
        <w:t>F21 [critical] 隐藏状态字典是有效业务配置必须读取</w:t>
      </w:r>
    </w:p>
    <w:p>
      <w:r>
        <w:t>依据：02_追溯数据与样例.xlsx / 阅读说明!A5:B5；状态字典</w:t>
      </w:r>
    </w:p>
    <w:p>
      <w:r>
        <w:t>F22 [critical] 产量核对H/I是公式，应按输入复算而非将缺缓存视为0</w:t>
      </w:r>
    </w:p>
    <w:p>
      <w:r>
        <w:t>依据：02_追溯数据与样例.xlsx / 产量核对!H2:I6</w:t>
      </w:r>
    </w:p>
    <w:p>
      <w:r>
        <w:t>F23 [critical] 预警材料与裂纹只有关联未证实根因</w:t>
      </w:r>
    </w:p>
    <w:p>
      <w:r>
        <w:t>依据：05_车间异常纪要.txt / 2 留样与复检情景</w:t>
      </w:r>
    </w:p>
    <w:p>
      <w:r>
        <w:t>F24 [critical] proof路径只是未附凭证的字段样例，不能声称已验证签收文件</w:t>
      </w:r>
    </w:p>
    <w:p>
      <w:r>
        <w:t>依据：02_追溯数据与样例.xlsx / 阅读说明!A10:B10</w:t>
      </w:r>
    </w:p>
    <w:p>
      <w:pPr>
        <w:pStyle w:val="Heading1"/>
      </w:pPr>
      <w:r>
        <w:t>三、计算与统计口径</w:t>
      </w:r>
    </w:p>
    <w:p>
      <w:r>
        <w:t>C01 关联材料消耗量与未投入余额：120+80=200kg;500-200=300kg = 已投200；本样例余额300 kg</w:t>
      </w:r>
    </w:p>
    <w:p>
      <w:r>
        <w:t>C02 受影响原始成品量，不重复加拆分子批：根批600+400=1000；叶批400+200+400=1000 = 1000 件</w:t>
      </w:r>
    </w:p>
    <w:p>
      <w:r>
        <w:t>C03 现场与发运守恒：现场100+50+200=350；发运300+150+200=650；350+650=1000 = 现场350；发运650；合计1000 件</w:t>
      </w:r>
    </w:p>
    <w:p>
      <w:r>
        <w:t>C04 按客户汇总召回：CUS-01=300+200=500；CUS-02=150 = 客户甲500；客户乙150 件</w:t>
      </w:r>
    </w:p>
    <w:p>
      <w:r>
        <w:t>C05 留样缺陷率及判定：2/50*100%=4%；defect_count=2≥Re2 = 4%，FAIL %</w:t>
      </w:r>
    </w:p>
    <w:p>
      <w:r>
        <w:t>C06 全工作簿批次守恒与真实原产量：各行initial_qty-(on_hand_qty+dispatched_qty+split_out_qty+scrap_qty)=0；全部根批600+400+500=1500 = 每行delta_qty=0；原产量1500，而非2100 件</w:t>
      </w:r>
    </w:p>
    <w:p>
      <w:r>
        <w:t>C07 单网关24小时积压及30分钟回放吞吐：24*60*1000=1440000；1440000/(30*60)=800 = 积压1440000条；仅清旧积压需800条/秒，不含新增事件 事件/秒</w:t>
      </w:r>
    </w:p>
    <w:p>
      <w:pPr>
        <w:pStyle w:val="Heading1"/>
      </w:pPr>
      <w:r>
        <w:t>四、图表和原型</w:t>
      </w:r>
    </w:p>
    <w:p>
      <w:pPr>
        <w:pStyle w:val="Heading2"/>
      </w:pPr>
      <w:r>
        <w:t>来料、根批、拆分叶批与客户追溯关系 / flowchart</w:t>
      </w:r>
    </w:p>
    <w:p>
      <w:pPr>
        <w:pStyle w:val="ListBullet"/>
      </w:pPr>
      <w:r>
        <w:t>RM-AL-240601连接两个根批</w:t>
      </w:r>
    </w:p>
    <w:p>
      <w:pPr>
        <w:pStyle w:val="ListBullet"/>
      </w:pPr>
      <w:r>
        <w:t>600父批拆400+200且不重复计数量</w:t>
      </w:r>
    </w:p>
    <w:p>
      <w:pPr>
        <w:pStyle w:val="ListBullet"/>
      </w:pPr>
      <w:r>
        <w:t>三条发运及两客户</w:t>
      </w:r>
    </w:p>
    <w:p>
      <w:pPr>
        <w:pStyle w:val="ListBullet"/>
      </w:pPr>
      <w:r>
        <w:t>边标件或kg，其他来料批不误入</w:t>
      </w:r>
    </w:p>
    <w:p>
      <w:pPr>
        <w:pStyle w:val="Heading2"/>
      </w:pPr>
      <w:r>
        <w:t>异常冻结、复检与正式处置流程 / flowchart</w:t>
      </w:r>
    </w:p>
    <w:p>
      <w:pPr>
        <w:pStyle w:val="ListBullet"/>
      </w:pPr>
      <w:r>
        <w:t>初检失败保留</w:t>
      </w:r>
    </w:p>
    <w:p>
      <w:pPr>
        <w:pStyle w:val="ListBullet"/>
      </w:pPr>
      <w:r>
        <w:t>复检不自动解冻</w:t>
      </w:r>
    </w:p>
    <w:p>
      <w:pPr>
        <w:pStyle w:val="ListBullet"/>
      </w:pPr>
      <w:r>
        <w:t>QA_RELEASE与原检验员隔离</w:t>
      </w:r>
    </w:p>
    <w:p>
      <w:pPr>
        <w:pStyle w:val="ListBullet"/>
      </w:pPr>
      <w:r>
        <w:t>让步接收客户同意</w:t>
      </w:r>
    </w:p>
    <w:p>
      <w:pPr>
        <w:pStyle w:val="Heading2"/>
      </w:pPr>
      <w:r>
        <w:t>离线事件重放与冲突处理 / flowchart</w:t>
      </w:r>
    </w:p>
    <w:p>
      <w:pPr>
        <w:pStyle w:val="ListBullet"/>
      </w:pPr>
      <w:r>
        <w:t>同ID同内容幂等</w:t>
      </w:r>
    </w:p>
    <w:p>
      <w:pPr>
        <w:pStyle w:val="ListBullet"/>
      </w:pPr>
      <w:r>
        <w:t>同ID异内容409隔离</w:t>
      </w:r>
    </w:p>
    <w:p>
      <w:pPr>
        <w:pStyle w:val="ListBullet"/>
      </w:pPr>
      <w:r>
        <w:t>依赖未到暂挂</w:t>
      </w:r>
    </w:p>
    <w:p>
      <w:pPr>
        <w:pStyle w:val="ListBullet"/>
      </w:pPr>
      <w:r>
        <w:t>保留occurred_at和received_at</w:t>
      </w:r>
    </w:p>
    <w:p>
      <w:pPr>
        <w:pStyle w:val="Heading2"/>
      </w:pPr>
      <w:r>
        <w:t>批次详情页 / prototype</w:t>
      </w:r>
    </w:p>
    <w:p>
      <w:pPr>
        <w:pStyle w:val="ListBullet"/>
      </w:pPr>
      <w:r>
        <w:t>现场、可用、发运、拆分数量分列</w:t>
      </w:r>
    </w:p>
    <w:p>
      <w:pPr>
        <w:pStyle w:val="ListBullet"/>
      </w:pPr>
      <w:r>
        <w:t>快照时间与完整性提示</w:t>
      </w:r>
    </w:p>
    <w:p>
      <w:pPr>
        <w:pStyle w:val="ListBullet"/>
      </w:pPr>
      <w:r>
        <w:t>根父子链可展开</w:t>
      </w:r>
    </w:p>
    <w:p>
      <w:pPr>
        <w:pStyle w:val="ListBullet"/>
      </w:pPr>
      <w:r>
        <w:t>缺失证据显示未提供</w:t>
      </w:r>
    </w:p>
    <w:p>
      <w:pPr>
        <w:pStyle w:val="Heading2"/>
      </w:pPr>
      <w:r>
        <w:t>质量处置与召回工作台 / prototype</w:t>
      </w:r>
    </w:p>
    <w:p>
      <w:pPr>
        <w:pStyle w:val="ListBullet"/>
      </w:pPr>
      <w:r>
        <w:t>现场350与发运650分栏</w:t>
      </w:r>
    </w:p>
    <w:p>
      <w:pPr>
        <w:pStyle w:val="ListBullet"/>
      </w:pPr>
      <w:r>
        <w:t>客户甲500包含两发运</w:t>
      </w:r>
    </w:p>
    <w:p>
      <w:pPr>
        <w:pStyle w:val="ListBullet"/>
      </w:pPr>
      <w:r>
        <w:t>复检待审不显示已解冻</w:t>
      </w:r>
    </w:p>
    <w:p>
      <w:pPr>
        <w:pStyle w:val="ListBullet"/>
      </w:pPr>
      <w:r>
        <w:t>客户范围权限与同意编号</w:t>
      </w:r>
    </w:p>
    <w:p>
      <w:pPr>
        <w:pStyle w:val="Heading1"/>
      </w:pPr>
      <w:r>
        <w:t>五、缺口与不得写成事实的结论</w:t>
      </w:r>
    </w:p>
    <w:p>
      <w:r>
        <w:t>超过1200件批次抽样规则：当前仅批准≤1200件；预期：列阻塞该类放行的待确认项，可提方案但不能直接套用50样本。</w:t>
      </w:r>
    </w:p>
    <w:p>
      <w:r>
        <w:t>保质期、到期缺失补录、证据留存与灾备：资料没有批准值；预期：空值保持未知；单列决策人和影响，不虚构外部法规。</w:t>
      </w:r>
    </w:p>
    <w:p>
      <w:r>
        <w:t>ERP端点与跨厂身份：一期只明确边界未提供真实契约；预期：输出逻辑接口需求及建议字段，不写成已对接真实系统。</w:t>
      </w:r>
    </w:p>
    <w:p>
      <w:r>
        <w:t>客户凭证附件与裂纹最终根因：只有路径字段和风险关联；预期：指出证据未附与调查待完成，不能补成签收证据或确定原因。</w:t>
      </w:r>
    </w:p>
    <w:p>
      <w:pPr>
        <w:pStyle w:val="ListBullet"/>
      </w:pPr>
      <w:r>
        <w:t>不得把父600与子400+200重复统计为1200件新产量。</w:t>
      </w:r>
    </w:p>
    <w:p>
      <w:pPr>
        <w:pStyle w:val="ListBullet"/>
      </w:pPr>
      <w:r>
        <w:t>不得把铝材200kg和成品1000件相加为1200。</w:t>
      </w:r>
    </w:p>
    <w:p>
      <w:pPr>
        <w:pStyle w:val="ListBullet"/>
      </w:pPr>
      <w:r>
        <w:t>不得把冻结350件写成报废或0现场库存。</w:t>
      </w:r>
    </w:p>
    <w:p>
      <w:pPr>
        <w:pStyle w:val="ListBullet"/>
      </w:pPr>
      <w:r>
        <w:t>不得将INSP-005未审核复检视为自动解冻。</w:t>
      </w:r>
    </w:p>
    <w:p>
      <w:pPr>
        <w:pStyle w:val="ListBullet"/>
      </w:pPr>
      <w:r>
        <w:t>不得因供应商相同把RM-AL-240602自动纳入本次召回。</w:t>
      </w:r>
    </w:p>
    <w:p>
      <w:pPr>
        <w:pStyle w:val="ListBullet"/>
      </w:pPr>
      <w:r>
        <w:t>不得用V2的170～190℃或22～28N·m覆盖V3。</w:t>
      </w:r>
    </w:p>
    <w:p>
      <w:pPr>
        <w:pStyle w:val="ListBullet"/>
      </w:pPr>
      <w:r>
        <w:t>不得声称裂纹根因已证实为供应商问题。</w:t>
      </w:r>
    </w:p>
    <w:p>
      <w:pPr>
        <w:pStyle w:val="ListBullet"/>
      </w:pPr>
      <w:r>
        <w:t>不得把隐藏Sheet忽略或把缺失公式缓存当成0。</w:t>
      </w:r>
    </w:p>
    <w:p>
      <w:pPr>
        <w:pStyle w:val="ListBullet"/>
      </w:pPr>
      <w:r>
        <w:t>不得把未附签收凭证路径当作已读取文件。</w:t>
      </w:r>
    </w:p>
    <w:p>
      <w:pPr>
        <w:pStyle w:val="ListBullet"/>
      </w:pPr>
      <w:r>
        <w:t>不得承诺恰好一次事件投递、真实监管合规、已验证生产SLO或未决保质期。</w:t>
      </w:r>
    </w:p>
    <w:p>
      <w:pPr>
        <w:pStyle w:val="Heading1"/>
      </w:pPr>
      <w:r>
        <w:t>六、人工语义与版式验收</w:t>
      </w:r>
    </w:p>
    <w:p>
      <w:pPr>
        <w:pStyle w:val="ListBullet"/>
      </w:pPr>
      <w:r>
        <w:t>正文35000～45000字符，至少60个不同实体字段给出类型、必填及规则；不能把同名status的重复条目当作独立业务讲解凑数。</w:t>
      </w:r>
    </w:p>
    <w:p>
      <w:pPr>
        <w:pStyle w:val="ListBullet"/>
      </w:pPr>
      <w:r>
        <w:t>每个跨Sheet引用都能连接到存在的样例，解析隐藏状态字典和产量核对公式；没有读取的凭证不被伪造。</w:t>
      </w:r>
    </w:p>
    <w:p>
      <w:pPr>
        <w:pStyle w:val="ListBullet"/>
      </w:pPr>
      <w:r>
        <w:t>从RM-AL-240601正向到两根批、三叶批、三发运和两客户；从SH-001反向到WO-0618-A、两类原料、热处理/装配与检验，路径和数量准确。</w:t>
      </w:r>
    </w:p>
    <w:p>
      <w:pPr>
        <w:pStyle w:val="ListBullet"/>
      </w:pPr>
      <w:r>
        <w:t>七组计算结果可复算；30分钟回放所需800条/秒注明不含新增事件。</w:t>
      </w:r>
    </w:p>
    <w:p>
      <w:pPr>
        <w:pStyle w:val="ListBullet"/>
      </w:pPr>
      <w:r>
        <w:t>至少30条可执行验收覆盖字段约束、温度扭矩精度、500/501/1200边界、缺测、权限、冻结与发运并发、拆分原子性、离线重传、单位错误、快照分页和缺链。</w:t>
      </w:r>
    </w:p>
    <w:p>
      <w:pPr>
        <w:pStyle w:val="ListBullet"/>
      </w:pPr>
      <w:r>
        <w:t>全书及图表不把复检、PASS、正式放行、解冻混为一个动作；业务事实、调查未决和设计建议清楚区分。</w:t>
      </w:r>
    </w:p>
    <w:p>
      <w:pPr>
        <w:pStyle w:val="ListBullet"/>
      </w:pPr>
      <w:r>
        <w:t>Word长字段表、谱系图和原型不裁切；有目录、页码、连续编号、重复表头及来源定位。</w:t>
      </w:r>
    </w:p>
    <w:p>
      <w:pPr>
        <w:pStyle w:val="ListBullet"/>
      </w:pPr>
      <w:r>
        <w:t>章节层级与目录一致，标题不孤悬；页码在 Word/WPS 更新后核对。</w:t>
      </w:r>
    </w:p>
    <w:p>
      <w:pPr>
        <w:pStyle w:val="ListBullet"/>
      </w:pPr>
      <w:r>
        <w:t>表头跨页重复，表格和图片不超出页边距；正文、标题、表格使用一致的中文字体。</w:t>
      </w:r>
    </w:p>
    <w:p>
      <w:pPr>
        <w:pStyle w:val="ListBullet"/>
      </w:pPr>
      <w:r>
        <w:t>流程图分支、回路、例外条件与正文一致；缩放到实际页面后图中文字清晰。</w:t>
      </w:r>
    </w:p>
    <w:p>
      <w:pPr>
        <w:pStyle w:val="ListBullet"/>
      </w:pPr>
      <w:r>
        <w:t>模型建议与已证实事实明确区分，重复段落和空泛扩写不能用于补足字数。</w:t>
      </w:r>
    </w:p>
    <w:p>
      <w:pPr>
        <w:pStyle w:val="ListBullet"/>
      </w:pPr>
      <w:r>
        <w:t>达到字数或命中关键词不代表语义验收通过；逐项确认事实、关系、缺口与来源。</w:t>
      </w:r>
    </w:p>
    <w:p>
      <w:pPr>
        <w:pStyle w:val="Heading1"/>
      </w:pPr>
      <w:r>
        <w:t>七、执行与过程验收</w:t>
      </w:r>
    </w:p>
    <w:p>
      <w:r>
        <w:t>{</w:t>
        <w:br/>
        <w:t xml:space="preserve">  "web_mode": "disabled",</w:t>
        <w:br/>
        <w:t xml:space="preserve">  "local_round_limit": 3,</w:t>
        <w:br/>
        <w:t xml:space="preserve">  "web_round_limit": 2,</w:t>
        <w:br/>
        <w:t xml:space="preserve">  "notes": [</w:t>
        <w:br/>
        <w:t xml:space="preserve">    "所有组织、人员、交易、产品及规则均为虚构测试数据。",</w:t>
        <w:br/>
        <w:t xml:space="preserve">    "本地研究最多 3 轮，每轮可进行多次有界工具调用；该用例禁用联网，必须记录 Tavily 不可用并进入明确标注的建议补全，不能伪称搜索成功。",</w:t>
        <w:br/>
        <w:t xml:space="preserve">    "只向被测智能体上传 sources 目录并发送 prompt；expected 为独立验收参考，不能加入资料包。",</w:t>
        <w:br/>
        <w:t xml:space="preserve">    "正文有效字符数：汉字、英文字母、数字逐字符计数，计入表格，不计封面、目录、标题、页眉页脚、空白和标点。页数只作观察，不作字数替代；字数达标不能替代事实正确与覆盖完整，不得重复段落或表格凑数。"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