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质量规则 QC-MTR-V3（2026-06-01 生效）</w:t>
      </w:r>
    </w:p>
    <w:p>
      <w:pPr>
        <w:pStyle w:val="Heading1"/>
      </w:pPr>
      <w:r>
        <w:t>1 规则生效与适用</w:t>
      </w:r>
    </w:p>
    <w:p>
      <w:r>
        <w:t>本规则用于2026-06-01及以后投产的MTR-08/MTR-12工单，按actual_start冻结版本；旧工单继续使用其原冻结版本。抽样方案的plan_version也要保存，历史检验不得随规则发布重新计算。若投产时间缺失不能猜版本，应阻止正常开工并列异常。</w:t>
      </w:r>
    </w:p>
    <w:p>
      <w:pPr>
        <w:pStyle w:val="Heading1"/>
      </w:pPr>
      <w:r>
        <w:t>2 工序阈值与缺测</w:t>
      </w:r>
    </w:p>
    <w:p>
      <w:r>
        <w:t>热处理保温温度175.00～185.00℃，两端包含；有效保温时长≥7200秒。装配扭矩23.000～27.000N·m，两端包含。测量超限触发异常及冻结申请，不允许通过四舍五入把174.999或27.001改成合格。展示精度与判定原始精度分离。</w:t>
      </w:r>
    </w:p>
    <w:p>
      <w:r>
        <w:t>必采工序字段未采集时结果INCOMPLETE，不能把空值当0，更不能把缺少异常记录理解为PASS。设备上报校准有效性标记，过期校准所采数值仍保留，但需质量确认有效性后才能用于放行。</w:t>
      </w:r>
    </w:p>
    <w:p>
      <w:pPr>
        <w:pStyle w:val="Heading1"/>
      </w:pPr>
      <w:r>
        <w:t>3 抽样判定</w:t>
      </w:r>
    </w:p>
    <w:p>
      <w:r>
        <w:t>批次初始数量≤500件时抽样32件，Ac=0、Re=1；批次初始数量501～1200件时抽样50件，Ac=1、Re=2。超过1200件的抽样规则未批准，不能套用50件规则。抽样数量不足32或50时标记INCOMPLETE，不能按当前样本比例推定合格。</w:t>
      </w:r>
    </w:p>
    <w:p>
      <w:r>
        <w:t>不合格样本数是发生至少一个不合格的样品个数，不是同一样品的缺陷点数。缺陷率=不合格样本数/样本数；即使缺陷率看似低，只要达到Re仍为不合格。检验结果PASS只表示该次检查通过，还必须完成审核与正式放行。</w:t>
      </w:r>
    </w:p>
    <w:p>
      <w:pPr>
        <w:pStyle w:val="Heading1"/>
      </w:pPr>
      <w:r>
        <w:t>4 冻结、复检与放行</w:t>
      </w:r>
    </w:p>
    <w:p>
      <w:r>
        <w:t>不合格检验提交后阻止新增发运，质量审核确认后建立正式冻结及处置。遇来料质量预警，质量负责人可以按来料追溯范围冻结所有受影响现场叶批；已发运数量进入召回跟踪。冻结与可用量更新在同一事务提交，发运时再次检查版本和冻结，防止页面旧状态绕过。</w:t>
      </w:r>
    </w:p>
    <w:p>
      <w:r>
        <w:t>复检必须新建检验单并以retest_of引用原单；复检合格不抹掉初检失败、不自动解冻，也不自动撤回已发召回通知。正式解冻需质量负责人处置结论、复核和QA_RELEASE权限，且不能由原检验员执行。部分数量解冻需先按批准数量拆分子批，保留旧冻结关系。</w:t>
      </w:r>
    </w:p>
    <w:p>
      <w:pPr>
        <w:pStyle w:val="Heading1"/>
      </w:pPr>
      <w:r>
        <w:t>5 处置决策</w:t>
      </w:r>
    </w:p>
    <w:p>
      <w:r>
        <w:t>处置类型包括返工、报废、让步接收、维持冻结和解冻。报废需批准并生成独立数量事件，不能直接删批；返工创建新的工序执行记录和检验记录，保留原工艺与原不合格。让步接收需客户书面同意编号，适用客户和数量范围明确，不得泛化为所有客户均同意。</w:t>
      </w:r>
    </w:p>
    <w:p>
      <w:pPr>
        <w:pStyle w:val="Heading1"/>
      </w:pPr>
      <w:r>
        <w:t>6 批次拆分与守恒</w:t>
      </w:r>
    </w:p>
    <w:p>
      <w:r>
        <w:t>子批继承产品、原始生产时间、原工单及完整上游谱系；父批冻结时子批也必须继承冻结约束，不能用拆分洗掉冻结。拆分父减、子增、关系写入与审计必须原子提交。禁止父子自环、祖先反向引用、转移数量为0和超过父当前可拆数量。</w:t>
      </w:r>
    </w:p>
    <w:p>
      <w:r>
        <w:t>单个批次数量守恒：initial_qty=on_hand_qty+dispatched_qty+split_out_qty+scrap_qty。召回尚未实物退回时dispatched_qty不减。全谱系聚合只对末端叶批求现场和发运，原始生产量只对根批求initial_qty，不能把父600和子400+200重复算1200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