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客服工单用户需求说明书：版本与范围冲突 · 交付预期与验收</w:t>
      </w:r>
    </w:p>
    <w:p>
      <w:r>
        <w:t>本文件供测试人员核对成品，不上传资料库。它是验收蓝图，不是已经生成的完整业务文档。</w:t>
      </w:r>
    </w:p>
    <w:p>
      <w:r>
        <w:t>目标文件：澄川客服工单中心_用户需求说明书.docx；类型：urd；正文目标：20,000—30,000 字符。</w:t>
      </w:r>
    </w:p>
    <w:p>
      <w:r>
        <w:t>正文有效字符数：汉字、英文字母、数字逐字符计数，计入表格，不计封面、目录、标题、页眉页脚、空白和标点。页数只作观察，不作字数替代。</w:t>
      </w:r>
    </w:p>
    <w:p>
      <w:pPr>
        <w:pStyle w:val="Heading1"/>
      </w:pPr>
      <w:r>
        <w:t>一、预期目录与各章展开程度</w:t>
      </w:r>
    </w:p>
    <w:p>
      <w:pPr>
        <w:pStyle w:val="Heading2"/>
      </w:pPr>
      <w:r>
        <w:t>1. 项目背景与业务目标（至少 1600 字符）</w:t>
      </w:r>
    </w:p>
    <w:p>
      <w:pPr>
        <w:pStyle w:val="ListBullet"/>
      </w:pPr>
      <w:r>
        <w:t>现状痛点</w:t>
      </w:r>
    </w:p>
    <w:p>
      <w:pPr>
        <w:pStyle w:val="ListBullet"/>
      </w:pPr>
      <w:r>
        <w:t>目标与不可量化的基线缺口</w:t>
      </w:r>
    </w:p>
    <w:p>
      <w:pPr>
        <w:pStyle w:val="ListBullet"/>
      </w:pPr>
      <w:r>
        <w:t>首期边界</w:t>
      </w:r>
    </w:p>
    <w:p>
      <w:r>
        <w:t>依据：01_项目边界与访谈.docx</w:t>
      </w:r>
    </w:p>
    <w:p>
      <w:pPr>
        <w:pStyle w:val="Heading2"/>
      </w:pPr>
      <w:r>
        <w:t>2. 用户角色与业务场景（至少 1800 字符）</w:t>
      </w:r>
    </w:p>
    <w:p>
      <w:pPr>
        <w:pStyle w:val="ListBullet"/>
      </w:pPr>
      <w:r>
        <w:t>七类角色</w:t>
      </w:r>
    </w:p>
    <w:p>
      <w:pPr>
        <w:pStyle w:val="ListBullet"/>
      </w:pPr>
      <w:r>
        <w:t>组织边界</w:t>
      </w:r>
    </w:p>
    <w:p>
      <w:pPr>
        <w:pStyle w:val="ListBullet"/>
      </w:pPr>
      <w:r>
        <w:t>坐席停用接管</w:t>
      </w:r>
    </w:p>
    <w:p>
      <w:r>
        <w:t>依据：01_项目边界与访谈.docx、06_角色与权限.xlsx</w:t>
      </w:r>
    </w:p>
    <w:p>
      <w:pPr>
        <w:pStyle w:val="Heading2"/>
      </w:pPr>
      <w:r>
        <w:t>3. 版本与适用范围规则（至少 2100 字符）</w:t>
      </w:r>
    </w:p>
    <w:p>
      <w:pPr>
        <w:pStyle w:val="ListBullet"/>
      </w:pPr>
      <w:r>
        <w:t>V1继承、V2覆盖、V3草案</w:t>
      </w:r>
    </w:p>
    <w:p>
      <w:pPr>
        <w:pStyle w:val="ListBullet"/>
      </w:pPr>
      <w:r>
        <w:t>三个范围条件与创建快照</w:t>
      </w:r>
    </w:p>
    <w:p>
      <w:pPr>
        <w:pStyle w:val="ListBullet"/>
      </w:pPr>
      <w:r>
        <w:t>四个时间样例</w:t>
      </w:r>
    </w:p>
    <w:p>
      <w:r>
        <w:t>依据：02_服务承诺V1.md、03_大陆企业专项V2_已批准.docx、04_路线图V3_未批准.pptx</w:t>
      </w:r>
    </w:p>
    <w:p>
      <w:pPr>
        <w:pStyle w:val="Heading2"/>
      </w:pPr>
      <w:r>
        <w:t>4. 工单接入与去重合并（至少 1800 字符）</w:t>
      </w:r>
    </w:p>
    <w:p>
      <w:pPr>
        <w:pStyle w:val="ListBullet"/>
      </w:pPr>
      <w:r>
        <w:t>邮件和网页入口</w:t>
      </w:r>
    </w:p>
    <w:p>
      <w:pPr>
        <w:pStyle w:val="ListBullet"/>
      </w:pPr>
      <w:r>
        <w:t>电话手工登记</w:t>
      </w:r>
    </w:p>
    <w:p>
      <w:pPr>
        <w:pStyle w:val="ListBullet"/>
      </w:pPr>
      <w:r>
        <w:t>重复消息与跨组织合并边界</w:t>
      </w:r>
    </w:p>
    <w:p>
      <w:r>
        <w:t>依据：01_项目边界与访谈.docx、02_服务承诺V1.md、06_角色与权限.xlsx</w:t>
      </w:r>
    </w:p>
    <w:p>
      <w:pPr>
        <w:pStyle w:val="Heading2"/>
      </w:pPr>
      <w:r>
        <w:t>5. 受理分派与协同处理（至少 1900 字符）</w:t>
      </w:r>
    </w:p>
    <w:p>
      <w:pPr>
        <w:pStyle w:val="ListBullet"/>
      </w:pPr>
      <w:r>
        <w:t>受理字段</w:t>
      </w:r>
    </w:p>
    <w:p>
      <w:pPr>
        <w:pStyle w:val="ListBullet"/>
      </w:pPr>
      <w:r>
        <w:t>跨组转派</w:t>
      </w:r>
    </w:p>
    <w:p>
      <w:pPr>
        <w:pStyle w:val="ListBullet"/>
      </w:pPr>
      <w:r>
        <w:t>责任和内部备注</w:t>
      </w:r>
    </w:p>
    <w:p>
      <w:r>
        <w:t>依据：06_角色与权限.xlsx、07_工单详情原型.png</w:t>
      </w:r>
    </w:p>
    <w:p>
      <w:pPr>
        <w:pStyle w:val="Heading2"/>
      </w:pPr>
      <w:r>
        <w:t>6. SLA与升级业务需求（至少 2300 字符）</w:t>
      </w:r>
    </w:p>
    <w:p>
      <w:pPr>
        <w:pStyle w:val="ListBullet"/>
      </w:pPr>
      <w:r>
        <w:t>首次响应和解决区分</w:t>
      </w:r>
    </w:p>
    <w:p>
      <w:pPr>
        <w:pStyle w:val="ListBullet"/>
      </w:pPr>
      <w:r>
        <w:t>工作时间与自然时间</w:t>
      </w:r>
    </w:p>
    <w:p>
      <w:pPr>
        <w:pStyle w:val="ListBullet"/>
      </w:pPr>
      <w:r>
        <w:t>二次升级和降级历史</w:t>
      </w:r>
    </w:p>
    <w:p>
      <w:r>
        <w:t>依据：02_服务承诺V1.md、03_大陆企业专项V2_已批准.docx</w:t>
      </w:r>
    </w:p>
    <w:p>
      <w:pPr>
        <w:pStyle w:val="Heading2"/>
      </w:pPr>
      <w:r>
        <w:t>7. 等待解决关闭与重开（至少 2000 字符）</w:t>
      </w:r>
    </w:p>
    <w:p>
      <w:pPr>
        <w:pStyle w:val="ListBullet"/>
      </w:pPr>
      <w:r>
        <w:t>状态迁移和暂停</w:t>
      </w:r>
    </w:p>
    <w:p>
      <w:pPr>
        <w:pStyle w:val="ListBullet"/>
      </w:pPr>
      <w:r>
        <w:t>48/72小时争议</w:t>
      </w:r>
    </w:p>
    <w:p>
      <w:pPr>
        <w:pStyle w:val="ListBullet"/>
      </w:pPr>
      <w:r>
        <w:t>7日重开窗口</w:t>
      </w:r>
    </w:p>
    <w:p>
      <w:r>
        <w:t>依据：02_服务承诺V1.md、05_关闭规则冲突会议.txt</w:t>
      </w:r>
    </w:p>
    <w:p>
      <w:pPr>
        <w:pStyle w:val="Heading2"/>
      </w:pPr>
      <w:r>
        <w:t>8. 门户与详情页面需求（至少 1700 字符）</w:t>
      </w:r>
    </w:p>
    <w:p>
      <w:pPr>
        <w:pStyle w:val="ListBullet"/>
      </w:pPr>
      <w:r>
        <w:t>客户沟通和内部备注隔离</w:t>
      </w:r>
    </w:p>
    <w:p>
      <w:pPr>
        <w:pStyle w:val="ListBullet"/>
      </w:pPr>
      <w:r>
        <w:t>SLA版本说明</w:t>
      </w:r>
    </w:p>
    <w:p>
      <w:pPr>
        <w:pStyle w:val="ListBullet"/>
      </w:pPr>
      <w:r>
        <w:t>审批弹窗</w:t>
      </w:r>
    </w:p>
    <w:p>
      <w:r>
        <w:t>依据：06_角色与权限.xlsx、07_工单详情原型.png</w:t>
      </w:r>
    </w:p>
    <w:p>
      <w:pPr>
        <w:pStyle w:val="Heading2"/>
      </w:pPr>
      <w:r>
        <w:t>9. 权限审计与迁移需求（至少 1800 字符）</w:t>
      </w:r>
    </w:p>
    <w:p>
      <w:pPr>
        <w:pStyle w:val="ListBullet"/>
      </w:pPr>
      <w:r>
        <w:t>角色矩阵</w:t>
      </w:r>
    </w:p>
    <w:p>
      <w:pPr>
        <w:pStyle w:val="ListBullet"/>
      </w:pPr>
      <w:r>
        <w:t>关键操作留痕</w:t>
      </w:r>
    </w:p>
    <w:p>
      <w:pPr>
        <w:pStyle w:val="ListBullet"/>
      </w:pPr>
      <w:r>
        <w:t>2026年1月1日迁移边界</w:t>
      </w:r>
    </w:p>
    <w:p>
      <w:r>
        <w:t>依据：01_项目边界与访谈.docx、06_角色与权限.xlsx</w:t>
      </w:r>
    </w:p>
    <w:p>
      <w:pPr>
        <w:pStyle w:val="Heading2"/>
      </w:pPr>
      <w:r>
        <w:t>10. 报表指标与业务验收（至少 2200 字符）</w:t>
      </w:r>
    </w:p>
    <w:p>
      <w:pPr>
        <w:pStyle w:val="ListBullet"/>
      </w:pPr>
      <w:r>
        <w:t>首次响应指标口径</w:t>
      </w:r>
    </w:p>
    <w:p>
      <w:pPr>
        <w:pStyle w:val="ListBullet"/>
      </w:pPr>
      <w:r>
        <w:t>分范围超时报表</w:t>
      </w:r>
    </w:p>
    <w:p>
      <w:pPr>
        <w:pStyle w:val="ListBullet"/>
      </w:pPr>
      <w:r>
        <w:t>正向、异常、边界验收</w:t>
      </w:r>
    </w:p>
    <w:p>
      <w:r>
        <w:t>依据：02_服务承诺V1.md、03_大陆企业专项V2_已批准.docx、06_角色与权限.xlsx</w:t>
      </w:r>
    </w:p>
    <w:p>
      <w:pPr>
        <w:pStyle w:val="Heading2"/>
      </w:pPr>
      <w:r>
        <w:t>11. 待决事项与实施阶段（至少 1500 字符）</w:t>
      </w:r>
    </w:p>
    <w:p>
      <w:pPr>
        <w:pStyle w:val="ListBullet"/>
      </w:pPr>
      <w:r>
        <w:t>关闭冲突责任人和期限</w:t>
      </w:r>
    </w:p>
    <w:p>
      <w:pPr>
        <w:pStyle w:val="ListBullet"/>
      </w:pPr>
      <w:r>
        <w:t>未批准路线图</w:t>
      </w:r>
    </w:p>
    <w:p>
      <w:pPr>
        <w:pStyle w:val="ListBullet"/>
      </w:pPr>
      <w:r>
        <w:t>无基线指标不承诺</w:t>
      </w:r>
    </w:p>
    <w:p>
      <w:r>
        <w:t>依据：01_项目边界与访谈.docx、04_路线图V3_未批准.pptx、05_关闭规则冲突会议.txt</w:t>
      </w:r>
    </w:p>
    <w:p>
      <w:pPr>
        <w:pStyle w:val="Heading2"/>
      </w:pPr>
      <w:r>
        <w:t>12. 需求追踪与端到端案例（至少 2300 字符）</w:t>
      </w:r>
    </w:p>
    <w:p>
      <w:pPr>
        <w:pStyle w:val="ListBullet"/>
      </w:pPr>
      <w:r>
        <w:t>需求与证据追踪矩阵</w:t>
      </w:r>
    </w:p>
    <w:p>
      <w:pPr>
        <w:pStyle w:val="ListBullet"/>
      </w:pPr>
      <w:r>
        <w:t>四个SLA案例</w:t>
      </w:r>
    </w:p>
    <w:p>
      <w:pPr>
        <w:pStyle w:val="ListBullet"/>
      </w:pPr>
      <w:r>
        <w:t>权限、合并、重开联合案例</w:t>
      </w:r>
    </w:p>
    <w:p>
      <w:r>
        <w:t>依据：03_大陆企业专项V2_已批准.docx、05_关闭规则冲突会议.txt、06_角色与权限.xlsx</w:t>
      </w:r>
    </w:p>
    <w:p>
      <w:pPr>
        <w:pStyle w:val="Heading1"/>
      </w:pPr>
      <w:r>
        <w:t>二、必须准确表达的事实</w:t>
      </w:r>
    </w:p>
    <w:p>
      <w:r>
        <w:t>F01 [major] 首期接入邮件与网页，电话人工登记，社交平台和自动退款不在本期。</w:t>
      </w:r>
    </w:p>
    <w:p>
      <w:r>
        <w:t>依据：01_项目边界与访谈.docx / 项目背景与交付范围</w:t>
      </w:r>
    </w:p>
    <w:p>
      <w:r>
        <w:t>F02 [major] V1.4于2026年7月1日生效，P1首次人工响应为15分钟。</w:t>
      </w:r>
    </w:p>
    <w:p>
      <w:r>
        <w:t>依据：02_服务承诺V1.md / 版本状态与适用范围；时限表</w:t>
      </w:r>
    </w:p>
    <w:p>
      <w:r>
        <w:t>F03 [critical] V2.0已批准，2026年10月1日00:00:00起仅适用于新建的中国大陆企业工单。</w:t>
      </w:r>
    </w:p>
    <w:p>
      <w:r>
        <w:t>依据：03_大陆企业专项V2_已批准.docx / 批准信息与覆盖边界</w:t>
      </w:r>
    </w:p>
    <w:p>
      <w:r>
        <w:t>F04 [critical] V2适用工单的P1首次人工响应为10分钟，P2仍4小时，P3仍1个工作日。</w:t>
      </w:r>
    </w:p>
    <w:p>
      <w:r>
        <w:t>依据：03_大陆企业专项V2_已批准.docx / 正式变更</w:t>
      </w:r>
    </w:p>
    <w:p>
      <w:r>
        <w:t>F05 [critical] 香港企业、个人客户和生效前大陆企业工单不适用V2专项，仍遵循V1.4。</w:t>
      </w:r>
    </w:p>
    <w:p>
      <w:r>
        <w:t>依据：03_大陆企业专项V2_已批准.docx / 批准信息与覆盖边界</w:t>
      </w:r>
    </w:p>
    <w:p>
      <w:r>
        <w:t>F06 [major] 后续合同迁移不能追溯改变工单创建时的SLA范围快照。</w:t>
      </w:r>
    </w:p>
    <w:p>
      <w:r>
        <w:t>依据：01_项目边界与访谈.docx / 项目背景与交付范围</w:t>
      </w:r>
    </w:p>
    <w:p>
      <w:r>
        <w:t>F07 [critical] 2026年10月2日10:00大陆企业P1的首次响应截止10:10、二次升级10:30。</w:t>
      </w:r>
    </w:p>
    <w:p>
      <w:r>
        <w:t>依据：03_大陆企业专项V2_已批准.docx / 发布核对样例</w:t>
      </w:r>
    </w:p>
    <w:p>
      <w:r>
        <w:t>F08 [major] 2026年9月30日23:58创建的大陆企业P1首次响应截止10月1日00:13。</w:t>
      </w:r>
    </w:p>
    <w:p>
      <w:r>
        <w:t>依据：03_大陆企业专项V2_已批准.docx / 发布核对样例</w:t>
      </w:r>
    </w:p>
    <w:p>
      <w:r>
        <w:t>F09 [critical] V3.0的5分钟仅为未批准草案，不得覆盖V2。</w:t>
      </w:r>
    </w:p>
    <w:p>
      <w:r>
        <w:t>依据：04_路线图V3_未批准.pptx / 仅为讨论稿：不能作为上线承诺</w:t>
      </w:r>
    </w:p>
    <w:p>
      <w:r>
        <w:t>F10 [critical] 自动关闭48小时与72小时属于相同范围内的未决冲突，不能擅自选定。</w:t>
      </w:r>
    </w:p>
    <w:p>
      <w:r>
        <w:t>依据：05_关闭规则冲突会议.txt / 同一范围内存在未决冲突</w:t>
      </w:r>
    </w:p>
    <w:p>
      <w:r>
        <w:t>F11 [major] 关闭规则由林禾决策，目标日期2026年10月20日晚于首期上线日。</w:t>
      </w:r>
    </w:p>
    <w:p>
      <w:r>
        <w:t>依据：05_关闭规则冲突会议.txt / 已形成一致的事项</w:t>
      </w:r>
    </w:p>
    <w:p>
      <w:r>
        <w:t>F12 [major] 关闭后7个自然日内同一问题重开须班长审批；超过7日新建并关联旧单。</w:t>
      </w:r>
    </w:p>
    <w:p>
      <w:r>
        <w:t>依据：05_关闭规则冲突会议.txt / 已形成一致的事项</w:t>
      </w:r>
    </w:p>
    <w:p>
      <w:r>
        <w:t>F13 [critical] 等待客户只暂停解决计时，不能暂停首次响应。</w:t>
      </w:r>
    </w:p>
    <w:p>
      <w:r>
        <w:t>依据：02_服务承诺V1.md / 状态和暂停</w:t>
      </w:r>
    </w:p>
    <w:p>
      <w:r>
        <w:t>F14 [major] 客户看不到内部备注，系统管理员不能天然查看业务正文。</w:t>
      </w:r>
    </w:p>
    <w:p>
      <w:r>
        <w:t>依据：06_角色与权限.xlsx / 权限 Sheet：普通联系人、系统管理员行</w:t>
      </w:r>
    </w:p>
    <w:p>
      <w:r>
        <w:t>F15 [major] 优先级降级须班长审批且保留已发生超时。</w:t>
      </w:r>
    </w:p>
    <w:p>
      <w:r>
        <w:t>依据：03_大陆企业专项V2_已批准.docx / 正式变更</w:t>
      </w:r>
    </w:p>
    <w:p>
      <w:r>
        <w:t>F16 [major] 仅迁移2026年1月1日后创建且尚未关闭的工单。</w:t>
      </w:r>
    </w:p>
    <w:p>
      <w:r>
        <w:t>依据：01_项目边界与访谈.docx / 目标和待补证据</w:t>
      </w:r>
    </w:p>
    <w:p>
      <w:r>
        <w:t>F17 [major] 跨客户组织禁止直接合并工单。</w:t>
      </w:r>
    </w:p>
    <w:p>
      <w:r>
        <w:t>依据：06_角色与权限.xlsx / 必填校验 Sheet：合并行</w:t>
      </w:r>
    </w:p>
    <w:p>
      <w:r>
        <w:t>F18 [major] 重复入站依据来源渠道与外部消息ID去重。</w:t>
      </w:r>
    </w:p>
    <w:p>
      <w:r>
        <w:t>依据：02_服务承诺V1.md / 状态和暂停</w:t>
      </w:r>
    </w:p>
    <w:p>
      <w:pPr>
        <w:pStyle w:val="Heading1"/>
      </w:pPr>
      <w:r>
        <w:t>三、计算与统计口径</w:t>
      </w:r>
    </w:p>
    <w:p>
      <w:r>
        <w:t>C01 V2大陆企业P1首次响应截止：2026-10-02 10:00 + 10分钟 = 2026-10-02 10:10 Asia/Shanghai</w:t>
      </w:r>
    </w:p>
    <w:p>
      <w:r>
        <w:t>C02 V2大陆企业P1二次升级从响应截止起算：2026-10-02 10:10 + 20分钟 = 2026-10-02 10:30 Asia/Shanghai</w:t>
      </w:r>
    </w:p>
    <w:p>
      <w:r>
        <w:t>C03 生效前创建工单沿用V1：2026-09-30 23:58 + 15分钟 = 2026-10-01 00:13 Asia/Shanghai</w:t>
      </w:r>
    </w:p>
    <w:p>
      <w:pPr>
        <w:pStyle w:val="Heading1"/>
      </w:pPr>
      <w:r>
        <w:t>四、图表和原型</w:t>
      </w:r>
    </w:p>
    <w:p>
      <w:pPr>
        <w:pStyle w:val="Heading2"/>
      </w:pPr>
      <w:r>
        <w:t>工单从接入到重开的业务流程 / flowchart</w:t>
      </w:r>
    </w:p>
    <w:p>
      <w:pPr>
        <w:pStyle w:val="ListBullet"/>
      </w:pPr>
      <w:r>
        <w:t>包含合并、等待客户、转派、降级审批和重开分支</w:t>
      </w:r>
    </w:p>
    <w:p>
      <w:pPr>
        <w:pStyle w:val="ListBullet"/>
      </w:pPr>
      <w:r>
        <w:t>自动关闭争议显示待决，不能绘成已启用定时器</w:t>
      </w:r>
    </w:p>
    <w:p>
      <w:pPr>
        <w:pStyle w:val="Heading2"/>
      </w:pPr>
      <w:r>
        <w:t>坐席工单详情与降级审批 / prototype</w:t>
      </w:r>
    </w:p>
    <w:p>
      <w:pPr>
        <w:pStyle w:val="ListBullet"/>
      </w:pPr>
      <w:r>
        <w:t>客户沟通与内部备注分区</w:t>
      </w:r>
    </w:p>
    <w:p>
      <w:pPr>
        <w:pStyle w:val="ListBullet"/>
      </w:pPr>
      <w:r>
        <w:t>展示SLA规则版本、截止时间和审批前原优先级</w:t>
      </w:r>
    </w:p>
    <w:p>
      <w:pPr>
        <w:pStyle w:val="ListBullet"/>
      </w:pPr>
      <w:r>
        <w:t>客户视图不出现内部备注</w:t>
      </w:r>
    </w:p>
    <w:p>
      <w:pPr>
        <w:pStyle w:val="Heading1"/>
      </w:pPr>
      <w:r>
        <w:t>五、缺口与不得写成事实的结论</w:t>
      </w:r>
    </w:p>
    <w:p>
      <w:r>
        <w:t>自动关闭时限：同范围48小时和72小时方案均未批准；预期：双列方案、影响、责任人林禾和2026年10月20日决策期限；自动化验收保留待决，不自行采纳其一</w:t>
      </w:r>
    </w:p>
    <w:p>
      <w:r>
        <w:t>现有平均处理时长基线：访谈明确未提供；预期：标记待采集，量化提升只作为待评估目标建议</w:t>
      </w:r>
    </w:p>
    <w:p>
      <w:r>
        <w:t>香港专项和社交接入排期：路线图未批准；预期：列入后续候选，不加入首期承诺</w:t>
      </w:r>
    </w:p>
    <w:p>
      <w:pPr>
        <w:pStyle w:val="ListBullet"/>
      </w:pPr>
      <w:r>
        <w:t>所有客户P1统一10分钟或5分钟</w:t>
      </w:r>
    </w:p>
    <w:p>
      <w:pPr>
        <w:pStyle w:val="ListBullet"/>
      </w:pPr>
      <w:r>
        <w:t>最新V3文件自动覆盖已批准V2</w:t>
      </w:r>
    </w:p>
    <w:p>
      <w:pPr>
        <w:pStyle w:val="ListBullet"/>
      </w:pPr>
      <w:r>
        <w:t>二次升级是建单后20分钟</w:t>
      </w:r>
    </w:p>
    <w:p>
      <w:pPr>
        <w:pStyle w:val="ListBullet"/>
      </w:pPr>
      <w:r>
        <w:t>48小时或72小时自动关闭已经确定</w:t>
      </w:r>
    </w:p>
    <w:p>
      <w:pPr>
        <w:pStyle w:val="ListBullet"/>
      </w:pPr>
      <w:r>
        <w:t>等待客户暂停首次响应</w:t>
      </w:r>
    </w:p>
    <w:p>
      <w:pPr>
        <w:pStyle w:val="ListBullet"/>
      </w:pPr>
      <w:r>
        <w:t>客户可见内部备注</w:t>
      </w:r>
    </w:p>
    <w:p>
      <w:pPr>
        <w:pStyle w:val="ListBullet"/>
      </w:pPr>
      <w:r>
        <w:t>降级可抹去历史超时</w:t>
      </w:r>
    </w:p>
    <w:p>
      <w:pPr>
        <w:pStyle w:val="ListBullet"/>
      </w:pPr>
      <w:r>
        <w:t>自动退款属于首期</w:t>
      </w:r>
    </w:p>
    <w:p>
      <w:pPr>
        <w:pStyle w:val="ListBullet"/>
      </w:pPr>
      <w:r>
        <w:t>已有证据保证处理时长降低某个百分比</w:t>
      </w:r>
    </w:p>
    <w:p>
      <w:pPr>
        <w:pStyle w:val="Heading1"/>
      </w:pPr>
      <w:r>
        <w:t>六、人工语义与版式验收</w:t>
      </w:r>
    </w:p>
    <w:p>
      <w:pPr>
        <w:pStyle w:val="ListBullet"/>
      </w:pPr>
      <w:r>
        <w:t>目录与正文至少覆盖12章；各章描述具体输入、动作、异常和验收，不重复扩写背景。</w:t>
      </w:r>
    </w:p>
    <w:p>
      <w:pPr>
        <w:pStyle w:val="ListBullet"/>
      </w:pPr>
      <w:r>
        <w:t>四个发布时间/地域/客户类型边界案例给出正确SLA，图表与正文没有第二套口径。</w:t>
      </w:r>
    </w:p>
    <w:p>
      <w:pPr>
        <w:pStyle w:val="ListBullet"/>
      </w:pPr>
      <w:r>
        <w:t>每条关键需求可追到来源版本、位置和验收条件；未决冲突不能被填入确定数值。</w:t>
      </w:r>
    </w:p>
    <w:p>
      <w:pPr>
        <w:pStyle w:val="ListBullet"/>
      </w:pPr>
      <w:r>
        <w:t>最终Word中表格不越页边界，标题层级一致，图中文字可辨认，封面/目录/页码完整。</w:t>
      </w:r>
    </w:p>
    <w:p>
      <w:pPr>
        <w:pStyle w:val="ListBullet"/>
      </w:pPr>
      <w:r>
        <w:t>至少覆盖15个端到端、异常与边界验收案例，包含降级保留超时、跨组织合并拦截和7日重开。</w:t>
      </w:r>
    </w:p>
    <w:p>
      <w:pPr>
        <w:pStyle w:val="ListBullet"/>
      </w:pPr>
      <w:r>
        <w:t>章节层级与目录一致，标题不孤悬；页码在 Word/WPS 更新后核对。</w:t>
      </w:r>
    </w:p>
    <w:p>
      <w:pPr>
        <w:pStyle w:val="ListBullet"/>
      </w:pPr>
      <w:r>
        <w:t>表头跨页重复，表格和图片不超出页边距；正文、标题、表格使用一致的中文字体。</w:t>
      </w:r>
    </w:p>
    <w:p>
      <w:pPr>
        <w:pStyle w:val="ListBullet"/>
      </w:pPr>
      <w:r>
        <w:t>流程图分支、回路、例外条件与正文一致；缩放到实际页面后图中文字清晰。</w:t>
      </w:r>
    </w:p>
    <w:p>
      <w:pPr>
        <w:pStyle w:val="ListBullet"/>
      </w:pPr>
      <w:r>
        <w:t>模型建议与已证实事实明确区分，重复段落和空泛扩写不能用于补足字数。</w:t>
      </w:r>
    </w:p>
    <w:p>
      <w:pPr>
        <w:pStyle w:val="ListBullet"/>
      </w:pPr>
      <w:r>
        <w:t>达到字数或命中关键词不代表语义验收通过；逐项确认事实、关系、缺口与来源。</w:t>
      </w:r>
    </w:p>
    <w:p>
      <w:pPr>
        <w:pStyle w:val="Heading1"/>
      </w:pPr>
      <w:r>
        <w:t>七、执行与过程验收</w:t>
      </w:r>
    </w:p>
    <w:p>
      <w:r>
        <w:t>{</w:t>
        <w:br/>
        <w:t xml:space="preserve">  "web_mode": "disabled",</w:t>
        <w:br/>
        <w:t xml:space="preserve">  "local_round_limit": 3,</w:t>
        <w:br/>
        <w:t xml:space="preserve">  "web_round_limit": 2,</w:t>
        <w:br/>
        <w:t xml:space="preserve">  "notes": [</w:t>
        <w:br/>
        <w:t xml:space="preserve">    "全部组织、人物和制度均为虚构；无需查询外部资料。",</w:t>
        <w:br/>
        <w:t xml:space="preserve">    "关闭规则的未决冲突是预期业务产物，不要求模型消除冲突。",</w:t>
        <w:br/>
        <w:t xml:space="preserve">    "字数以最终验收统一口径统计；不能把源文件、空白占位和重复段落计入有效内容。"</w:t>
        <w:br/>
        <w:t xml:space="preserve">  ]</w:t>
        <w:br/>
        <w:t>}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