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大陆企业客户服务专项 V2.0：批准件</w:t>
      </w:r>
    </w:p>
    <w:p>
      <w:pPr>
        <w:pStyle w:val="Heading1"/>
      </w:pPr>
      <w:r>
        <w:t>批准信息与覆盖边界</w:t>
      </w:r>
    </w:p>
    <w:p>
      <w:r>
        <w:t>版本V2.0由业务负责人林禾于2026年9月25日批准，生效时间2026年10月1日00:00:00 Asia/Shanghai。仅覆盖创建时间达到生效时间、合同地区为中国大陆、客户类型为企业的工单。三个条件必须同时成立。</w:t>
      </w:r>
    </w:p>
    <w:p>
      <w:r>
        <w:t>V2只覆盖本文明确列出的规则，其他规则继承V1.4。香港企业、个人客户以及2026年10月1日之前创建的大陆企业工单继续按V1.4；规则看工单创建时快照，后续客户迁移不追溯变更。</w:t>
      </w:r>
    </w:p>
    <w:p>
      <w:pPr>
        <w:pStyle w:val="Heading1"/>
      </w:pPr>
      <w:r>
        <w:t>正式变更</w:t>
      </w:r>
    </w:p>
    <w:p>
      <w:r>
        <w:t>符合V2范围的P1首次人工响应时限为10分钟；P2仍为4个服务工作小时；P3仍为1个工作日。P1连续自然时间计时不变。</w:t>
      </w:r>
    </w:p>
    <w:p>
      <w:r>
        <w:t>新增大陆企业P1二次升级：首次响应超时后立即升级值班班长；超时累计达到20分钟且仍未首次响应，再升级服务经理。这里的20分钟从首次响应截止时间起计算，而不是从建单时计算。</w:t>
      </w:r>
    </w:p>
    <w:p>
      <w:r>
        <w:t>任何优先级降级必须由班长审批。降级后保留原始优先级与原SLA历史；不得用降级删除已发生的超时。</w:t>
      </w:r>
    </w:p>
    <w:p>
      <w:pPr>
        <w:pStyle w:val="Heading1"/>
      </w:pPr>
      <w:r>
        <w:t>发布核对样例</w:t>
      </w:r>
    </w:p>
    <w:p>
      <w:r>
        <w:t>样例A：大陆企业P1，2026年10月2日10:00创建，首次响应截止10:10，未响应的二次升级时点10:30。样例B：香港企业同一时点创建P1，首次响应截止10:15。样例C：大陆个人同一时点创建P1，截止10:15。样例D：大陆企业2026年9月30日23:58创建P1，截止2026年10月1日00:13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Folio 合成测试资料 · 不对应真实企业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