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库存补货经营分析报告：表格计算与可复核金标 · 交付预期与验收</w:t>
      </w:r>
    </w:p>
    <w:p>
      <w:r>
        <w:t>本文件供测试人员核对成品，不上传资料库。它是验收蓝图，不是已经生成的完整业务文档。</w:t>
      </w:r>
    </w:p>
    <w:p>
      <w:r>
        <w:t>目标文件：澜舟耗材_2026年9月库存与补货分析报告.docx；类型：general；正文目标：18,000—25,000 字符。</w:t>
      </w:r>
    </w:p>
    <w:p>
      <w:r>
        <w:t>正文有效字符数：汉字、英文字母、数字逐字符计数，计入表格，不计封面、目录、标题、页眉页脚、空白和标点。页数只作观察，不作字数替代。</w:t>
      </w:r>
    </w:p>
    <w:p>
      <w:pPr>
        <w:pStyle w:val="Heading1"/>
      </w:pPr>
      <w:r>
        <w:t>一、预期目录与各章展开程度</w:t>
      </w:r>
    </w:p>
    <w:p>
      <w:pPr>
        <w:pStyle w:val="Heading2"/>
      </w:pPr>
      <w:r>
        <w:t>1. 管理摘要与结论（至少 1300 字符）</w:t>
      </w:r>
    </w:p>
    <w:p>
      <w:pPr>
        <w:pStyle w:val="ListBullet"/>
      </w:pPr>
      <w:r>
        <w:t>核心指标</w:t>
      </w:r>
    </w:p>
    <w:p>
      <w:pPr>
        <w:pStyle w:val="ListBullet"/>
      </w:pPr>
      <w:r>
        <w:t>采购行动</w:t>
      </w:r>
    </w:p>
    <w:p>
      <w:pPr>
        <w:pStyle w:val="ListBullet"/>
      </w:pPr>
      <w:r>
        <w:t>重要限制</w:t>
      </w:r>
    </w:p>
    <w:p>
      <w:r>
        <w:t>依据：01_分析委托与口径.docx、04_补货规则.md、05_经营复盘访谈.txt</w:t>
      </w:r>
    </w:p>
    <w:p>
      <w:pPr>
        <w:pStyle w:val="Heading2"/>
      </w:pPr>
      <w:r>
        <w:t>2. 业务背景与数据范围（至少 1400 字符）</w:t>
      </w:r>
    </w:p>
    <w:p>
      <w:pPr>
        <w:pStyle w:val="ListBullet"/>
      </w:pPr>
      <w:r>
        <w:t>公司和SKU</w:t>
      </w:r>
    </w:p>
    <w:p>
      <w:pPr>
        <w:pStyle w:val="ListBullet"/>
      </w:pPr>
      <w:r>
        <w:t>统计窗口</w:t>
      </w:r>
    </w:p>
    <w:p>
      <w:pPr>
        <w:pStyle w:val="ListBullet"/>
      </w:pPr>
      <w:r>
        <w:t>字段与来源</w:t>
      </w:r>
    </w:p>
    <w:p>
      <w:r>
        <w:t>依据：01_分析委托与口径.docx、02_九月销售与退款.xlsx、03_库存与采购.xlsx</w:t>
      </w:r>
    </w:p>
    <w:p>
      <w:pPr>
        <w:pStyle w:val="Heading2"/>
      </w:pPr>
      <w:r>
        <w:t>3. 数据质量与纳入排除规则（至少 1700 字符）</w:t>
      </w:r>
    </w:p>
    <w:p>
      <w:pPr>
        <w:pStyle w:val="ListBullet"/>
      </w:pPr>
      <w:r>
        <w:t>状态过滤</w:t>
      </w:r>
    </w:p>
    <w:p>
      <w:pPr>
        <w:pStyle w:val="ListBullet"/>
      </w:pPr>
      <w:r>
        <w:t>关联键</w:t>
      </w:r>
    </w:p>
    <w:p>
      <w:pPr>
        <w:pStyle w:val="ListBullet"/>
      </w:pPr>
      <w:r>
        <w:t>时区和隐藏旧口径</w:t>
      </w:r>
    </w:p>
    <w:p>
      <w:r>
        <w:t>依据：01_分析委托与口径.docx、02_九月销售与退款.xlsx</w:t>
      </w:r>
    </w:p>
    <w:p>
      <w:pPr>
        <w:pStyle w:val="Heading2"/>
      </w:pPr>
      <w:r>
        <w:t>4. 销售规模与SKU构成（至少 1700 字符）</w:t>
      </w:r>
    </w:p>
    <w:p>
      <w:pPr>
        <w:pStyle w:val="ListBullet"/>
      </w:pPr>
      <w:r>
        <w:t>净销售额和数量</w:t>
      </w:r>
    </w:p>
    <w:p>
      <w:pPr>
        <w:pStyle w:val="ListBullet"/>
      </w:pPr>
      <w:r>
        <w:t>SKU构成</w:t>
      </w:r>
    </w:p>
    <w:p>
      <w:pPr>
        <w:pStyle w:val="ListBullet"/>
      </w:pPr>
      <w:r>
        <w:t>不可算同比环比</w:t>
      </w:r>
    </w:p>
    <w:p>
      <w:r>
        <w:t>依据：02_九月销售与退款.xlsx、05_经营复盘访谈.txt</w:t>
      </w:r>
    </w:p>
    <w:p>
      <w:pPr>
        <w:pStyle w:val="Heading2"/>
      </w:pPr>
      <w:r>
        <w:t>5. 退款影响与异常订单（至少 1500 字符）</w:t>
      </w:r>
    </w:p>
    <w:p>
      <w:pPr>
        <w:pStyle w:val="ListBullet"/>
      </w:pPr>
      <w:r>
        <w:t>已完成与处理中</w:t>
      </w:r>
    </w:p>
    <w:p>
      <w:pPr>
        <w:pStyle w:val="ListBullet"/>
      </w:pPr>
      <w:r>
        <w:t>排除行</w:t>
      </w:r>
    </w:p>
    <w:p>
      <w:pPr>
        <w:pStyle w:val="ListBullet"/>
      </w:pPr>
      <w:r>
        <w:t>假设情景区分</w:t>
      </w:r>
    </w:p>
    <w:p>
      <w:r>
        <w:t>依据：02_九月销售与退款.xlsx、05_经营复盘访谈.txt</w:t>
      </w:r>
    </w:p>
    <w:p>
      <w:pPr>
        <w:pStyle w:val="Heading2"/>
      </w:pPr>
      <w:r>
        <w:t>6. 仓别经营表现（至少 1400 字符）</w:t>
      </w:r>
    </w:p>
    <w:p>
      <w:pPr>
        <w:pStyle w:val="ListBullet"/>
      </w:pPr>
      <w:r>
        <w:t>东仓和西仓</w:t>
      </w:r>
    </w:p>
    <w:p>
      <w:pPr>
        <w:pStyle w:val="ListBullet"/>
      </w:pPr>
      <w:r>
        <w:t>可比口径</w:t>
      </w:r>
    </w:p>
    <w:p>
      <w:pPr>
        <w:pStyle w:val="ListBullet"/>
      </w:pPr>
      <w:r>
        <w:t>不能直接判断仓库效率</w:t>
      </w:r>
    </w:p>
    <w:p>
      <w:r>
        <w:t>依据：02_九月销售与退款.xlsx、05_经营复盘访谈.txt</w:t>
      </w:r>
    </w:p>
    <w:p>
      <w:pPr>
        <w:pStyle w:val="Heading2"/>
      </w:pPr>
      <w:r>
        <w:t>7. 成本毛利与结构分析（至少 1800 字符）</w:t>
      </w:r>
    </w:p>
    <w:p>
      <w:pPr>
        <w:pStyle w:val="ListBullet"/>
      </w:pPr>
      <w:r>
        <w:t>标准成本</w:t>
      </w:r>
    </w:p>
    <w:p>
      <w:pPr>
        <w:pStyle w:val="ListBullet"/>
      </w:pPr>
      <w:r>
        <w:t>毛利率</w:t>
      </w:r>
    </w:p>
    <w:p>
      <w:pPr>
        <w:pStyle w:val="ListBullet"/>
      </w:pPr>
      <w:r>
        <w:t>非净利润</w:t>
      </w:r>
    </w:p>
    <w:p>
      <w:r>
        <w:t>依据：01_分析委托与口径.docx、02_九月销售与退款.xlsx、03_库存与采购.xlsx</w:t>
      </w:r>
    </w:p>
    <w:p>
      <w:pPr>
        <w:pStyle w:val="Heading2"/>
      </w:pPr>
      <w:r>
        <w:t>8. 期末库存与在途诊断（至少 1800 字符）</w:t>
      </w:r>
    </w:p>
    <w:p>
      <w:pPr>
        <w:pStyle w:val="ListBullet"/>
      </w:pPr>
      <w:r>
        <w:t>实物预留和可售</w:t>
      </w:r>
    </w:p>
    <w:p>
      <w:pPr>
        <w:pStyle w:val="ListBullet"/>
      </w:pPr>
      <w:r>
        <w:t>采购状态</w:t>
      </w:r>
    </w:p>
    <w:p>
      <w:pPr>
        <w:pStyle w:val="ListBullet"/>
      </w:pPr>
      <w:r>
        <w:t>退货与收货不重复</w:t>
      </w:r>
    </w:p>
    <w:p>
      <w:r>
        <w:t>依据：01_分析委托与口径.docx、03_库存与采购.xlsx</w:t>
      </w:r>
    </w:p>
    <w:p>
      <w:pPr>
        <w:pStyle w:val="Heading2"/>
      </w:pPr>
      <w:r>
        <w:t>9. 补货模型与计算过程（至少 2000 字符）</w:t>
      </w:r>
    </w:p>
    <w:p>
      <w:pPr>
        <w:pStyle w:val="ListBullet"/>
      </w:pPr>
      <w:r>
        <w:t>精确日需求</w:t>
      </w:r>
    </w:p>
    <w:p>
      <w:pPr>
        <w:pStyle w:val="ListBullet"/>
      </w:pPr>
      <w:r>
        <w:t>触发规则</w:t>
      </w:r>
    </w:p>
    <w:p>
      <w:pPr>
        <w:pStyle w:val="ListBullet"/>
      </w:pPr>
      <w:r>
        <w:t>包装取整和标准成本预算</w:t>
      </w:r>
    </w:p>
    <w:p>
      <w:r>
        <w:t>依据：03_库存与采购.xlsx、04_补货规则.md</w:t>
      </w:r>
    </w:p>
    <w:p>
      <w:pPr>
        <w:pStyle w:val="Heading2"/>
      </w:pPr>
      <w:r>
        <w:t>10. SKU补货建议与执行清单（至少 1800 字符）</w:t>
      </w:r>
    </w:p>
    <w:p>
      <w:pPr>
        <w:pStyle w:val="ListBullet"/>
      </w:pPr>
      <w:r>
        <w:t>四SKU逐项解释</w:t>
      </w:r>
    </w:p>
    <w:p>
      <w:pPr>
        <w:pStyle w:val="ListBullet"/>
      </w:pPr>
      <w:r>
        <w:t>A和C采购量</w:t>
      </w:r>
    </w:p>
    <w:p>
      <w:pPr>
        <w:pStyle w:val="ListBullet"/>
      </w:pPr>
      <w:r>
        <w:t>不擅自仓间分配</w:t>
      </w:r>
    </w:p>
    <w:p>
      <w:r>
        <w:t>依据：03_库存与采购.xlsx、04_补货规则.md、06_汇报框架.pptx</w:t>
      </w:r>
    </w:p>
    <w:p>
      <w:pPr>
        <w:pStyle w:val="Heading2"/>
      </w:pPr>
      <w:r>
        <w:t>11. 风险情景与数据缺口（至少 1600 字符）</w:t>
      </w:r>
    </w:p>
    <w:p>
      <w:pPr>
        <w:pStyle w:val="ListBullet"/>
      </w:pPr>
      <w:r>
        <w:t>R004假设</w:t>
      </w:r>
    </w:p>
    <w:p>
      <w:pPr>
        <w:pStyle w:val="ListBullet"/>
      </w:pPr>
      <w:r>
        <w:t>缺失履约和季节数据</w:t>
      </w:r>
    </w:p>
    <w:p>
      <w:pPr>
        <w:pStyle w:val="ListBullet"/>
      </w:pPr>
      <w:r>
        <w:t>建议可信边界</w:t>
      </w:r>
    </w:p>
    <w:p>
      <w:r>
        <w:t>依据：05_经营复盘访谈.txt</w:t>
      </w:r>
    </w:p>
    <w:p>
      <w:pPr>
        <w:pStyle w:val="Heading2"/>
      </w:pPr>
      <w:r>
        <w:t>12. 计算复核附录与指标字典（至少 2300 字符）</w:t>
      </w:r>
    </w:p>
    <w:p>
      <w:pPr>
        <w:pStyle w:val="ListBullet"/>
      </w:pPr>
      <w:r>
        <w:t>逐行纳入排除</w:t>
      </w:r>
    </w:p>
    <w:p>
      <w:pPr>
        <w:pStyle w:val="ListBullet"/>
      </w:pPr>
      <w:r>
        <w:t>公式和中间值</w:t>
      </w:r>
    </w:p>
    <w:p>
      <w:pPr>
        <w:pStyle w:val="ListBullet"/>
      </w:pPr>
      <w:r>
        <w:t>金标可复算</w:t>
      </w:r>
    </w:p>
    <w:p>
      <w:r>
        <w:t>依据：01_分析委托与口径.docx、02_九月销售与退款.xlsx、03_库存与采购.xlsx、04_补货规则.md</w:t>
      </w:r>
    </w:p>
    <w:p>
      <w:pPr>
        <w:pStyle w:val="Heading1"/>
      </w:pPr>
      <w:r>
        <w:t>二、必须准确表达的事实</w:t>
      </w:r>
    </w:p>
    <w:p>
      <w:r>
        <w:t>F01 [major] 统计月为2026年9月，时区Asia/Shanghai，10月1日00:00不纳入。</w:t>
      </w:r>
    </w:p>
    <w:p>
      <w:r>
        <w:t>依据：01_分析委托与口径.docx / 统计窗口与金额口径</w:t>
      </w:r>
    </w:p>
    <w:p>
      <w:r>
        <w:t>F02 [critical] S009作废、S010待支付、S011窗口外均排除。</w:t>
      </w:r>
    </w:p>
    <w:p>
      <w:r>
        <w:t>依据：02_九月销售与退款.xlsx / 销售明细 Sheet</w:t>
      </w:r>
    </w:p>
    <w:p>
      <w:r>
        <w:t>F03 [critical] R004处理中，5000分和10包不得冲减9月已实现指标。</w:t>
      </w:r>
    </w:p>
    <w:p>
      <w:r>
        <w:t>依据：02_九月销售与退款.xlsx / 退款明细 Sheet R004</w:t>
      </w:r>
    </w:p>
    <w:p>
      <w:r>
        <w:t>F04 [major] 正式退款仅R001、R002、R003，合计56000分即560元。</w:t>
      </w:r>
    </w:p>
    <w:p>
      <w:r>
        <w:t>依据：02_九月销售与退款.xlsx / 退款明细 Sheet</w:t>
      </w:r>
    </w:p>
    <w:p>
      <w:r>
        <w:t>F05 [critical] 净销售额12340元。</w:t>
      </w:r>
    </w:p>
    <w:p>
      <w:r>
        <w:t>依据：02_九月销售与退款.xlsx / 销售明细和退款明细</w:t>
      </w:r>
    </w:p>
    <w:p>
      <w:r>
        <w:t>F06 [critical] 净销售成本7460元、毛利4880元、毛利率39.55%。</w:t>
      </w:r>
    </w:p>
    <w:p>
      <w:r>
        <w:t>依据：03_库存与采购.xlsx / SKU参数与销售退款联合计算</w:t>
      </w:r>
    </w:p>
    <w:p>
      <w:r>
        <w:t>F07 [major] A净销量190件、净销售5700元，净销售额最大。</w:t>
      </w:r>
    </w:p>
    <w:p>
      <w:r>
        <w:t>依据：02_九月销售与退款.xlsx / SKU A行</w:t>
      </w:r>
    </w:p>
    <w:p>
      <w:r>
        <w:t>F08 [major] C净销量280双；D净销量300包；不同单位不得混为可比总销量。</w:t>
      </w:r>
    </w:p>
    <w:p>
      <w:r>
        <w:t>依据：02_九月销售与退款.xlsx / SKU C与D行</w:t>
      </w:r>
    </w:p>
    <w:p>
      <w:r>
        <w:t>F09 [major] A库存位置55件，由可售现货35件与确认在途20件组成。</w:t>
      </w:r>
    </w:p>
    <w:p>
      <w:r>
        <w:t>依据：03_库存与采购.xlsx / 库存快照 A；采购 P001</w:t>
      </w:r>
    </w:p>
    <w:p>
      <w:r>
        <w:t>F10 [major] B库存位置105瓶，C50双，D170包。</w:t>
      </w:r>
    </w:p>
    <w:p>
      <w:r>
        <w:t>依据：03_库存与采购.xlsx / 库存快照及采购订单</w:t>
      </w:r>
    </w:p>
    <w:p>
      <w:r>
        <w:t>F11 [major] 仅P001、P002计入在途；P003草稿、P004取消、P005已收货不计在途。</w:t>
      </w:r>
    </w:p>
    <w:p>
      <w:r>
        <w:t>依据：03_库存与采购.xlsx / 采购订单 Sheet</w:t>
      </w:r>
    </w:p>
    <w:p>
      <w:r>
        <w:t>F12 [critical] A建议补货140件；C建议补货150双；B和D不触发补货。</w:t>
      </w:r>
    </w:p>
    <w:p>
      <w:r>
        <w:t>依据：04_补货规则.md / 固定计算方法联合SKU参数</w:t>
      </w:r>
    </w:p>
    <w:p>
      <w:r>
        <w:t>F13 [critical] 采购预算按标准成本为3270元，不是供应商报价。</w:t>
      </w:r>
    </w:p>
    <w:p>
      <w:r>
        <w:t>依据：04_补货规则.md / 固定计算方法</w:t>
      </w:r>
    </w:p>
    <w:p>
      <w:r>
        <w:t>F14 [major] 东仓净销售7340元，西仓5000元。</w:t>
      </w:r>
    </w:p>
    <w:p>
      <w:r>
        <w:t>依据：02_九月销售与退款.xlsx / 按仓库汇总</w:t>
      </w:r>
    </w:p>
    <w:p>
      <w:r>
        <w:t>F15 [major] 库存快照已包含退货入库和P005，不得二次追加。</w:t>
      </w:r>
    </w:p>
    <w:p>
      <w:r>
        <w:t>依据：03_库存与采购.xlsx / 快照说明 Sheet</w:t>
      </w:r>
    </w:p>
    <w:p>
      <w:r>
        <w:t>F16 [major] 没有历史比较期数据，不能计算同比环比，也不能声称精确缺货天数。</w:t>
      </w:r>
    </w:p>
    <w:p>
      <w:r>
        <w:t>依据：05_经营复盘访谈.txt / 资料局限与管理动作</w:t>
      </w:r>
    </w:p>
    <w:p>
      <w:r>
        <w:t>F17 [major] 隐藏Sheet旧口径已废止，不能采用处理中退款扣除规则。</w:t>
      </w:r>
    </w:p>
    <w:p>
      <w:r>
        <w:t>依据：02_九月销售与退款.xlsx / 旧口径_禁用 Sheet</w:t>
      </w:r>
    </w:p>
    <w:p>
      <w:pPr>
        <w:pStyle w:val="Heading1"/>
      </w:pPr>
      <w:r>
        <w:t>三、计算与统计口径</w:t>
      </w:r>
    </w:p>
    <w:p>
      <w:r>
        <w:t>C01 合格销售毛实收：360000+240000+180000+120000+160000+80000+80000+70000 = 1290000 分</w:t>
      </w:r>
    </w:p>
    <w:p>
      <w:r>
        <w:t>C02 已完成合格退款：30000+10000+16000；R004处理中不计 = 56000 分</w:t>
      </w:r>
    </w:p>
    <w:p>
      <w:r>
        <w:t>C03 净销售额：1290000-56000 = 1234000 分</w:t>
      </w:r>
    </w:p>
    <w:p>
      <w:r>
        <w:t>C_A_NET A净销量与净销售额：该SKU合格销售减已完成合格退款 = {'net_quantity': 190, 'net_revenue_fen': 570000, 'gross_profit_fen': 228000} 数量：件；金额：分</w:t>
      </w:r>
    </w:p>
    <w:p>
      <w:r>
        <w:t>C_A_REORDER A补货计算：联合来源 03_库存与采购.xlsx、04_补货规则.md；d=190/30；库存位置=55；再订货点=(190/30)*15；低于再订货点才按目标30天和包装20向上取整 = {'inventory_position': 55, 'daily_demand_exact': '190/30', 'reorder_point_exact': '2850/30', 'order_quantity': 140, 'budget_fen': 252000} 数量：件；金额：分</w:t>
      </w:r>
    </w:p>
    <w:p>
      <w:r>
        <w:t>C_B_NET B净销量与净销售额：该SKU合格销售减已完成合格退款 = {'net_quantity': 145, 'net_revenue_fen': 290000, 'gross_profit_fen': 116000} 数量：瓶；金额：分</w:t>
      </w:r>
    </w:p>
    <w:p>
      <w:r>
        <w:t>C_B_REORDER B补货计算：联合来源 03_库存与采购.xlsx、04_补货规则.md；d=145/30；库存位置=105；再订货点=(145/30)*10；低于再订货点才按目标30天和包装10向上取整 = {'inventory_position': 105, 'daily_demand_exact': '145/30', 'reorder_point_exact': '1450/30', 'order_quantity': 0, 'budget_fen': 0} 数量：瓶；金额：分</w:t>
      </w:r>
    </w:p>
    <w:p>
      <w:r>
        <w:t>C_C_NET C净销量与净销售额：该SKU合格销售减已完成合格退款 = {'net_quantity': 280, 'net_revenue_fen': 224000, 'gross_profit_fen': 84000} 数量：双；金额：分</w:t>
      </w:r>
    </w:p>
    <w:p>
      <w:r>
        <w:t>C_C_REORDER C补货计算：联合来源 03_库存与采购.xlsx、04_补货规则.md；d=280/30；库存位置=50；再订货点=(280/30)*10；低于再订货点才按目标20天和包装50向上取整 = {'inventory_position': 50, 'daily_demand_exact': '280/30', 'reorder_point_exact': '2800/30', 'order_quantity': 150, 'budget_fen': 75000} 数量：双；金额：分</w:t>
      </w:r>
    </w:p>
    <w:p>
      <w:r>
        <w:t>C_D_NET D净销量与净销售额：该SKU合格销售减已完成合格退款 = {'net_quantity': 300, 'net_revenue_fen': 150000, 'gross_profit_fen': 60000} 数量：包；金额：分</w:t>
      </w:r>
    </w:p>
    <w:p>
      <w:r>
        <w:t>C_D_REORDER D补货计算：联合来源 03_库存与采购.xlsx、04_补货规则.md；d=300/30；库存位置=170；再订货点=(300/30)*7；低于再订货点才按目标20天和包装25向上取整 = {'inventory_position': 170, 'daily_demand_exact': '300/30', 'reorder_point_exact': '2100/30', 'order_quantity': 0, 'budget_fen': 0} 数量：包；金额：分</w:t>
      </w:r>
    </w:p>
    <w:p>
      <w:r>
        <w:t>C04 公司净销售成本：联合来源 02_九月销售与退款.xlsx、03_库存与采购.xlsx；190*1800+145*1200+280*500+300*300 = 746000 分</w:t>
      </w:r>
    </w:p>
    <w:p>
      <w:r>
        <w:t>C05 公司净毛利：联合来源 02_九月销售与退款.xlsx、03_库存与采购.xlsx；1234000-746000 = 488000 分</w:t>
      </w:r>
    </w:p>
    <w:p>
      <w:r>
        <w:t>C06 公司毛利率：联合来源 02_九月销售与退款.xlsx、03_库存与采购.xlsx；488000/1234000*100，最后四舍五入保留2位 = 39.55 %</w:t>
      </w:r>
    </w:p>
    <w:p>
      <w:r>
        <w:t>C07 补货标准成本预算合计：联合来源 03_库存与采购.xlsx、04_补货规则.md；140*1800+150*500 = 327000 分</w:t>
      </w:r>
    </w:p>
    <w:p>
      <w:r>
        <w:t>C_EAST 东仓净销售：该仓合格销售减该仓已完成合格退款 = {'net_quantity': 540, 'net_revenue_fen': 734000} 混合计量单位的数量仅供逐行核对，不作可比业务指标；金额：分</w:t>
      </w:r>
    </w:p>
    <w:p>
      <w:r>
        <w:t>C_WEST 西仓净销售：该仓合格销售减该仓已完成合格退款 = {'net_quantity': 375, 'net_revenue_fen': 500000} 混合计量单位的数量仅供逐行核对，不作可比业务指标；金额：分</w:t>
      </w:r>
    </w:p>
    <w:p>
      <w:pPr>
        <w:pStyle w:val="Heading1"/>
      </w:pPr>
      <w:r>
        <w:t>四、图表和原型</w:t>
      </w:r>
    </w:p>
    <w:p>
      <w:pPr>
        <w:pStyle w:val="Heading2"/>
      </w:pPr>
      <w:r>
        <w:t>各SKU净销售额与毛利 / chart</w:t>
      </w:r>
    </w:p>
    <w:p>
      <w:pPr>
        <w:pStyle w:val="ListBullet"/>
      </w:pPr>
      <w:r>
        <w:t>元为单位</w:t>
      </w:r>
    </w:p>
    <w:p>
      <w:pPr>
        <w:pStyle w:val="ListBullet"/>
      </w:pPr>
      <w:r>
        <w:t>A5700/2280，B2900/1160，C2240/840，D1500/600</w:t>
      </w:r>
    </w:p>
    <w:p>
      <w:pPr>
        <w:pStyle w:val="ListBullet"/>
      </w:pPr>
      <w:r>
        <w:t>不将数量与货币共用无说明坐标轴</w:t>
      </w:r>
    </w:p>
    <w:p>
      <w:pPr>
        <w:pStyle w:val="Heading2"/>
      </w:pPr>
      <w:r>
        <w:t>库存位置与再订货点 / chart</w:t>
      </w:r>
    </w:p>
    <w:p>
      <w:pPr>
        <w:pStyle w:val="ListBullet"/>
      </w:pPr>
      <w:r>
        <w:t>A55对95，B105对145/3，C50对280/3，D170对70</w:t>
      </w:r>
    </w:p>
    <w:p>
      <w:pPr>
        <w:pStyle w:val="ListBullet"/>
      </w:pPr>
      <w:r>
        <w:t>不同SKU计量单位清楚标注</w:t>
      </w:r>
    </w:p>
    <w:p>
      <w:pPr>
        <w:pStyle w:val="ListBullet"/>
      </w:pPr>
      <w:r>
        <w:t>A/C低于阈值，B/D不低于阈值</w:t>
      </w:r>
    </w:p>
    <w:p>
      <w:pPr>
        <w:pStyle w:val="Heading1"/>
      </w:pPr>
      <w:r>
        <w:t>五、缺口与不得写成事实的结论</w:t>
      </w:r>
    </w:p>
    <w:p>
      <w:r>
        <w:t>同比、环比和季节性：只有2026年9月单月数据；预期：明确无法计算，列出需要补充的比较期与连续销售数据</w:t>
      </w:r>
    </w:p>
    <w:p>
      <w:r>
        <w:t>仓间调拨及供应商选型：没有运费、仓别服务目标、报价和履约历史；预期：不直接分配公司级采购到两仓；给出数据收集与审批建议</w:t>
      </w:r>
    </w:p>
    <w:p>
      <w:r>
        <w:t>实际缺货与精确库存周转：仅有期末快照，无每日库存流水；预期：使用期末覆盖估计并说明局限，不声称历史实际缺货天数</w:t>
      </w:r>
    </w:p>
    <w:p>
      <w:pPr>
        <w:pStyle w:val="ListBullet"/>
      </w:pPr>
      <w:r>
        <w:t>将R004处理中退款扣入已实现净销售</w:t>
      </w:r>
    </w:p>
    <w:p>
      <w:pPr>
        <w:pStyle w:val="ListBullet"/>
      </w:pPr>
      <w:r>
        <w:t>把12900元毛实收当净销售</w:t>
      </w:r>
    </w:p>
    <w:p>
      <w:pPr>
        <w:pStyle w:val="ListBullet"/>
      </w:pPr>
      <w:r>
        <w:t>先四舍五入日需求再计算采购量</w:t>
      </w:r>
    </w:p>
    <w:p>
      <w:pPr>
        <w:pStyle w:val="ListBullet"/>
      </w:pPr>
      <w:r>
        <w:t>A补货135件或C补货137双而忽略包装倍数</w:t>
      </w:r>
    </w:p>
    <w:p>
      <w:pPr>
        <w:pStyle w:val="ListBullet"/>
      </w:pPr>
      <w:r>
        <w:t>把P003草稿或P005已收货再次计入在途</w:t>
      </w:r>
    </w:p>
    <w:p>
      <w:pPr>
        <w:pStyle w:val="ListBullet"/>
      </w:pPr>
      <w:r>
        <w:t>称毛利4880元为净利润</w:t>
      </w:r>
    </w:p>
    <w:p>
      <w:pPr>
        <w:pStyle w:val="ListBullet"/>
      </w:pPr>
      <w:r>
        <w:t>将3270元预算称为真实报价</w:t>
      </w:r>
    </w:p>
    <w:p>
      <w:pPr>
        <w:pStyle w:val="ListBullet"/>
      </w:pPr>
      <w:r>
        <w:t>有证据证明销售同比或环比增长</w:t>
      </w:r>
    </w:p>
    <w:p>
      <w:pPr>
        <w:pStyle w:val="ListBullet"/>
      </w:pPr>
      <w:r>
        <w:t>有证据得出具体缺货日数或精确仓储效率</w:t>
      </w:r>
    </w:p>
    <w:p>
      <w:pPr>
        <w:pStyle w:val="ListBullet"/>
      </w:pPr>
      <w:r>
        <w:t>将915个混合计量单位描述为可比商品总销量</w:t>
      </w:r>
    </w:p>
    <w:p>
      <w:pPr>
        <w:pStyle w:val="Heading1"/>
      </w:pPr>
      <w:r>
        <w:t>六、人工语义与版式验收</w:t>
      </w:r>
    </w:p>
    <w:p>
      <w:pPr>
        <w:pStyle w:val="ListBullet"/>
      </w:pPr>
      <w:r>
        <w:t>12章完整形成18000—25000字长报告；摘要、正文、表格和图表的数值相同。</w:t>
      </w:r>
    </w:p>
    <w:p>
      <w:pPr>
        <w:pStyle w:val="ListBullet"/>
      </w:pPr>
      <w:r>
        <w:t>所有关键金额可以由源表逐行重算，至少给出4个SKU及2个仓库核对。</w:t>
      </w:r>
    </w:p>
    <w:p>
      <w:pPr>
        <w:pStyle w:val="ListBullet"/>
      </w:pPr>
      <w:r>
        <w:t>净销售额12340元、毛利4880元、39.55%毛利率、A140件/C150双及3270元预算全部正确。</w:t>
      </w:r>
    </w:p>
    <w:p>
      <w:pPr>
        <w:pStyle w:val="ListBullet"/>
      </w:pPr>
      <w:r>
        <w:t>隐藏旧口径、窗口边界S011、取消/未支付订单、处理中退款均被识别，不采用简单全表SUM。</w:t>
      </w:r>
    </w:p>
    <w:p>
      <w:pPr>
        <w:pStyle w:val="ListBullet"/>
      </w:pPr>
      <w:r>
        <w:t>R004可列假设情景但不覆盖基准，假设与事实的标签在图表中也保留。</w:t>
      </w:r>
    </w:p>
    <w:p>
      <w:pPr>
        <w:pStyle w:val="ListBullet"/>
      </w:pPr>
      <w:r>
        <w:t>最终Word目录、页码、长表标题和图表单位清楚，附录公式有明确源Sheet和行标识。</w:t>
      </w:r>
    </w:p>
    <w:p>
      <w:pPr>
        <w:pStyle w:val="ListBullet"/>
      </w:pPr>
      <w:r>
        <w:t>章节层级与目录一致，标题不孤悬；页码在 Word/WPS 更新后核对。</w:t>
      </w:r>
    </w:p>
    <w:p>
      <w:pPr>
        <w:pStyle w:val="ListBullet"/>
      </w:pPr>
      <w:r>
        <w:t>表头跨页重复，表格和图片不超出页边距；正文、标题、表格使用一致的中文字体。</w:t>
      </w:r>
    </w:p>
    <w:p>
      <w:pPr>
        <w:pStyle w:val="ListBullet"/>
      </w:pPr>
      <w:r>
        <w:t>流程图分支、回路、例外条件与正文一致；缩放到实际页面后图中文字清晰。</w:t>
      </w:r>
    </w:p>
    <w:p>
      <w:pPr>
        <w:pStyle w:val="ListBullet"/>
      </w:pPr>
      <w:r>
        <w:t>模型建议与已证实事实明确区分，重复段落和空泛扩写不能用于补足字数。</w:t>
      </w:r>
    </w:p>
    <w:p>
      <w:pPr>
        <w:pStyle w:val="ListBullet"/>
      </w:pPr>
      <w:r>
        <w:t>达到字数或命中关键词不代表语义验收通过；逐项确认事实、关系、缺口与来源。</w:t>
      </w:r>
    </w:p>
    <w:p>
      <w:pPr>
        <w:pStyle w:val="Heading1"/>
      </w:pPr>
      <w:r>
        <w:t>七、执行与过程验收</w:t>
      </w:r>
    </w:p>
    <w:p>
      <w:r>
        <w:t>{</w:t>
        <w:br/>
        <w:t xml:space="preserve">  "web_mode": "disabled",</w:t>
        <w:br/>
        <w:t xml:space="preserve">  "local_round_limit": 3,</w:t>
        <w:br/>
        <w:t xml:space="preserve">  "web_round_limit": 2,</w:t>
        <w:br/>
        <w:t xml:space="preserve">  "notes": [</w:t>
        <w:br/>
        <w:t xml:space="preserve">    "金额、采购量等金标由配方内原始行独立计算生成。",</w:t>
        <w:br/>
        <w:t xml:space="preserve">    "这是虚构经营分析材料，不是实际财务或投资建议。",</w:t>
        <w:br/>
        <w:t xml:space="preserve">    "不需要真实LLM或联网调用才能生成这些测试资料；后续可上传运行。"</w:t>
        <w:br/>
        <w:t xml:space="preserve">  ]</w:t>
        <w:br/>
        <w:t>}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