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澜舟耗材2026年9月库存与补货分析委托</w:t>
      </w:r>
    </w:p>
    <w:p>
      <w:pPr>
        <w:pStyle w:val="Heading1"/>
      </w:pPr>
      <w:r>
        <w:t>虚构业务和管理问题</w:t>
      </w:r>
    </w:p>
    <w:p>
      <w:r>
        <w:t>澜舟耗材及本资料所有交易均为虚构。公司经营净水滤芯、设备清洁液、检修手套和工业擦拭布，使用东仓和西仓。请为经营负责人生成2026年9月库存与补货经营分析报告，供内部复盘与采购讨论使用。</w:t>
      </w:r>
    </w:p>
    <w:p>
      <w:r>
        <w:t>分析要解释销售构成、退款影响、仓别差异、当前库存可用性和补货建议；建议不自动下采购单。仓间调拨成本、供应商履约率和促销信息没有提供，不得声称已经优化这些因素。</w:t>
      </w:r>
    </w:p>
    <w:p>
      <w:pPr>
        <w:pStyle w:val="Heading1"/>
      </w:pPr>
      <w:r>
        <w:t>统计窗口与金额口径</w:t>
      </w:r>
    </w:p>
    <w:p>
      <w:r>
        <w:t>统计窗口为2026年9月1日00:00:00至9月30日23:59:59，时区Asia/Shanghai；用闭开区间[2026-09-01T00:00:00+08:00,2026-10-01T00:00:00+08:00)实现。销售仅纳入窗口内“已完成”订单行；“已作废”“待支付”和窗口外行均剔除。</w:t>
      </w:r>
    </w:p>
    <w:p>
      <w:r>
        <w:t>实收金额字段单位为分，是折扣后金额，不再乘单价或扣折扣。金额全程用整数分计算，展示时除以100得到元，百分比最后一步四舍五入保留2位。退款仅纳入关联了合格销售行、且截至9月30日23:59:59退款状态为“已完成”的行；处理中退款单列待处理风险，不冲减已实现净销售。</w:t>
      </w:r>
    </w:p>
    <w:p>
      <w:r>
        <w:t>净销量=合格销售数量−合格退款数量；净销售额=合格实收金额−合格退款金额。净销售成本=各SKU净销量×SKU标准单位成本（分）；毛利=净销售额−净销售成本；毛利率=毛利/净销售额。该毛利不是净利润，未扣仓储、物流、工资和税费。</w:t>
      </w:r>
    </w:p>
    <w:p>
      <w:pPr>
        <w:pStyle w:val="Heading1"/>
      </w:pPr>
      <w:r>
        <w:t>库存口径与限制</w:t>
      </w:r>
    </w:p>
    <w:p>
      <w:r>
        <w:t>库存快照时间为2026年9月30日23:59:59 Asia/Shanghai，已经包含已入库退货和P005收货，不能再把退货或已收货采购加一次。实物在库与已预留分别保存，可售现货=实物在库−已预留。</w:t>
      </w:r>
    </w:p>
    <w:p>
      <w:r>
        <w:t>公司级库存位置=两仓可售现货之和+已确认未到货采购数量。草稿、已取消和已收货采购不计入在途。所有计入在途订单的预计到货日期均在本次目标覆盖期内。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