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云栈协同平台运维手册交付范围</w:t>
      </w:r>
    </w:p>
    <w:p>
      <w:pPr>
        <w:pStyle w:val="Heading1"/>
      </w:pPr>
      <w:r>
        <w:t>虚构项目和读者</w:t>
      </w:r>
    </w:p>
    <w:p>
      <w:r>
        <w:t>云栈协同平台、星渡信息公司、环境名、人员和事件均为虚构。本项目用于演示运维长文生成，不连接真实生产系统。平台提供团队任务、附件、通知和异步导出能力。手册面向一线值班、应用负责人、数据库负责人和新入职运维。</w:t>
      </w:r>
    </w:p>
    <w:p>
      <w:r>
        <w:t>当前上线版本为3.2.1，资料冻结时间2026年10月12日18:00 Asia/Shanghai。正文需覆盖交接、日常巡检、告警、事件处置、变更发布、回滚、备份恢复、权限、容量和演练，不直接执行其中任何命令。</w:t>
      </w:r>
    </w:p>
    <w:p>
      <w:pPr>
        <w:pStyle w:val="Heading1"/>
      </w:pPr>
      <w:r>
        <w:t>已确认值守边界</w:t>
      </w:r>
    </w:p>
    <w:p>
      <w:r>
        <w:t>生产环境标识prod-sim，预发环境stage-sim；两者都是本案例中的虚构环境。值守为每日09:00—18:00，非值守时段由应用负责人接收P1电话升级；本项目尚无正式批准的全年7×24 SLA。</w:t>
      </w:r>
    </w:p>
    <w:p>
      <w:r>
        <w:t>所有生产配置变更需应用负责人批准；数据库切换、恢复和破坏性清理另需数据库负责人确认。值班人可先执行只读观察、采集日志和创建事件记录；不能因手册给出命令就自动执行。</w:t>
      </w:r>
    </w:p>
    <w:p>
      <w:pPr>
        <w:pStyle w:val="Heading1"/>
      </w:pPr>
      <w:r>
        <w:t>确定事项与缺口标记</w:t>
      </w:r>
    </w:p>
    <w:p>
      <w:r>
        <w:t>正式阈值只有02和03文件明确批准的两项API告警。CPU、磁盘、队列延迟和数据库连接数的阈值尚未定稿；RTO、RPO、备份恢复成功率目标和容灾切换时限也没有项目正式结论。</w:t>
      </w:r>
    </w:p>
    <w:p>
      <w:r>
        <w:t>手册必须将既有事实、一般参考做法、LLM建议和待确认项目目标分开标注。允许写出待确认参数、确定参数的流程和演练模板，不得为了凑齐运维手册而虚构公司制度。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