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青岚大学一站式校园服务门户：多模态例外与业务边界 · 交付预期与验收</w:t>
      </w:r>
    </w:p>
    <w:p>
      <w:r>
        <w:t>本文件供测试人员核对成品，不上传资料库。它是验收蓝图，不是已经生成的完整业务文档。</w:t>
      </w:r>
    </w:p>
    <w:p>
      <w:r>
        <w:t>目标文件：青岚大学校园服务门户_用户需求说明书.docx；类型：urd；正文目标：25,000—35,000 字符。</w:t>
      </w:r>
    </w:p>
    <w:p>
      <w:r>
        <w:t>正文有效字符数：汉字、英文字母、数字逐字符计数，计入表格，不计封面、目录、标题、页眉页脚、空白和标点。页数只作观察，不作字数替代。</w:t>
      </w:r>
    </w:p>
    <w:p>
      <w:pPr>
        <w:pStyle w:val="Heading1"/>
      </w:pPr>
      <w:r>
        <w:t>一、预期目录与各章展开程度</w:t>
      </w:r>
    </w:p>
    <w:p>
      <w:pPr>
        <w:pStyle w:val="Heading2"/>
      </w:pPr>
      <w:r>
        <w:t>1. 项目背景、目标与阅读说明（至少 1600 字符）</w:t>
      </w:r>
    </w:p>
    <w:p>
      <w:pPr>
        <w:pStyle w:val="ListBullet"/>
      </w:pPr>
      <w:r>
        <w:t>21,000个身份账号</w:t>
      </w:r>
    </w:p>
    <w:p>
      <w:pPr>
        <w:pStyle w:val="ListBullet"/>
      </w:pPr>
      <w:r>
        <w:t>三校区</w:t>
      </w:r>
    </w:p>
    <w:p>
      <w:pPr>
        <w:pStyle w:val="ListBullet"/>
      </w:pPr>
      <w:r>
        <w:t>用户需求说明书读者和范围</w:t>
      </w:r>
    </w:p>
    <w:p>
      <w:r>
        <w:t>依据：01_用户访谈与服务边界.docx、02_立项汇报.pptx、06_需求评审结论.md</w:t>
      </w:r>
    </w:p>
    <w:p>
      <w:pPr>
        <w:pStyle w:val="Heading2"/>
      </w:pPr>
      <w:r>
        <w:t>2. 用户角色与组织职责（至少 1800 字符）</w:t>
      </w:r>
    </w:p>
    <w:p>
      <w:pPr>
        <w:pStyle w:val="ListBullet"/>
      </w:pPr>
      <w:r>
        <w:t>7类角色</w:t>
      </w:r>
    </w:p>
    <w:p>
      <w:pPr>
        <w:pStyle w:val="ListBullet"/>
      </w:pPr>
      <w:r>
        <w:t>兼任角色切换</w:t>
      </w:r>
    </w:p>
    <w:p>
      <w:pPr>
        <w:pStyle w:val="ListBullet"/>
      </w:pPr>
      <w:r>
        <w:t>跨校区职责</w:t>
      </w:r>
    </w:p>
    <w:p>
      <w:r>
        <w:t>依据：01_用户访谈与服务边界.docx、05_服务与权限台账.xlsx</w:t>
      </w:r>
    </w:p>
    <w:p>
      <w:pPr>
        <w:pStyle w:val="Heading2"/>
      </w:pPr>
      <w:r>
        <w:t>3. 服务范围与阶段边界（至少 1700 字符）</w:t>
      </w:r>
    </w:p>
    <w:p>
      <w:pPr>
        <w:pStyle w:val="ListBullet"/>
      </w:pPr>
      <w:r>
        <w:t>10项本期服务</w:t>
      </w:r>
    </w:p>
    <w:p>
      <w:pPr>
        <w:pStyle w:val="ListBullet"/>
      </w:pPr>
      <w:r>
        <w:t>8办理+2只读</w:t>
      </w:r>
    </w:p>
    <w:p>
      <w:pPr>
        <w:pStyle w:val="ListBullet"/>
      </w:pPr>
      <w:r>
        <w:t>排除缴费门禁订座申请</w:t>
      </w:r>
    </w:p>
    <w:p>
      <w:r>
        <w:t>依据：05_服务与权限台账.xlsx、06_需求评审结论.md</w:t>
      </w:r>
    </w:p>
    <w:p>
      <w:pPr>
        <w:pStyle w:val="Heading2"/>
      </w:pPr>
      <w:r>
        <w:t>4. 全局事实、术语与通用规则（至少 2000 字符）</w:t>
      </w:r>
    </w:p>
    <w:p>
      <w:pPr>
        <w:pStyle w:val="ListBullet"/>
      </w:pPr>
      <w:r>
        <w:t>固定事实</w:t>
      </w:r>
    </w:p>
    <w:p>
      <w:pPr>
        <w:pStyle w:val="ListBullet"/>
      </w:pPr>
      <w:r>
        <w:t>受理号</w:t>
      </w:r>
    </w:p>
    <w:p>
      <w:pPr>
        <w:pStyle w:val="ListBullet"/>
      </w:pPr>
      <w:r>
        <w:t>状态和计时</w:t>
      </w:r>
    </w:p>
    <w:p>
      <w:pPr>
        <w:pStyle w:val="ListBullet"/>
      </w:pPr>
      <w:r>
        <w:t>资料版本优先级</w:t>
      </w:r>
    </w:p>
    <w:p>
      <w:r>
        <w:t>依据：01_用户访谈与服务边界.docx、04_办事规则混排.pdf、05_服务与权限台账.xlsx、06_需求评审结论.md</w:t>
      </w:r>
    </w:p>
    <w:p>
      <w:pPr>
        <w:pStyle w:val="Heading2"/>
      </w:pPr>
      <w:r>
        <w:t>5. 服务目录与个人事项中心（至少 1900 字符）</w:t>
      </w:r>
    </w:p>
    <w:p>
      <w:pPr>
        <w:pStyle w:val="ListBullet"/>
      </w:pPr>
      <w:r>
        <w:t>条件材料展示</w:t>
      </w:r>
    </w:p>
    <w:p>
      <w:pPr>
        <w:pStyle w:val="ListBullet"/>
      </w:pPr>
      <w:r>
        <w:t>发布版本</w:t>
      </w:r>
    </w:p>
    <w:p>
      <w:pPr>
        <w:pStyle w:val="ListBullet"/>
      </w:pPr>
      <w:r>
        <w:t>轨迹</w:t>
      </w:r>
    </w:p>
    <w:p>
      <w:pPr>
        <w:pStyle w:val="ListBullet"/>
      </w:pPr>
      <w:r>
        <w:t>查询及草稿</w:t>
      </w:r>
    </w:p>
    <w:p>
      <w:r>
        <w:t>依据：01_用户访谈与服务边界.docx、02_立项汇报.pptx、06_需求评审结论.md</w:t>
      </w:r>
    </w:p>
    <w:p>
      <w:pPr>
        <w:pStyle w:val="Heading2"/>
      </w:pPr>
      <w:r>
        <w:t>6. 设备报修与网络账号解锁（至少 2400 字符）</w:t>
      </w:r>
    </w:p>
    <w:p>
      <w:pPr>
        <w:pStyle w:val="ListBullet"/>
      </w:pPr>
      <w:r>
        <w:t>归属校区</w:t>
      </w:r>
    </w:p>
    <w:p>
      <w:pPr>
        <w:pStyle w:val="ListBullet"/>
      </w:pPr>
      <w:r>
        <w:t>东港夜间队列</w:t>
      </w:r>
    </w:p>
    <w:p>
      <w:pPr>
        <w:pStyle w:val="ListBullet"/>
      </w:pPr>
      <w:r>
        <w:t>转交保号计时</w:t>
      </w:r>
    </w:p>
    <w:p>
      <w:pPr>
        <w:pStyle w:val="ListBullet"/>
      </w:pPr>
      <w:r>
        <w:t>账号验证边界</w:t>
      </w:r>
    </w:p>
    <w:p>
      <w:r>
        <w:t>依据：01_用户访谈与服务边界.docx、04_办事规则混排.pdf、05_服务与权限台账.xlsx</w:t>
      </w:r>
    </w:p>
    <w:p>
      <w:pPr>
        <w:pStyle w:val="Heading2"/>
      </w:pPr>
      <w:r>
        <w:t>7. 场地预约业务需求（至少 2600 字符）</w:t>
      </w:r>
    </w:p>
    <w:p>
      <w:pPr>
        <w:pStyle w:val="ListBullet"/>
      </w:pPr>
      <w:r>
        <w:t>容量禁止提交</w:t>
      </w:r>
    </w:p>
    <w:p>
      <w:pPr>
        <w:pStyle w:val="ListBullet"/>
      </w:pPr>
      <w:r>
        <w:t>7日预约</w:t>
      </w:r>
    </w:p>
    <w:p>
      <w:pPr>
        <w:pStyle w:val="ListBullet"/>
      </w:pPr>
      <w:r>
        <w:t>2小时取消</w:t>
      </w:r>
    </w:p>
    <w:p>
      <w:pPr>
        <w:pStyle w:val="ListBullet"/>
      </w:pPr>
      <w:r>
        <w:t>教学占用分支</w:t>
      </w:r>
    </w:p>
    <w:p>
      <w:pPr>
        <w:pStyle w:val="ListBullet"/>
      </w:pPr>
      <w:r>
        <w:t>异常结果待查询</w:t>
      </w:r>
    </w:p>
    <w:p>
      <w:r>
        <w:t>依据：01_用户访谈与服务边界.docx、03_服务预约原型.png、04_办事规则混排.pdf、05_服务与权限台账.xlsx</w:t>
      </w:r>
    </w:p>
    <w:p>
      <w:pPr>
        <w:pStyle w:val="Heading2"/>
      </w:pPr>
      <w:r>
        <w:t>8. 校园卡与在读证明业务需求（至少 2200 字符）</w:t>
      </w:r>
    </w:p>
    <w:p>
      <w:pPr>
        <w:pStyle w:val="ListBullet"/>
      </w:pPr>
      <w:r>
        <w:t>挂失幂等</w:t>
      </w:r>
    </w:p>
    <w:p>
      <w:pPr>
        <w:pStyle w:val="ListBullet"/>
      </w:pPr>
      <w:r>
        <w:t>线下解挂</w:t>
      </w:r>
    </w:p>
    <w:p>
      <w:pPr>
        <w:pStyle w:val="ListBullet"/>
      </w:pPr>
      <w:r>
        <w:t>72小时下载</w:t>
      </w:r>
    </w:p>
    <w:p>
      <w:pPr>
        <w:pStyle w:val="ListBullet"/>
      </w:pPr>
      <w:r>
        <w:t>纸质领取</w:t>
      </w:r>
    </w:p>
    <w:p>
      <w:r>
        <w:t>依据：01_用户访谈与服务边界.docx、04_办事规则混排.pdf、05_服务与权限台账.xlsx</w:t>
      </w:r>
    </w:p>
    <w:p>
      <w:pPr>
        <w:pStyle w:val="Heading2"/>
      </w:pPr>
      <w:r>
        <w:t>9. 访客、失物与住宿申请需求（至少 2300 字符）</w:t>
      </w:r>
    </w:p>
    <w:p>
      <w:pPr>
        <w:pStyle w:val="ListBullet"/>
      </w:pPr>
      <w:r>
        <w:t>访客变更</w:t>
      </w:r>
    </w:p>
    <w:p>
      <w:pPr>
        <w:pStyle w:val="ListBullet"/>
      </w:pPr>
      <w:r>
        <w:t>认领人工核实</w:t>
      </w:r>
    </w:p>
    <w:p>
      <w:pPr>
        <w:pStyle w:val="ListBullet"/>
      </w:pPr>
      <w:r>
        <w:t>住宿系统主数据</w:t>
      </w:r>
    </w:p>
    <w:p>
      <w:pPr>
        <w:pStyle w:val="ListBullet"/>
      </w:pPr>
      <w:r>
        <w:t>补正</w:t>
      </w:r>
    </w:p>
    <w:p>
      <w:r>
        <w:t>依据：01_用户访谈与服务边界.docx、05_服务与权限台账.xlsx</w:t>
      </w:r>
    </w:p>
    <w:p>
      <w:pPr>
        <w:pStyle w:val="Heading2"/>
      </w:pPr>
      <w:r>
        <w:t>10. 班车与岗位只读服务（至少 1500 字符）</w:t>
      </w:r>
    </w:p>
    <w:p>
      <w:pPr>
        <w:pStyle w:val="ListBullet"/>
      </w:pPr>
      <w:r>
        <w:t>更新时点</w:t>
      </w:r>
    </w:p>
    <w:p>
      <w:pPr>
        <w:pStyle w:val="ListBullet"/>
      </w:pPr>
      <w:r>
        <w:t>无数据和异常</w:t>
      </w:r>
    </w:p>
    <w:p>
      <w:pPr>
        <w:pStyle w:val="ListBullet"/>
      </w:pPr>
      <w:r>
        <w:t>外部链接</w:t>
      </w:r>
    </w:p>
    <w:p>
      <w:pPr>
        <w:pStyle w:val="ListBullet"/>
      </w:pPr>
      <w:r>
        <w:t>不做交易</w:t>
      </w:r>
    </w:p>
    <w:p>
      <w:r>
        <w:t>依据：01_用户访谈与服务边界.docx、05_服务与权限台账.xlsx、06_需求评审结论.md</w:t>
      </w:r>
    </w:p>
    <w:p>
      <w:pPr>
        <w:pStyle w:val="Heading2"/>
      </w:pPr>
      <w:r>
        <w:t>11. 部门工作台与运营管理（至少 2300 字符）</w:t>
      </w:r>
    </w:p>
    <w:p>
      <w:pPr>
        <w:pStyle w:val="ListBullet"/>
      </w:pPr>
      <w:r>
        <w:t>权限</w:t>
      </w:r>
    </w:p>
    <w:p>
      <w:pPr>
        <w:pStyle w:val="ListBullet"/>
      </w:pPr>
      <w:r>
        <w:t>队列</w:t>
      </w:r>
    </w:p>
    <w:p>
      <w:pPr>
        <w:pStyle w:val="ListBullet"/>
      </w:pPr>
      <w:r>
        <w:t>转交</w:t>
      </w:r>
    </w:p>
    <w:p>
      <w:pPr>
        <w:pStyle w:val="ListBullet"/>
      </w:pPr>
      <w:r>
        <w:t>聚合统计口径</w:t>
      </w:r>
    </w:p>
    <w:p>
      <w:pPr>
        <w:pStyle w:val="ListBullet"/>
      </w:pPr>
      <w:r>
        <w:t>审计</w:t>
      </w:r>
    </w:p>
    <w:p>
      <w:r>
        <w:t>依据：01_用户访谈与服务边界.docx、05_服务与权限台账.xlsx、06_需求评审结论.md</w:t>
      </w:r>
    </w:p>
    <w:p>
      <w:pPr>
        <w:pStyle w:val="Heading2"/>
      </w:pPr>
      <w:r>
        <w:t>12. 消息、异常与跨端交互（至少 2100 字符）</w:t>
      </w:r>
    </w:p>
    <w:p>
      <w:pPr>
        <w:pStyle w:val="ListBullet"/>
      </w:pPr>
      <w:r>
        <w:t>消息失败不回滚</w:t>
      </w:r>
    </w:p>
    <w:p>
      <w:pPr>
        <w:pStyle w:val="ListBullet"/>
      </w:pPr>
      <w:r>
        <w:t>重新登录</w:t>
      </w:r>
    </w:p>
    <w:p>
      <w:pPr>
        <w:pStyle w:val="ListBullet"/>
      </w:pPr>
      <w:r>
        <w:t>空状态</w:t>
      </w:r>
    </w:p>
    <w:p>
      <w:pPr>
        <w:pStyle w:val="ListBullet"/>
      </w:pPr>
      <w:r>
        <w:t>手机和自助终端</w:t>
      </w:r>
    </w:p>
    <w:p>
      <w:r>
        <w:t>依据：01_用户访谈与服务边界.docx、03_服务预约原型.png、06_需求评审结论.md</w:t>
      </w:r>
    </w:p>
    <w:p>
      <w:pPr>
        <w:pStyle w:val="Heading2"/>
      </w:pPr>
      <w:r>
        <w:t>13. 质量需求与页面流程设计（至少 2200 字符）</w:t>
      </w:r>
    </w:p>
    <w:p>
      <w:pPr>
        <w:pStyle w:val="ListBullet"/>
      </w:pPr>
      <w:r>
        <w:t>建议指标隔离</w:t>
      </w:r>
    </w:p>
    <w:p>
      <w:pPr>
        <w:pStyle w:val="ListBullet"/>
      </w:pPr>
      <w:r>
        <w:t>五种界面状态</w:t>
      </w:r>
    </w:p>
    <w:p>
      <w:pPr>
        <w:pStyle w:val="ListBullet"/>
      </w:pPr>
      <w:r>
        <w:t>流程与原型一致</w:t>
      </w:r>
    </w:p>
    <w:p>
      <w:pPr>
        <w:pStyle w:val="ListBullet"/>
      </w:pPr>
      <w:r>
        <w:t>附件权限</w:t>
      </w:r>
    </w:p>
    <w:p>
      <w:r>
        <w:t>依据：01_用户访谈与服务边界.docx、02_立项汇报.pptx、03_服务预约原型.png、06_需求评审结论.md</w:t>
      </w:r>
    </w:p>
    <w:p>
      <w:pPr>
        <w:pStyle w:val="Heading2"/>
      </w:pPr>
      <w:r>
        <w:t>14. 验收场景、追溯与待确认项（至少 2400 字符）</w:t>
      </w:r>
    </w:p>
    <w:p>
      <w:pPr>
        <w:pStyle w:val="ListBullet"/>
      </w:pPr>
      <w:r>
        <w:t>所有服务验收</w:t>
      </w:r>
    </w:p>
    <w:p>
      <w:pPr>
        <w:pStyle w:val="ListBullet"/>
      </w:pPr>
      <w:r>
        <w:t>图中例外追溯</w:t>
      </w:r>
    </w:p>
    <w:p>
      <w:pPr>
        <w:pStyle w:val="ListBullet"/>
      </w:pPr>
      <w:r>
        <w:t>版本冲突</w:t>
      </w:r>
    </w:p>
    <w:p>
      <w:pPr>
        <w:pStyle w:val="ListBullet"/>
      </w:pPr>
      <w:r>
        <w:t>未知量化指标</w:t>
      </w:r>
    </w:p>
    <w:p>
      <w:r>
        <w:t>依据：01_用户访谈与服务边界.docx、03_服务预约原型.png、04_办事规则混排.pdf、05_服务与权限台账.xlsx、06_需求评审结论.md</w:t>
      </w:r>
    </w:p>
    <w:p>
      <w:pPr>
        <w:pStyle w:val="Heading1"/>
      </w:pPr>
      <w:r>
        <w:t>二、必须准确表达的事实</w:t>
      </w:r>
    </w:p>
    <w:p>
      <w:r>
        <w:t>F07-01 [critical] 学生18,400、教职工2,600，共21,000个身份账号。</w:t>
      </w:r>
    </w:p>
    <w:p>
      <w:r>
        <w:t>依据：01_用户访谈与服务边界.docx / 资料说明与项目背景</w:t>
      </w:r>
    </w:p>
    <w:p>
      <w:r>
        <w:t>F07-02 [critical] 北岭、南湾、东港三校区共享门户，各校区有本地受理队列。</w:t>
      </w:r>
    </w:p>
    <w:p>
      <w:r>
        <w:t>依据：01_用户访谈与服务边界.docx / 资料说明与项目背景；访谈记录：申请人</w:t>
      </w:r>
    </w:p>
    <w:p>
      <w:r>
        <w:t>F07-03 [critical] 10项本期服务为8项办理服务与2项只读服务。</w:t>
      </w:r>
    </w:p>
    <w:p>
      <w:r>
        <w:t>依据：06_需求评审结论.md / 确认结论与优先级</w:t>
      </w:r>
    </w:p>
    <w:p>
      <w:r>
        <w:t>F07-04 [critical] 在线缴费、宿舍门禁、班车订座和岗位申请不在本期范围。</w:t>
      </w:r>
    </w:p>
    <w:p>
      <w:r>
        <w:t>依据：06_需求评审结论.md / 确认结论与优先级</w:t>
      </w:r>
    </w:p>
    <w:p>
      <w:r>
        <w:t>F07-05 [critical] 跨校区设备报修按设备归属校区分派，而非申请人校区。</w:t>
      </w:r>
    </w:p>
    <w:p>
      <w:r>
        <w:t>依据：04_办事规则混排.pdf / 第2页扫描件 QL-EX-17</w:t>
      </w:r>
    </w:p>
    <w:p>
      <w:r>
        <w:t>F07-06 [critical] 东港23:00至次日06:00设备报修进入夜间队列，06:00转日间，保留受理号和累计时长。</w:t>
      </w:r>
    </w:p>
    <w:p>
      <w:r>
        <w:t>依据：04_办事规则混排.pdf / 第2页扫描件 QL-EX-17</w:t>
      </w:r>
    </w:p>
    <w:p>
      <w:r>
        <w:t>F07-07 [critical] 教学占用已确认预约须先转待重新选择；同意替代时段回待审核；拒绝不计用户爽约。</w:t>
      </w:r>
    </w:p>
    <w:p>
      <w:r>
        <w:t>依据：04_办事规则混排.pdf / 第4页扫描示意图 QL-EX-21</w:t>
      </w:r>
    </w:p>
    <w:p>
      <w:r>
        <w:t>F07-08 [critical] 原型规定参与人数超容量时提交按钮禁用。</w:t>
      </w:r>
    </w:p>
    <w:p>
      <w:r>
        <w:t>依据：03_服务预约原型.png / 填写预约信息</w:t>
      </w:r>
    </w:p>
    <w:p>
      <w:r>
        <w:t>F07-09 [critical] 普通预约提前7自然日发起，普通取消在开始前2小时。</w:t>
      </w:r>
    </w:p>
    <w:p>
      <w:r>
        <w:t>依据：04_办事规则混排.pdf / 第1页</w:t>
      </w:r>
    </w:p>
    <w:p>
      <w:r>
        <w:t>F07-10 [critical] 电子在读证明下载有效期为生成后72小时，过期允许重新生成。</w:t>
      </w:r>
    </w:p>
    <w:p>
      <w:r>
        <w:t>依据：04_办事规则混排.pdf / 第3页</w:t>
      </w:r>
    </w:p>
    <w:p>
      <w:r>
        <w:t>F07-11 [critical] 待补正暂停部门计时，补正回待受理；转交不清零。</w:t>
      </w:r>
    </w:p>
    <w:p>
      <w:r>
        <w:t>依据：05_服务与权限台账.xlsx / 通用事项状态</w:t>
      </w:r>
    </w:p>
    <w:p>
      <w:r>
        <w:t>F07-12 [critical] 校级运营默认无权下载个人附件。</w:t>
      </w:r>
    </w:p>
    <w:p>
      <w:r>
        <w:t>依据：05_服务与权限台账.xlsx / 角色权限 R06</w:t>
      </w:r>
    </w:p>
    <w:p>
      <w:r>
        <w:t>F07-13 [critical] 消息发送失败不回滚已成功业务动作。</w:t>
      </w:r>
    </w:p>
    <w:p>
      <w:r>
        <w:t>依据：01_用户访谈与服务边界.docx / 消息与异常恢复</w:t>
      </w:r>
    </w:p>
    <w:p>
      <w:r>
        <w:t>F07-14 [critical] 预约接口超时显示结果待查询，不直接显示预约失败。</w:t>
      </w:r>
    </w:p>
    <w:p>
      <w:r>
        <w:t>依据：03_服务预约原型.png / 提交区</w:t>
      </w:r>
    </w:p>
    <w:p>
      <w:r>
        <w:t>F07-15 [critical] 峰值并发、响应时间、短信配额和爽约阈值均尚未确认。</w:t>
      </w:r>
    </w:p>
    <w:p>
      <w:r>
        <w:t>依据：06_需求评审结论.md / 未确认项</w:t>
      </w:r>
    </w:p>
    <w:p>
      <w:pPr>
        <w:pStyle w:val="Heading1"/>
      </w:pPr>
      <w:r>
        <w:t>三、计算与统计口径</w:t>
      </w:r>
    </w:p>
    <w:p>
      <w:r>
        <w:t>C07-01 身份账号总数：18400 + 2600 = 21000 个账号</w:t>
      </w:r>
    </w:p>
    <w:p>
      <w:r>
        <w:t>C07-02 本期服务数量，不把只读扩展为办理服务：8 + 2 = 10 项服务</w:t>
      </w:r>
    </w:p>
    <w:p>
      <w:pPr>
        <w:pStyle w:val="Heading1"/>
      </w:pPr>
      <w:r>
        <w:t>四、图表和原型</w:t>
      </w:r>
    </w:p>
    <w:p>
      <w:pPr>
        <w:pStyle w:val="Heading2"/>
      </w:pPr>
      <w:r>
        <w:t>场地预约及教学占用调整流程 / flowchart</w:t>
      </w:r>
    </w:p>
    <w:p>
      <w:pPr>
        <w:pStyle w:val="ListBullet"/>
      </w:pPr>
      <w:r>
        <w:t>展示容量校验失败分支</w:t>
      </w:r>
    </w:p>
    <w:p>
      <w:pPr>
        <w:pStyle w:val="ListBullet"/>
      </w:pPr>
      <w:r>
        <w:t>教学占用后待重新选择</w:t>
      </w:r>
    </w:p>
    <w:p>
      <w:pPr>
        <w:pStyle w:val="ListBullet"/>
      </w:pPr>
      <w:r>
        <w:t>同意替代回待审核</w:t>
      </w:r>
    </w:p>
    <w:p>
      <w:pPr>
        <w:pStyle w:val="ListBullet"/>
      </w:pPr>
      <w:r>
        <w:t>拒绝替代不计爽约</w:t>
      </w:r>
    </w:p>
    <w:p>
      <w:pPr>
        <w:pStyle w:val="Heading2"/>
      </w:pPr>
      <w:r>
        <w:t>场地预约提交与结果待查询页面 / prototype</w:t>
      </w:r>
    </w:p>
    <w:p>
      <w:pPr>
        <w:pStyle w:val="ListBullet"/>
      </w:pPr>
      <w:r>
        <w:t>展示容量与人数</w:t>
      </w:r>
    </w:p>
    <w:p>
      <w:pPr>
        <w:pStyle w:val="ListBullet"/>
      </w:pPr>
      <w:r>
        <w:t>超容量禁用按钮</w:t>
      </w:r>
    </w:p>
    <w:p>
      <w:pPr>
        <w:pStyle w:val="ListBullet"/>
      </w:pPr>
      <w:r>
        <w:t>保留草稿</w:t>
      </w:r>
    </w:p>
    <w:p>
      <w:pPr>
        <w:pStyle w:val="ListBullet"/>
      </w:pPr>
      <w:r>
        <w:t>超时查询入口</w:t>
      </w:r>
    </w:p>
    <w:p>
      <w:pPr>
        <w:pStyle w:val="Heading2"/>
      </w:pPr>
      <w:r>
        <w:t>事项详情与补正工作台 / prototype</w:t>
      </w:r>
    </w:p>
    <w:p>
      <w:pPr>
        <w:pStyle w:val="ListBullet"/>
      </w:pPr>
      <w:r>
        <w:t>当前部门与时间</w:t>
      </w:r>
    </w:p>
    <w:p>
      <w:pPr>
        <w:pStyle w:val="ListBullet"/>
      </w:pPr>
      <w:r>
        <w:t>补正逐项原因</w:t>
      </w:r>
    </w:p>
    <w:p>
      <w:pPr>
        <w:pStyle w:val="ListBullet"/>
      </w:pPr>
      <w:r>
        <w:t>转交历史</w:t>
      </w:r>
    </w:p>
    <w:p>
      <w:pPr>
        <w:pStyle w:val="ListBullet"/>
      </w:pPr>
      <w:r>
        <w:t>根据角色控制附件</w:t>
      </w:r>
    </w:p>
    <w:p>
      <w:pPr>
        <w:pStyle w:val="Heading1"/>
      </w:pPr>
      <w:r>
        <w:t>五、缺口与不得写成事实的结论</w:t>
      </w:r>
    </w:p>
    <w:p>
      <w:r>
        <w:t>峰值并发和响应时间：资料明确未批准；预期：记录待确认，可提出标注建议和验证方法，不宣称现有承诺</w:t>
      </w:r>
    </w:p>
    <w:p>
      <w:r>
        <w:t>附件草稿恢复策略：现有访谈提出诉求但没有方案；预期：区分可确认需求和设计建议，列影响角色、数据边界与确认责任人</w:t>
      </w:r>
    </w:p>
    <w:p>
      <w:r>
        <w:t>用户爽约判定阈值：统计口径有分母原则但没有时长阈值；预期：不造一个分钟值，列待确认且保留资源调整取消的确定例外</w:t>
      </w:r>
    </w:p>
    <w:p>
      <w:pPr>
        <w:pStyle w:val="ListBullet"/>
      </w:pPr>
      <w:r>
        <w:t>根据原生PDF可读页判定整份PDF已读完</w:t>
      </w:r>
    </w:p>
    <w:p>
      <w:pPr>
        <w:pStyle w:val="ListBullet"/>
      </w:pPr>
      <w:r>
        <w:t>把设备报修夜间规则推广到所有服务</w:t>
      </w:r>
    </w:p>
    <w:p>
      <w:pPr>
        <w:pStyle w:val="ListBullet"/>
      </w:pPr>
      <w:r>
        <w:t>把教学占用造成取消写成用户爽约</w:t>
      </w:r>
    </w:p>
    <w:p>
      <w:pPr>
        <w:pStyle w:val="ListBullet"/>
      </w:pPr>
      <w:r>
        <w:t>将早期PPT的在线缴费纳入本期</w:t>
      </w:r>
    </w:p>
    <w:p>
      <w:pPr>
        <w:pStyle w:val="ListBullet"/>
      </w:pPr>
      <w:r>
        <w:t>将未确认并发或响应时间写为已批准SLA</w:t>
      </w:r>
    </w:p>
    <w:p>
      <w:pPr>
        <w:pStyle w:val="ListBullet"/>
      </w:pPr>
      <w:r>
        <w:t>将管理员替换时段后仍已确认作为允许路径</w:t>
      </w:r>
    </w:p>
    <w:p>
      <w:pPr>
        <w:pStyle w:val="Heading1"/>
      </w:pPr>
      <w:r>
        <w:t>六、人工语义与版式验收</w:t>
      </w:r>
    </w:p>
    <w:p>
      <w:pPr>
        <w:pStyle w:val="ListBullet"/>
      </w:pPr>
      <w:r>
        <w:t>正文字符数25,000—35,000，14章均有实质内容；不得复制同一段填充篇幅。</w:t>
      </w:r>
    </w:p>
    <w:p>
      <w:pPr>
        <w:pStyle w:val="ListBullet"/>
      </w:pPr>
      <w:r>
        <w:t>最终docx能正常打开，目录与章节对应，表头跨页重复，图像不越页边且图中文字可读。</w:t>
      </w:r>
    </w:p>
    <w:p>
      <w:pPr>
        <w:pStyle w:val="ListBullet"/>
      </w:pPr>
      <w:r>
        <w:t>从执行记录确认读取过两张PDF扫描页和PNG；最终需求准确包含F07-05至F07-08。</w:t>
      </w:r>
    </w:p>
    <w:p>
      <w:pPr>
        <w:pStyle w:val="ListBullet"/>
      </w:pPr>
      <w:r>
        <w:t>随机抽取10项服务中的每一项，均可找到正常流、至少两条异常或边界场景、责任角色和验收条件。</w:t>
      </w:r>
    </w:p>
    <w:p>
      <w:pPr>
        <w:pStyle w:val="ListBullet"/>
      </w:pPr>
      <w:r>
        <w:t>最终范围依据V1.2评审，PPT过期候选只作为历史解释。</w:t>
      </w:r>
    </w:p>
    <w:p>
      <w:pPr>
        <w:pStyle w:val="ListBullet"/>
      </w:pPr>
      <w:r>
        <w:t>图、正文、追溯表中的夜间分派和教学占用分支完全一致。</w:t>
      </w:r>
    </w:p>
    <w:p>
      <w:pPr>
        <w:pStyle w:val="ListBullet"/>
      </w:pPr>
      <w:r>
        <w:t>人工审查所有未确认性能指标仍是建议或待确认，未被语言润色改为承诺。</w:t>
      </w:r>
    </w:p>
    <w:p>
      <w:pPr>
        <w:pStyle w:val="ListBullet"/>
      </w:pPr>
      <w:r>
        <w:t>章节层级与目录一致，标题不孤悬；页码在 Word/WPS 更新后核对。</w:t>
      </w:r>
    </w:p>
    <w:p>
      <w:pPr>
        <w:pStyle w:val="ListBullet"/>
      </w:pPr>
      <w:r>
        <w:t>表头跨页重复，表格和图片不超出页边距；正文、标题、表格使用一致的中文字体。</w:t>
      </w:r>
    </w:p>
    <w:p>
      <w:pPr>
        <w:pStyle w:val="ListBullet"/>
      </w:pPr>
      <w:r>
        <w:t>流程图分支、回路、例外条件与正文一致；缩放到实际页面后图中文字清晰。</w:t>
      </w:r>
    </w:p>
    <w:p>
      <w:pPr>
        <w:pStyle w:val="ListBullet"/>
      </w:pPr>
      <w:r>
        <w:t>模型建议与已证实事实明确区分，重复段落和空泛扩写不能用于补足字数。</w:t>
      </w:r>
    </w:p>
    <w:p>
      <w:pPr>
        <w:pStyle w:val="ListBullet"/>
      </w:pPr>
      <w:r>
        <w:t>达到字数或命中关键词不代表语义验收通过；逐项确认事实、关系、缺口与来源。</w:t>
      </w:r>
    </w:p>
    <w:p>
      <w:pPr>
        <w:pStyle w:val="Heading1"/>
      </w:pPr>
      <w:r>
        <w:t>七、执行与过程验收</w:t>
      </w:r>
    </w:p>
    <w:p>
      <w:r>
        <w:t>{</w:t>
        <w:br/>
        <w:t xml:space="preserve">  "web_mode": "disabled",</w:t>
        <w:br/>
        <w:t xml:space="preserve">  "local_round_limit": 3,</w:t>
        <w:br/>
        <w:t xml:space="preserve">  "web_round_limit": 2,</w:t>
        <w:br/>
        <w:t xml:space="preserve">  "notes": [</w:t>
        <w:br/>
        <w:t xml:space="preserve">    "模型生成阶段仅上传sources；expected是评审答案，不得上传。",</w:t>
        <w:br/>
        <w:t xml:space="preserve">    "图中独占例外只保存在PNG像素或扫描页，不在原生文本页、文件注释和其他sources放入文本副本。",</w:t>
        <w:br/>
        <w:t xml:space="preserve">    "禁用联网；若平台记录联网阶段，应显示不可用并转明确标注建议，不能宣称查到外部证据。"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