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星澜数据治理平台：108字段、48接口与超长范围覆盖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目标文件：星澜数据治理平台_软件需求规格说明书.docx；类型：srs；正文目标：50,000—65,000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项目目标、范围和术语（至少 3000 字符）</w:t>
      </w:r>
    </w:p>
    <w:p>
      <w:pPr>
        <w:pStyle w:val="ListBullet"/>
      </w:pPr>
      <w:r>
        <w:t>12对象</w:t>
      </w:r>
    </w:p>
    <w:p>
      <w:pPr>
        <w:pStyle w:val="ListBullet"/>
      </w:pPr>
      <w:r>
        <w:t>排除范围</w:t>
      </w:r>
    </w:p>
    <w:p>
      <w:pPr>
        <w:pStyle w:val="ListBullet"/>
      </w:pPr>
      <w:r>
        <w:t>资料优先级</w:t>
      </w:r>
    </w:p>
    <w:p>
      <w:pPr>
        <w:pStyle w:val="ListBullet"/>
      </w:pPr>
      <w:r>
        <w:t>3业务域</w:t>
      </w:r>
    </w:p>
    <w:p>
      <w:r>
        <w:t>依据：01_平台建设与业务全景.md、06_最终补充范围.txt</w:t>
      </w:r>
    </w:p>
    <w:p>
      <w:pPr>
        <w:pStyle w:val="Heading2"/>
      </w:pPr>
      <w:r>
        <w:t>2. 总体业务协作与系统边界（至少 3500 字符）</w:t>
      </w:r>
    </w:p>
    <w:p>
      <w:pPr>
        <w:pStyle w:val="ListBullet"/>
      </w:pPr>
      <w:r>
        <w:t>主数据边界</w:t>
      </w:r>
    </w:p>
    <w:p>
      <w:pPr>
        <w:pStyle w:val="ListBullet"/>
      </w:pPr>
      <w:r>
        <w:t>职责</w:t>
      </w:r>
    </w:p>
    <w:p>
      <w:pPr>
        <w:pStyle w:val="ListBullet"/>
      </w:pPr>
      <w:r>
        <w:t>异步状态</w:t>
      </w:r>
    </w:p>
    <w:p>
      <w:pPr>
        <w:pStyle w:val="ListBullet"/>
      </w:pPr>
      <w:r>
        <w:t>依赖</w:t>
      </w:r>
    </w:p>
    <w:p>
      <w:r>
        <w:t>依据：01_平台建设与业务全景.md、02_领域需求与状态说明.docx、05_架构边界与运行约束.pdf</w:t>
      </w:r>
    </w:p>
    <w:p>
      <w:pPr>
        <w:pStyle w:val="Heading2"/>
      </w:pPr>
      <w:r>
        <w:t>3. 身份、权限与通用交互合同（至少 4000 字符）</w:t>
      </w:r>
    </w:p>
    <w:p>
      <w:pPr>
        <w:pStyle w:val="ListBullet"/>
      </w:pPr>
      <w:r>
        <w:t>自审批禁止</w:t>
      </w:r>
    </w:p>
    <w:p>
      <w:pPr>
        <w:pStyle w:val="ListBullet"/>
      </w:pPr>
      <w:r>
        <w:t>受限字段</w:t>
      </w:r>
    </w:p>
    <w:p>
      <w:pPr>
        <w:pStyle w:val="ListBullet"/>
      </w:pPr>
      <w:r>
        <w:t>分页</w:t>
      </w:r>
    </w:p>
    <w:p>
      <w:pPr>
        <w:pStyle w:val="ListBullet"/>
      </w:pPr>
      <w:r>
        <w:t>错误结构</w:t>
      </w:r>
    </w:p>
    <w:p>
      <w:pPr>
        <w:pStyle w:val="ListBullet"/>
      </w:pPr>
      <w:r>
        <w:t>幂等</w:t>
      </w:r>
    </w:p>
    <w:p>
      <w:r>
        <w:t>依据：01_平台建设与业务全景.md、03_对象字段字典.xlsx、04_接口规则与验收台账.xlsx、05_架构边界与运行约束.pdf</w:t>
      </w:r>
    </w:p>
    <w:p>
      <w:pPr>
        <w:pStyle w:val="Heading2"/>
      </w:pPr>
      <w:r>
        <w:t>4. 来源接入与数据集管理（至少 4500 字符）</w:t>
      </w:r>
    </w:p>
    <w:p>
      <w:pPr>
        <w:pStyle w:val="ListBullet"/>
      </w:pPr>
      <w:r>
        <w:t>18字段</w:t>
      </w:r>
    </w:p>
    <w:p>
      <w:pPr>
        <w:pStyle w:val="ListBullet"/>
      </w:pPr>
      <w:r>
        <w:t>8接口</w:t>
      </w:r>
    </w:p>
    <w:p>
      <w:pPr>
        <w:pStyle w:val="ListBullet"/>
      </w:pPr>
      <w:r>
        <w:t>8规则</w:t>
      </w:r>
    </w:p>
    <w:p>
      <w:pPr>
        <w:pStyle w:val="ListBullet"/>
      </w:pPr>
      <w:r>
        <w:t>发布冻结退役</w:t>
      </w:r>
    </w:p>
    <w:p>
      <w:pPr>
        <w:pStyle w:val="ListBullet"/>
      </w:pPr>
      <w:r>
        <w:t>水位</w:t>
      </w:r>
    </w:p>
    <w:p>
      <w:r>
        <w:t>依据：01_平台建设与业务全景.md、02_领域需求与状态说明.docx、03_对象字段字典.xlsx、04_接口规则与验收台账.xlsx</w:t>
      </w:r>
    </w:p>
    <w:p>
      <w:pPr>
        <w:pStyle w:val="Heading2"/>
      </w:pPr>
      <w:r>
        <w:t>5. 字段治理与业务术语（至少 4500 字符）</w:t>
      </w:r>
    </w:p>
    <w:p>
      <w:pPr>
        <w:pStyle w:val="ListBullet"/>
      </w:pPr>
      <w:r>
        <w:t>18字段</w:t>
      </w:r>
    </w:p>
    <w:p>
      <w:pPr>
        <w:pStyle w:val="ListBullet"/>
      </w:pPr>
      <w:r>
        <w:t>8接口</w:t>
      </w:r>
    </w:p>
    <w:p>
      <w:pPr>
        <w:pStyle w:val="ListBullet"/>
      </w:pPr>
      <w:r>
        <w:t>8规则</w:t>
      </w:r>
    </w:p>
    <w:p>
      <w:pPr>
        <w:pStyle w:val="ListBullet"/>
      </w:pPr>
      <w:r>
        <w:t>版本绑定</w:t>
      </w:r>
    </w:p>
    <w:p>
      <w:pPr>
        <w:pStyle w:val="ListBullet"/>
      </w:pPr>
      <w:r>
        <w:t>脱敏</w:t>
      </w:r>
    </w:p>
    <w:p>
      <w:r>
        <w:t>依据：02_领域需求与状态说明.docx、03_对象字段字典.xlsx、04_接口规则与验收台账.xlsx</w:t>
      </w:r>
    </w:p>
    <w:p>
      <w:pPr>
        <w:pStyle w:val="Heading2"/>
      </w:pPr>
      <w:r>
        <w:t>6. 质量规则与执行规格（至少 5000 字符）</w:t>
      </w:r>
    </w:p>
    <w:p>
      <w:pPr>
        <w:pStyle w:val="ListBullet"/>
      </w:pPr>
      <w:r>
        <w:t>18字段</w:t>
      </w:r>
    </w:p>
    <w:p>
      <w:pPr>
        <w:pStyle w:val="ListBullet"/>
      </w:pPr>
      <w:r>
        <w:t>8接口</w:t>
      </w:r>
    </w:p>
    <w:p>
      <w:pPr>
        <w:pStyle w:val="ListBullet"/>
      </w:pPr>
      <w:r>
        <w:t>8规则</w:t>
      </w:r>
    </w:p>
    <w:p>
      <w:pPr>
        <w:pStyle w:val="ListBullet"/>
      </w:pPr>
      <w:r>
        <w:t>零分母</w:t>
      </w:r>
    </w:p>
    <w:p>
      <w:pPr>
        <w:pStyle w:val="ListBullet"/>
      </w:pPr>
      <w:r>
        <w:t>96%通过率</w:t>
      </w:r>
    </w:p>
    <w:p>
      <w:pPr>
        <w:pStyle w:val="ListBullet"/>
      </w:pPr>
      <w:r>
        <w:t>状态分离</w:t>
      </w:r>
    </w:p>
    <w:p>
      <w:r>
        <w:t>依据：02_领域需求与状态说明.docx、03_对象字段字典.xlsx、04_接口规则与验收台账.xlsx、05_架构边界与运行约束.pdf</w:t>
      </w:r>
    </w:p>
    <w:p>
      <w:pPr>
        <w:pStyle w:val="Heading2"/>
      </w:pPr>
      <w:r>
        <w:t>7. 质量问题与复核闭环（至少 3500 字符）</w:t>
      </w:r>
    </w:p>
    <w:p>
      <w:pPr>
        <w:pStyle w:val="ListBullet"/>
      </w:pPr>
      <w:r>
        <w:t>9字段</w:t>
      </w:r>
    </w:p>
    <w:p>
      <w:pPr>
        <w:pStyle w:val="ListBullet"/>
      </w:pPr>
      <w:r>
        <w:t>4接口</w:t>
      </w:r>
    </w:p>
    <w:p>
      <w:pPr>
        <w:pStyle w:val="ListBullet"/>
      </w:pPr>
      <w:r>
        <w:t>关闭证据</w:t>
      </w:r>
    </w:p>
    <w:p>
      <w:pPr>
        <w:pStyle w:val="ListBullet"/>
      </w:pPr>
      <w:r>
        <w:t>复开</w:t>
      </w:r>
    </w:p>
    <w:p>
      <w:pPr>
        <w:pStyle w:val="ListBullet"/>
      </w:pPr>
      <w:r>
        <w:t>指派审计</w:t>
      </w:r>
    </w:p>
    <w:p>
      <w:r>
        <w:t>依据：02_领域需求与状态说明.docx、03_对象字段字典.xlsx、04_接口规则与验收台账.xlsx</w:t>
      </w:r>
    </w:p>
    <w:p>
      <w:pPr>
        <w:pStyle w:val="Heading2"/>
      </w:pPr>
      <w:r>
        <w:t>8. 血缘采集、影响与版本差异（至少 4500 字符）</w:t>
      </w:r>
    </w:p>
    <w:p>
      <w:pPr>
        <w:pStyle w:val="ListBullet"/>
      </w:pPr>
      <w:r>
        <w:t>9字段</w:t>
      </w:r>
    </w:p>
    <w:p>
      <w:pPr>
        <w:pStyle w:val="ListBullet"/>
      </w:pPr>
      <w:r>
        <w:t>4接口</w:t>
      </w:r>
    </w:p>
    <w:p>
      <w:pPr>
        <w:pStyle w:val="ListBullet"/>
      </w:pPr>
      <w:r>
        <w:t>环路</w:t>
      </w:r>
    </w:p>
    <w:p>
      <w:pPr>
        <w:pStyle w:val="ListBullet"/>
      </w:pPr>
      <w:r>
        <w:t>深度截断</w:t>
      </w:r>
    </w:p>
    <w:p>
      <w:pPr>
        <w:pStyle w:val="ListBullet"/>
      </w:pPr>
      <w:r>
        <w:t>手工自动冲突</w:t>
      </w:r>
    </w:p>
    <w:p>
      <w:pPr>
        <w:pStyle w:val="ListBullet"/>
      </w:pPr>
      <w:r>
        <w:t>逐边差异</w:t>
      </w:r>
    </w:p>
    <w:p>
      <w:r>
        <w:t>依据：02_领域需求与状态说明.docx、03_对象字段字典.xlsx、04_接口规则与验收台账.xlsx、06_最终补充范围.txt</w:t>
      </w:r>
    </w:p>
    <w:p>
      <w:pPr>
        <w:pStyle w:val="Heading2"/>
      </w:pPr>
      <w:r>
        <w:t>9. 访问申请与到期撤销（至少 4000 字符）</w:t>
      </w:r>
    </w:p>
    <w:p>
      <w:pPr>
        <w:pStyle w:val="ListBullet"/>
      </w:pPr>
      <w:r>
        <w:t>9字段</w:t>
      </w:r>
    </w:p>
    <w:p>
      <w:pPr>
        <w:pStyle w:val="ListBullet"/>
      </w:pPr>
      <w:r>
        <w:t>4接口</w:t>
      </w:r>
    </w:p>
    <w:p>
      <w:pPr>
        <w:pStyle w:val="ListBullet"/>
      </w:pPr>
      <w:r>
        <w:t>字段授权</w:t>
      </w:r>
    </w:p>
    <w:p>
      <w:pPr>
        <w:pStyle w:val="ListBullet"/>
      </w:pPr>
      <w:r>
        <w:t>UTC到期</w:t>
      </w:r>
    </w:p>
    <w:p>
      <w:pPr>
        <w:pStyle w:val="ListBullet"/>
      </w:pPr>
      <w:r>
        <w:t>离线文件边界</w:t>
      </w:r>
    </w:p>
    <w:p>
      <w:r>
        <w:t>依据：01_平台建设与业务全景.md、02_领域需求与状态说明.docx、03_对象字段字典.xlsx、04_接口规则与验收台账.xlsx</w:t>
      </w:r>
    </w:p>
    <w:p>
      <w:pPr>
        <w:pStyle w:val="Heading2"/>
      </w:pPr>
      <w:r>
        <w:t>10. 交付、文件与通知（至少 4000 字符）</w:t>
      </w:r>
    </w:p>
    <w:p>
      <w:pPr>
        <w:pStyle w:val="ListBullet"/>
      </w:pPr>
      <w:r>
        <w:t>9字段</w:t>
      </w:r>
    </w:p>
    <w:p>
      <w:pPr>
        <w:pStyle w:val="ListBullet"/>
      </w:pPr>
      <w:r>
        <w:t>4接口</w:t>
      </w:r>
    </w:p>
    <w:p>
      <w:pPr>
        <w:pStyle w:val="ListBullet"/>
      </w:pPr>
      <w:r>
        <w:t>启动下载双校验</w:t>
      </w:r>
    </w:p>
    <w:p>
      <w:pPr>
        <w:pStyle w:val="ListBullet"/>
      </w:pPr>
      <w:r>
        <w:t>摘要</w:t>
      </w:r>
    </w:p>
    <w:p>
      <w:pPr>
        <w:pStyle w:val="ListBullet"/>
      </w:pPr>
      <w:r>
        <w:t>幂等</w:t>
      </w:r>
    </w:p>
    <w:p>
      <w:pPr>
        <w:pStyle w:val="ListBullet"/>
      </w:pPr>
      <w:r>
        <w:t>通知独立</w:t>
      </w:r>
    </w:p>
    <w:p>
      <w:r>
        <w:t>依据：02_领域需求与状态说明.docx、03_对象字段字典.xlsx、04_接口规则与验收台账.xlsx、05_架构边界与运行约束.pdf</w:t>
      </w:r>
    </w:p>
    <w:p>
      <w:pPr>
        <w:pStyle w:val="Heading2"/>
      </w:pPr>
      <w:r>
        <w:t>11. 变更审批与回滚（至少 4000 字符）</w:t>
      </w:r>
    </w:p>
    <w:p>
      <w:pPr>
        <w:pStyle w:val="ListBullet"/>
      </w:pPr>
      <w:r>
        <w:t>9字段</w:t>
      </w:r>
    </w:p>
    <w:p>
      <w:pPr>
        <w:pStyle w:val="ListBullet"/>
      </w:pPr>
      <w:r>
        <w:t>4接口</w:t>
      </w:r>
    </w:p>
    <w:p>
      <w:pPr>
        <w:pStyle w:val="ListBullet"/>
      </w:pPr>
      <w:r>
        <w:t>破坏性</w:t>
      </w:r>
    </w:p>
    <w:p>
      <w:pPr>
        <w:pStyle w:val="ListBullet"/>
      </w:pPr>
      <w:r>
        <w:t>当前版本冲突</w:t>
      </w:r>
    </w:p>
    <w:p>
      <w:pPr>
        <w:pStyle w:val="ListBullet"/>
      </w:pPr>
      <w:r>
        <w:t>消费数据不可撤销</w:t>
      </w:r>
    </w:p>
    <w:p>
      <w:r>
        <w:t>依据：02_领域需求与状态说明.docx、03_对象字段字典.xlsx、04_接口规则与验收台账.xlsx</w:t>
      </w:r>
    </w:p>
    <w:p>
      <w:pPr>
        <w:pStyle w:val="Heading2"/>
      </w:pPr>
      <w:r>
        <w:t>12. 归档恢复与保留冻结（至少 4000 字符）</w:t>
      </w:r>
    </w:p>
    <w:p>
      <w:pPr>
        <w:pStyle w:val="ListBullet"/>
      </w:pPr>
      <w:r>
        <w:t>最后9字段</w:t>
      </w:r>
    </w:p>
    <w:p>
      <w:pPr>
        <w:pStyle w:val="ListBullet"/>
      </w:pPr>
      <w:r>
        <w:t>API045—048</w:t>
      </w:r>
    </w:p>
    <w:p>
      <w:pPr>
        <w:pStyle w:val="ListBullet"/>
      </w:pPr>
      <w:r>
        <w:t>BR045—048</w:t>
      </w:r>
    </w:p>
    <w:p>
      <w:pPr>
        <w:pStyle w:val="ListBullet"/>
      </w:pPr>
      <w:r>
        <w:t>恢复副本</w:t>
      </w:r>
    </w:p>
    <w:p>
      <w:pPr>
        <w:pStyle w:val="ListBullet"/>
      </w:pPr>
      <w:r>
        <w:t>摘要失败</w:t>
      </w:r>
    </w:p>
    <w:p>
      <w:r>
        <w:t>依据：02_领域需求与状态说明.docx、03_对象字段字典.xlsx、04_接口规则与验收台账.xlsx、06_最终补充范围.txt</w:t>
      </w:r>
    </w:p>
    <w:p>
      <w:pPr>
        <w:pStyle w:val="Heading2"/>
      </w:pPr>
      <w:r>
        <w:t>13. 运行质量、容量与可观测性（至少 3500 字符）</w:t>
      </w:r>
    </w:p>
    <w:p>
      <w:pPr>
        <w:pStyle w:val="ListBullet"/>
      </w:pPr>
      <w:r>
        <w:t>已知规模</w:t>
      </w:r>
    </w:p>
    <w:p>
      <w:pPr>
        <w:pStyle w:val="ListBullet"/>
      </w:pPr>
      <w:r>
        <w:t>待确认性能</w:t>
      </w:r>
    </w:p>
    <w:p>
      <w:pPr>
        <w:pStyle w:val="ListBullet"/>
      </w:pPr>
      <w:r>
        <w:t>日志审计</w:t>
      </w:r>
    </w:p>
    <w:p>
      <w:pPr>
        <w:pStyle w:val="ListBullet"/>
      </w:pPr>
      <w:r>
        <w:t>故障恢复</w:t>
      </w:r>
    </w:p>
    <w:p>
      <w:pPr>
        <w:pStyle w:val="ListBullet"/>
      </w:pPr>
      <w:r>
        <w:t>测试策略</w:t>
      </w:r>
    </w:p>
    <w:p>
      <w:r>
        <w:t>依据：01_平台建设与业务全景.md、05_架构边界与运行约束.pdf</w:t>
      </w:r>
    </w:p>
    <w:p>
      <w:pPr>
        <w:pStyle w:val="Heading2"/>
      </w:pPr>
      <w:r>
        <w:t>14. 全量需求追溯与验收设计（至少 4500 字符）</w:t>
      </w:r>
    </w:p>
    <w:p>
      <w:pPr>
        <w:pStyle w:val="ListBullet"/>
      </w:pPr>
      <w:r>
        <w:t>108字段</w:t>
      </w:r>
    </w:p>
    <w:p>
      <w:pPr>
        <w:pStyle w:val="ListBullet"/>
      </w:pPr>
      <w:r>
        <w:t>48接口</w:t>
      </w:r>
    </w:p>
    <w:p>
      <w:pPr>
        <w:pStyle w:val="ListBullet"/>
      </w:pPr>
      <w:r>
        <w:t>48规则</w:t>
      </w:r>
    </w:p>
    <w:p>
      <w:pPr>
        <w:pStyle w:val="ListBullet"/>
      </w:pPr>
      <w:r>
        <w:t>成功权限冲突依赖场景</w:t>
      </w:r>
    </w:p>
    <w:p>
      <w:pPr>
        <w:pStyle w:val="ListBullet"/>
      </w:pPr>
      <w:r>
        <w:t>未知项</w:t>
      </w:r>
    </w:p>
    <w:p>
      <w:r>
        <w:t>依据：01_平台建设与业务全景.md、02_领域需求与状态说明.docx、03_对象字段字典.xlsx、04_接口规则与验收台账.xlsx、05_架构边界与运行约束.pdf、06_最终补充范围.txt</w:t>
      </w:r>
    </w:p>
    <w:p>
      <w:pPr>
        <w:pStyle w:val="Heading1"/>
      </w:pPr>
      <w:r>
        <w:t>二、必须准确表达的事实</w:t>
      </w:r>
    </w:p>
    <w:p>
      <w:r>
        <w:t>F08-01 [critical] 本期12类对象、108字段、48接口和48对象规则均需覆盖。</w:t>
      </w:r>
    </w:p>
    <w:p>
      <w:r>
        <w:t>依据：01_平台建设与业务全景.md / 总体验收范围</w:t>
      </w:r>
    </w:p>
    <w:p>
      <w:r>
        <w:t>F08-02 [critical] 每个对象字段Sheet有9个具体字段，共12 Sheet。</w:t>
      </w:r>
    </w:p>
    <w:p>
      <w:r>
        <w:t>依据：03_对象字段字典.xlsx / 全部12个Sheet</w:t>
      </w:r>
    </w:p>
    <w:p>
      <w:r>
        <w:t>F08-03 [critical] 数据集发布后不可原位修改，新版本不覆盖历史质量运行和交付。</w:t>
      </w:r>
    </w:p>
    <w:p>
      <w:r>
        <w:t>依据：04_接口规则与验收台账.xlsx / 业务规则 BR-007</w:t>
      </w:r>
    </w:p>
    <w:p>
      <w:r>
        <w:t>F08-04 [critical] 质量技术运行completed与业务质量未通过必须分开。</w:t>
      </w:r>
    </w:p>
    <w:p>
      <w:r>
        <w:t>依据：02_领域需求与状态说明.docx / 贯穿用例：质量阻断交付</w:t>
      </w:r>
    </w:p>
    <w:p>
      <w:r>
        <w:t>F08-05 [critical] 质量失败去重40行，warning15行其中5行与失败重叠，合格率96%。</w:t>
      </w:r>
    </w:p>
    <w:p>
      <w:r>
        <w:t>依据：02_领域需求与状态说明.docx / 贯穿用例：质量阻断交付</w:t>
      </w:r>
    </w:p>
    <w:p>
      <w:r>
        <w:t>F08-06 [critical] 总行数为零时显示无样本，不能判100%通过。</w:t>
      </w:r>
    </w:p>
    <w:p>
      <w:r>
        <w:t>依据：04_接口规则与验收台账.xlsx / 业务规则 BR-016</w:t>
      </w:r>
    </w:p>
    <w:p>
      <w:r>
        <w:t>F08-07 [critical] 授权到期2026-11-01T00:00:00+08:00等于2026-10-31T16:00:00Z。</w:t>
      </w:r>
    </w:p>
    <w:p>
      <w:r>
        <w:t>依据：02_领域需求与状态说明.docx / 贯穿用例：授权到期</w:t>
      </w:r>
    </w:p>
    <w:p>
      <w:r>
        <w:t>F08-08 [critical] 交付启动和下载都检查有效授权。</w:t>
      </w:r>
    </w:p>
    <w:p>
      <w:r>
        <w:t>依据：04_接口规则与验收台账.xlsx / 业务规则 BR-037</w:t>
      </w:r>
    </w:p>
    <w:p>
      <w:r>
        <w:t>F08-09 [critical] 同主体同接口同幂等键不同参数返回409。</w:t>
      </w:r>
    </w:p>
    <w:p>
      <w:r>
        <w:t>依据：01_平台建设与业务全景.md / 通用交互与数据合同</w:t>
      </w:r>
    </w:p>
    <w:p>
      <w:r>
        <w:t>F08-10 [critical] 取消accepted不代表canceled，需执行器确认。</w:t>
      </w:r>
    </w:p>
    <w:p>
      <w:r>
        <w:t>依据：02_领域需求与状态说明.docx / 状态合同</w:t>
      </w:r>
    </w:p>
    <w:p>
      <w:r>
        <w:t>F08-11 [critical] 血缘有环必须返回环路，max_depth截断须标记truncated。</w:t>
      </w:r>
    </w:p>
    <w:p>
      <w:r>
        <w:t>依据：04_接口规则与验收台账.xlsx / 业务规则 BR-029、BR-030</w:t>
      </w:r>
    </w:p>
    <w:p>
      <w:r>
        <w:t>F08-12 [critical] 血缘比较逐边区分新增、删除与变更，不仅比较节点数。</w:t>
      </w:r>
    </w:p>
    <w:p>
      <w:r>
        <w:t>依据：06_最终补充范围.txt / 最终评审补充 TAIL-02</w:t>
      </w:r>
    </w:p>
    <w:p>
      <w:r>
        <w:t>F08-13 [critical] 归档恢复只产生待审核副本，不自动发布、恢复授权或订阅。</w:t>
      </w:r>
    </w:p>
    <w:p>
      <w:r>
        <w:t>依据：06_最终补充范围.txt / 最终评审补充 TAIL-03</w:t>
      </w:r>
    </w:p>
    <w:p>
      <w:r>
        <w:t>F08-14 [critical] 归档摘要不匹配必须恢复失败并保留原归档。</w:t>
      </w:r>
    </w:p>
    <w:p>
      <w:r>
        <w:t>依据：04_接口规则与验收台账.xlsx / 业务规则 BR-046</w:t>
      </w:r>
    </w:p>
    <w:p>
      <w:r>
        <w:t>F08-15 [critical] 保留冻结true禁止自动清理，不代表真实法律义务。</w:t>
      </w:r>
    </w:p>
    <w:p>
      <w:r>
        <w:t>依据：04_接口规则与验收台账.xlsx / 业务规则 BR-047</w:t>
      </w:r>
    </w:p>
    <w:p>
      <w:r>
        <w:t>F08-16 [critical] API-048和BR-048属于本期，须逐项解释。</w:t>
      </w:r>
    </w:p>
    <w:p>
      <w:r>
        <w:t>依据：06_最终补充范围.txt / 完整覆盖要求</w:t>
      </w:r>
    </w:p>
    <w:p>
      <w:r>
        <w:t>F08-17 [critical] 演示容量12来源、2400数据集、38000字段、600启用规则，不等于性能承诺。</w:t>
      </w:r>
    </w:p>
    <w:p>
      <w:r>
        <w:t>依据：01_平台建设与业务全景.md / 容量输入与未决项</w:t>
      </w:r>
    </w:p>
    <w:p>
      <w:r>
        <w:t>F08-18 [critical] 游标分页默认20、最大100，total未知允许为空。</w:t>
      </w:r>
    </w:p>
    <w:p>
      <w:r>
        <w:t>依据：01_平台建设与业务全景.md / 通用交互与数据合同</w:t>
      </w:r>
    </w:p>
    <w:p>
      <w:pPr>
        <w:pStyle w:val="Heading1"/>
      </w:pPr>
      <w:r>
        <w:t>三、计算与统计口径</w:t>
      </w:r>
    </w:p>
    <w:p>
      <w:r>
        <w:t>C08-01 质量合格率：warning独立统计，不再次扣减：(1000 - 40) / 1000 * 100 = 96 %</w:t>
      </w:r>
    </w:p>
    <w:p>
      <w:r>
        <w:t>C08-02 字段总数：12 * 9 = 108 字段</w:t>
      </w:r>
    </w:p>
    <w:p>
      <w:r>
        <w:t>C08-03 接口总数：12 * 4 = 48 接口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质量发现、修复复核与交付阻断 / flowchart</w:t>
      </w:r>
    </w:p>
    <w:p>
      <w:pPr>
        <w:pStyle w:val="ListBullet"/>
      </w:pPr>
      <w:r>
        <w:t>区分技术完成和业务通过</w:t>
      </w:r>
    </w:p>
    <w:p>
      <w:pPr>
        <w:pStyle w:val="ListBullet"/>
      </w:pPr>
      <w:r>
        <w:t>问题关闭需复核证据</w:t>
      </w:r>
    </w:p>
    <w:p>
      <w:pPr>
        <w:pStyle w:val="ListBullet"/>
      </w:pPr>
      <w:r>
        <w:t>交付启动再查授权</w:t>
      </w:r>
    </w:p>
    <w:p>
      <w:pPr>
        <w:pStyle w:val="Heading2"/>
      </w:pPr>
      <w:r>
        <w:t>血缘影响、版本冲突与归档恢复 / flowchart</w:t>
      </w:r>
    </w:p>
    <w:p>
      <w:pPr>
        <w:pStyle w:val="ListBullet"/>
      </w:pPr>
      <w:r>
        <w:t>环路与截断明确标注</w:t>
      </w:r>
    </w:p>
    <w:p>
      <w:pPr>
        <w:pStyle w:val="ListBullet"/>
      </w:pPr>
      <w:r>
        <w:t>版本比较逐边</w:t>
      </w:r>
    </w:p>
    <w:p>
      <w:pPr>
        <w:pStyle w:val="ListBullet"/>
      </w:pPr>
      <w:r>
        <w:t>恢复仅副本</w:t>
      </w:r>
    </w:p>
    <w:p>
      <w:pPr>
        <w:pStyle w:val="Heading2"/>
      </w:pPr>
      <w:r>
        <w:t>质量运行工作台 / prototype</w:t>
      </w:r>
    </w:p>
    <w:p>
      <w:pPr>
        <w:pStyle w:val="ListBullet"/>
      </w:pPr>
      <w:r>
        <w:t>总行数与失败去重数</w:t>
      </w:r>
    </w:p>
    <w:p>
      <w:pPr>
        <w:pStyle w:val="ListBullet"/>
      </w:pPr>
      <w:r>
        <w:t>warning独立</w:t>
      </w:r>
    </w:p>
    <w:p>
      <w:pPr>
        <w:pStyle w:val="ListBullet"/>
      </w:pPr>
      <w:r>
        <w:t>版本与规则快照</w:t>
      </w:r>
    </w:p>
    <w:p>
      <w:pPr>
        <w:pStyle w:val="ListBullet"/>
      </w:pPr>
      <w:r>
        <w:t>定位问题和后续动作</w:t>
      </w:r>
    </w:p>
    <w:p>
      <w:pPr>
        <w:pStyle w:val="Heading1"/>
      </w:pPr>
      <w:r>
        <w:t>五、缺口与不得写成事实的结论</w:t>
      </w:r>
    </w:p>
    <w:p>
      <w:r>
        <w:t>性能和并发基线：规模已知但没有批准响应时间和并发任务数；预期：提出带标记的容量测试方案，性能数字若建议必须单独归类</w:t>
      </w:r>
    </w:p>
    <w:p>
      <w:r>
        <w:t>自动重试策略：最大次数和退避尚未批准；预期：明确幂等和重试约束，次数列待确认</w:t>
      </w:r>
    </w:p>
    <w:p>
      <w:r>
        <w:t>归档恢复时限和审计保留期：资料未给出批准时限；预期：保留待确认并给测量方法，不将180天字段样例推广为全平台政策</w:t>
      </w:r>
    </w:p>
    <w:p>
      <w:pPr>
        <w:pStyle w:val="ListBullet"/>
      </w:pPr>
      <w:r>
        <w:t>合格率为94.5%或95%</w:t>
      </w:r>
    </w:p>
    <w:p>
      <w:pPr>
        <w:pStyle w:val="ListBullet"/>
      </w:pPr>
      <w:r>
        <w:t>运行completed一定表示质量通过</w:t>
      </w:r>
    </w:p>
    <w:p>
      <w:pPr>
        <w:pStyle w:val="ListBullet"/>
      </w:pPr>
      <w:r>
        <w:t>零样本100%通过</w:t>
      </w:r>
    </w:p>
    <w:p>
      <w:pPr>
        <w:pStyle w:val="ListBullet"/>
      </w:pPr>
      <w:r>
        <w:t>accepted等于任务实际完成</w:t>
      </w:r>
    </w:p>
    <w:p>
      <w:pPr>
        <w:pStyle w:val="ListBullet"/>
      </w:pPr>
      <w:r>
        <w:t>归档恢复后自动恢复旧授权</w:t>
      </w:r>
    </w:p>
    <w:p>
      <w:pPr>
        <w:pStyle w:val="ListBullet"/>
      </w:pPr>
      <w:r>
        <w:t>自动消除血缘环路且无提示</w:t>
      </w:r>
    </w:p>
    <w:p>
      <w:pPr>
        <w:pStyle w:val="ListBullet"/>
      </w:pPr>
      <w:r>
        <w:t>批准范围涵盖外部数据交易市场</w:t>
      </w:r>
    </w:p>
    <w:p>
      <w:pPr>
        <w:pStyle w:val="ListBullet"/>
      </w:pPr>
      <w:r>
        <w:t>将资产规模变成毫秒级或QPS保证</w:t>
      </w:r>
    </w:p>
    <w:p>
      <w:pPr>
        <w:pStyle w:val="ListBullet"/>
      </w:pPr>
      <w:r>
        <w:t>保留冻结字段等于真实法律合规认证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正文50,000—65,000字符且14章均有独立业务内容；不可通过复制表格或重复同义段落凑数。</w:t>
      </w:r>
    </w:p>
    <w:p>
      <w:pPr>
        <w:pStyle w:val="ListBullet"/>
      </w:pPr>
      <w:r>
        <w:t>108字段、48接口、48对象规则都有可定位的规格或追溯引用，随机检查首、中、末Sheet，缺一个critical项即失败。</w:t>
      </w:r>
    </w:p>
    <w:p>
      <w:pPr>
        <w:pStyle w:val="ListBullet"/>
      </w:pPr>
      <w:r>
        <w:t>每个接口有主角色、输入、输出、权限、错误、幂等或分页条件和验收；禁止仅列接口名。</w:t>
      </w:r>
    </w:p>
    <w:p>
      <w:pPr>
        <w:pStyle w:val="ListBullet"/>
      </w:pPr>
      <w:r>
        <w:t>核对所有质量合格率为96%，warning与failed不二次扣减；零分母处理正确。</w:t>
      </w:r>
    </w:p>
    <w:p>
      <w:pPr>
        <w:pStyle w:val="ListBullet"/>
      </w:pPr>
      <w:r>
        <w:t>血缘与归档章节包含尾部全部4项补充，API-048、BR-048不可遗漏。</w:t>
      </w:r>
    </w:p>
    <w:p>
      <w:pPr>
        <w:pStyle w:val="ListBullet"/>
      </w:pPr>
      <w:r>
        <w:t>长表跨页重复表头，字段列宽可读，页码连续，图中文字不裁切，目录包含所有章节。</w:t>
      </w:r>
    </w:p>
    <w:p>
      <w:pPr>
        <w:pStyle w:val="ListBullet"/>
      </w:pPr>
      <w:r>
        <w:t>随机按四个不同状态追踪同一对象，确认版本、授权和恢复规则在正文、图、表之间一致。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"只上传6份sources；expected作为独立金标保留。",</w:t>
        <w:br/>
        <w:t xml:space="preserve">    "测试应观察按Sheet与片段研究，不能因为读取总览而声称108字段全部已覆盖。",</w:t>
        <w:br/>
        <w:t xml:space="preserve">    "如果输出被容量截断，应判未完成并记录截断章节，不允许以极短摘要冒充目标长文。"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