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十二对象领域需求与状态说明</w:t>
      </w:r>
    </w:p>
    <w:p>
      <w:pPr>
        <w:pStyle w:val="Heading1"/>
      </w:pPr>
      <w:r>
        <w:t>状态合同</w:t>
      </w:r>
    </w:p>
    <w:p>
      <w:r>
        <w:t>数据集生命周期为draft、review、published、frozen、retired；质量任务运行状态为queued、running、completed、failed、canceled；质量问题为open、assigned、fixing、verified、closed、reopened。不同对象相同的状态词不代表可以共用同一业务状态机。</w:t>
      </w:r>
    </w:p>
    <w:p>
      <w:r>
        <w:t>异步接口返回accepted只表示系统受理，不表示实际完成；取消、回滚、恢复和导出必须显示独立任务状态。所有执行任务都固定所使用的对象版本和规则快照。</w:t>
      </w:r>
    </w:p>
    <w:p>
      <w:pPr>
        <w:pStyle w:val="Heading1"/>
      </w:pPr>
      <w:r>
        <w:t>01 数据源对象业务要求</w:t>
      </w:r>
    </w:p>
    <w:p>
      <w:r>
        <w:t>数据源由平台接入员负责，稳定对象类型为source_system。本章字段、接口与规则分别以字段字典和接口规则台账为准，不能通过名称相近把两个对象合并。对象详情显示创建者、当前状态、版本、来源与最近变更时间；涉及受限信息时根据访问角色裁剪。</w:t>
      </w:r>
    </w:p>
    <w:p>
      <w:r>
        <w:t>注册来源时只验证配置结构，连通性测试是独立动作；测试失败不把尚未连通的来源标记可用。</w:t>
      </w:r>
    </w:p>
    <w:p>
      <w:r>
        <w:t>变更水位字段须创建新版本并执行重新校验，不能从旧字段水位直接续跑。</w:t>
      </w:r>
    </w:p>
    <w:p>
      <w:r>
        <w:t>连接凭据的请求和响应都只传引用，应用日志不得展开引用背后的秘密值。</w:t>
      </w:r>
    </w:p>
    <w:p>
      <w:r>
        <w:t>停用来源后拒绝新采集任务，已经启动任务按任务取消策略收尾并记录最终水位。</w:t>
      </w:r>
    </w:p>
    <w:p>
      <w:r>
        <w:t>该对象的列表需支持ID精确定位、名称或关联对象检索、状态过滤、按更新时间排序和游标翻页。导出与列表使用同一范围过滤，拒绝将当前页面的可见性误当作全部数据的导出权限。平台接入员可以看到本域待办，观察员只能读取脱敏详情。</w:t>
      </w:r>
    </w:p>
    <w:p>
      <w:r>
        <w:t>异常路径至少包括对象不存在、版本已变化、权限不足、依赖尚未就绪、重复提交、执行中取消及后台暂不可用。前端保留用户已填写的非秘密内容，显示下一步可执行动作；后台记录request_id，不能把所有错误合并为“未知异常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</w:tcPr>
          <w:p>
            <w:r>
              <w:t>动作</w:t>
            </w:r>
          </w:p>
        </w:tc>
        <w:tc>
          <w:tcPr>
            <w:tcW w:type="dxa" w:w="3137"/>
          </w:tcPr>
          <w:p>
            <w:r>
              <w:t>参与角色</w:t>
            </w:r>
          </w:p>
        </w:tc>
        <w:tc>
          <w:tcPr>
            <w:tcW w:type="dxa" w:w="3137"/>
          </w:tcPr>
          <w:p>
            <w:r>
              <w:t>验收依据</w:t>
            </w:r>
          </w:p>
        </w:tc>
      </w:tr>
      <w:tr>
        <w:tc>
          <w:tcPr>
            <w:tcW w:type="dxa" w:w="3137"/>
          </w:tcPr>
          <w:p>
            <w:r>
              <w:t>注册来源</w:t>
            </w:r>
          </w:p>
        </w:tc>
        <w:tc>
          <w:tcPr>
            <w:tcW w:type="dxa" w:w="3137"/>
          </w:tcPr>
          <w:p>
            <w:r>
              <w:t>平台接入员</w:t>
            </w:r>
          </w:p>
        </w:tc>
        <w:tc>
          <w:tcPr>
            <w:tcW w:type="dxa" w:w="3137"/>
          </w:tcPr>
          <w:p>
            <w:r>
              <w:t>API-001；BR-001；字段字典数据源字段</w:t>
            </w:r>
          </w:p>
        </w:tc>
      </w:tr>
      <w:tr>
        <w:tc>
          <w:tcPr>
            <w:tcW w:type="dxa" w:w="3137"/>
          </w:tcPr>
          <w:p>
            <w:r>
              <w:t>探测来源</w:t>
            </w:r>
          </w:p>
        </w:tc>
        <w:tc>
          <w:tcPr>
            <w:tcW w:type="dxa" w:w="3137"/>
          </w:tcPr>
          <w:p>
            <w:r>
              <w:t>平台接入员</w:t>
            </w:r>
          </w:p>
        </w:tc>
        <w:tc>
          <w:tcPr>
            <w:tcW w:type="dxa" w:w="3137"/>
          </w:tcPr>
          <w:p>
            <w:r>
              <w:t>API-002；BR-002；字段字典数据源字段</w:t>
            </w:r>
          </w:p>
        </w:tc>
      </w:tr>
      <w:tr>
        <w:tc>
          <w:tcPr>
            <w:tcW w:type="dxa" w:w="3137"/>
          </w:tcPr>
          <w:p>
            <w:r>
              <w:t>修改增量配置</w:t>
            </w:r>
          </w:p>
        </w:tc>
        <w:tc>
          <w:tcPr>
            <w:tcW w:type="dxa" w:w="3137"/>
          </w:tcPr>
          <w:p>
            <w:r>
              <w:t>平台接入员</w:t>
            </w:r>
          </w:p>
        </w:tc>
        <w:tc>
          <w:tcPr>
            <w:tcW w:type="dxa" w:w="3137"/>
          </w:tcPr>
          <w:p>
            <w:r>
              <w:t>API-003；BR-003；字段字典数据源字段</w:t>
            </w:r>
          </w:p>
        </w:tc>
      </w:tr>
      <w:tr>
        <w:tc>
          <w:tcPr>
            <w:tcW w:type="dxa" w:w="3137"/>
          </w:tcPr>
          <w:p>
            <w:r>
              <w:t>停用来源</w:t>
            </w:r>
          </w:p>
        </w:tc>
        <w:tc>
          <w:tcPr>
            <w:tcW w:type="dxa" w:w="3137"/>
          </w:tcPr>
          <w:p>
            <w:r>
              <w:t>平台接入员</w:t>
            </w:r>
          </w:p>
        </w:tc>
        <w:tc>
          <w:tcPr>
            <w:tcW w:type="dxa" w:w="3137"/>
          </w:tcPr>
          <w:p>
            <w:r>
              <w:t>API-004；BR-004；字段字典数据源字段</w:t>
            </w:r>
          </w:p>
        </w:tc>
      </w:tr>
    </w:tbl>
    <w:p>
      <w:pPr>
        <w:pStyle w:val="Heading1"/>
      </w:pPr>
      <w:r>
        <w:t>02 数据集对象业务要求</w:t>
      </w:r>
    </w:p>
    <w:p>
      <w:r>
        <w:t>数据集由数据资产管理员负责，稳定对象类型为dataset。本章字段、接口与规则分别以字段字典和接口规则台账为准，不能通过名称相近把两个对象合并。对象详情显示创建者、当前状态、版本、来源与最近变更时间；涉及受限信息时根据访问角色裁剪。</w:t>
      </w:r>
    </w:p>
    <w:p>
      <w:r>
        <w:t>只有已通过元数据完整性检查的数据集可以发起发布审核。</w:t>
      </w:r>
    </w:p>
    <w:p>
      <w:r>
        <w:t>冻结数据集允许查询已发布元数据，禁止新交付申请和结构变更。</w:t>
      </w:r>
    </w:p>
    <w:p>
      <w:r>
        <w:t>同一数据集的新版本不覆盖旧版本的历史交付及质量结果。</w:t>
      </w:r>
    </w:p>
    <w:p>
      <w:r>
        <w:t>退役前检查有效授权、交付订阅和下游血缘，存在依赖则列出阻断清单。</w:t>
      </w:r>
    </w:p>
    <w:p>
      <w:r>
        <w:t>该对象的列表需支持ID精确定位、名称或关联对象检索、状态过滤、按更新时间排序和游标翻页。导出与列表使用同一范围过滤，拒绝将当前页面的可见性误当作全部数据的导出权限。数据资产管理员可以看到本域待办，观察员只能读取脱敏详情。</w:t>
      </w:r>
    </w:p>
    <w:p>
      <w:r>
        <w:t>异常路径至少包括对象不存在、版本已变化、权限不足、依赖尚未就绪、重复提交、执行中取消及后台暂不可用。前端保留用户已填写的非秘密内容，显示下一步可执行动作；后台记录request_id，不能把所有错误合并为“未知异常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</w:tcPr>
          <w:p>
            <w:r>
              <w:t>动作</w:t>
            </w:r>
          </w:p>
        </w:tc>
        <w:tc>
          <w:tcPr>
            <w:tcW w:type="dxa" w:w="3137"/>
          </w:tcPr>
          <w:p>
            <w:r>
              <w:t>参与角色</w:t>
            </w:r>
          </w:p>
        </w:tc>
        <w:tc>
          <w:tcPr>
            <w:tcW w:type="dxa" w:w="3137"/>
          </w:tcPr>
          <w:p>
            <w:r>
              <w:t>验收依据</w:t>
            </w:r>
          </w:p>
        </w:tc>
      </w:tr>
      <w:tr>
        <w:tc>
          <w:tcPr>
            <w:tcW w:type="dxa" w:w="3137"/>
          </w:tcPr>
          <w:p>
            <w:r>
              <w:t>登记数据集</w:t>
            </w:r>
          </w:p>
        </w:tc>
        <w:tc>
          <w:tcPr>
            <w:tcW w:type="dxa" w:w="3137"/>
          </w:tcPr>
          <w:p>
            <w:r>
              <w:t>数据资产管理员</w:t>
            </w:r>
          </w:p>
        </w:tc>
        <w:tc>
          <w:tcPr>
            <w:tcW w:type="dxa" w:w="3137"/>
          </w:tcPr>
          <w:p>
            <w:r>
              <w:t>API-005；BR-005；字段字典数据集字段</w:t>
            </w:r>
          </w:p>
        </w:tc>
      </w:tr>
      <w:tr>
        <w:tc>
          <w:tcPr>
            <w:tcW w:type="dxa" w:w="3137"/>
          </w:tcPr>
          <w:p>
            <w:r>
              <w:t>提交发布</w:t>
            </w:r>
          </w:p>
        </w:tc>
        <w:tc>
          <w:tcPr>
            <w:tcW w:type="dxa" w:w="3137"/>
          </w:tcPr>
          <w:p>
            <w:r>
              <w:t>数据资产管理员</w:t>
            </w:r>
          </w:p>
        </w:tc>
        <w:tc>
          <w:tcPr>
            <w:tcW w:type="dxa" w:w="3137"/>
          </w:tcPr>
          <w:p>
            <w:r>
              <w:t>API-006；BR-006；字段字典数据集字段</w:t>
            </w:r>
          </w:p>
        </w:tc>
      </w:tr>
      <w:tr>
        <w:tc>
          <w:tcPr>
            <w:tcW w:type="dxa" w:w="3137"/>
          </w:tcPr>
          <w:p>
            <w:r>
              <w:t>冻结数据集</w:t>
            </w:r>
          </w:p>
        </w:tc>
        <w:tc>
          <w:tcPr>
            <w:tcW w:type="dxa" w:w="3137"/>
          </w:tcPr>
          <w:p>
            <w:r>
              <w:t>数据资产管理员</w:t>
            </w:r>
          </w:p>
        </w:tc>
        <w:tc>
          <w:tcPr>
            <w:tcW w:type="dxa" w:w="3137"/>
          </w:tcPr>
          <w:p>
            <w:r>
              <w:t>API-007；BR-007；字段字典数据集字段</w:t>
            </w:r>
          </w:p>
        </w:tc>
      </w:tr>
      <w:tr>
        <w:tc>
          <w:tcPr>
            <w:tcW w:type="dxa" w:w="3137"/>
          </w:tcPr>
          <w:p>
            <w:r>
              <w:t>申请退役</w:t>
            </w:r>
          </w:p>
        </w:tc>
        <w:tc>
          <w:tcPr>
            <w:tcW w:type="dxa" w:w="3137"/>
          </w:tcPr>
          <w:p>
            <w:r>
              <w:t>数据资产管理员</w:t>
            </w:r>
          </w:p>
        </w:tc>
        <w:tc>
          <w:tcPr>
            <w:tcW w:type="dxa" w:w="3137"/>
          </w:tcPr>
          <w:p>
            <w:r>
              <w:t>API-008；BR-008；字段字典数据集字段</w:t>
            </w:r>
          </w:p>
        </w:tc>
      </w:tr>
    </w:tbl>
    <w:p>
      <w:pPr>
        <w:pStyle w:val="Heading1"/>
      </w:pPr>
      <w:r>
        <w:t>03 字段对象业务要求</w:t>
      </w:r>
    </w:p>
    <w:p>
      <w:r>
        <w:t>字段由域数据负责人负责，稳定对象类型为field。本章字段、接口与规则分别以字段字典和接口规则台账为准，不能通过名称相近把两个对象合并。对象详情显示创建者、当前状态、版本、来源与最近变更时间；涉及受限信息时根据访问角色裁剪。</w:t>
      </w:r>
    </w:p>
    <w:p>
      <w:r>
        <w:t>字段由可空改非空属于破坏性变更，需要下游影响评估。</w:t>
      </w:r>
    </w:p>
    <w:p>
      <w:r>
        <w:t>受限字段无脱敏策略时，不允许通过普通导出通道返回原值。</w:t>
      </w:r>
    </w:p>
    <w:p>
      <w:r>
        <w:t>字段绑定未发布术语时只能保存草稿，不能随数据集发布。</w:t>
      </w:r>
    </w:p>
    <w:p>
      <w:r>
        <w:t>字段重命名保留稳定field_id并记录旧名；删除后新建同名字段生成新ID。</w:t>
      </w:r>
    </w:p>
    <w:p>
      <w:r>
        <w:t>该对象的列表需支持ID精确定位、名称或关联对象检索、状态过滤、按更新时间排序和游标翻页。导出与列表使用同一范围过滤，拒绝将当前页面的可见性误当作全部数据的导出权限。域数据负责人可以看到本域待办，观察员只能读取脱敏详情。</w:t>
      </w:r>
    </w:p>
    <w:p>
      <w:r>
        <w:t>异常路径至少包括对象不存在、版本已变化、权限不足、依赖尚未就绪、重复提交、执行中取消及后台暂不可用。前端保留用户已填写的非秘密内容，显示下一步可执行动作；后台记录request_id，不能把所有错误合并为“未知异常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</w:tcPr>
          <w:p>
            <w:r>
              <w:t>动作</w:t>
            </w:r>
          </w:p>
        </w:tc>
        <w:tc>
          <w:tcPr>
            <w:tcW w:type="dxa" w:w="3137"/>
          </w:tcPr>
          <w:p>
            <w:r>
              <w:t>参与角色</w:t>
            </w:r>
          </w:p>
        </w:tc>
        <w:tc>
          <w:tcPr>
            <w:tcW w:type="dxa" w:w="3137"/>
          </w:tcPr>
          <w:p>
            <w:r>
              <w:t>验收依据</w:t>
            </w:r>
          </w:p>
        </w:tc>
      </w:tr>
      <w:tr>
        <w:tc>
          <w:tcPr>
            <w:tcW w:type="dxa" w:w="3137"/>
          </w:tcPr>
          <w:p>
            <w:r>
              <w:t>登记字段</w:t>
            </w:r>
          </w:p>
        </w:tc>
        <w:tc>
          <w:tcPr>
            <w:tcW w:type="dxa" w:w="3137"/>
          </w:tcPr>
          <w:p>
            <w:r>
              <w:t>域数据负责人</w:t>
            </w:r>
          </w:p>
        </w:tc>
        <w:tc>
          <w:tcPr>
            <w:tcW w:type="dxa" w:w="3137"/>
          </w:tcPr>
          <w:p>
            <w:r>
              <w:t>API-009；BR-009；字段字典字段字段</w:t>
            </w:r>
          </w:p>
        </w:tc>
      </w:tr>
      <w:tr>
        <w:tc>
          <w:tcPr>
            <w:tcW w:type="dxa" w:w="3137"/>
          </w:tcPr>
          <w:p>
            <w:r>
              <w:t>绑定术语</w:t>
            </w:r>
          </w:p>
        </w:tc>
        <w:tc>
          <w:tcPr>
            <w:tcW w:type="dxa" w:w="3137"/>
          </w:tcPr>
          <w:p>
            <w:r>
              <w:t>域数据负责人</w:t>
            </w:r>
          </w:p>
        </w:tc>
        <w:tc>
          <w:tcPr>
            <w:tcW w:type="dxa" w:w="3137"/>
          </w:tcPr>
          <w:p>
            <w:r>
              <w:t>API-010；BR-010；字段字典字段字段</w:t>
            </w:r>
          </w:p>
        </w:tc>
      </w:tr>
      <w:tr>
        <w:tc>
          <w:tcPr>
            <w:tcW w:type="dxa" w:w="3137"/>
          </w:tcPr>
          <w:p>
            <w:r>
              <w:t>修改字段策略</w:t>
            </w:r>
          </w:p>
        </w:tc>
        <w:tc>
          <w:tcPr>
            <w:tcW w:type="dxa" w:w="3137"/>
          </w:tcPr>
          <w:p>
            <w:r>
              <w:t>域数据负责人</w:t>
            </w:r>
          </w:p>
        </w:tc>
        <w:tc>
          <w:tcPr>
            <w:tcW w:type="dxa" w:w="3137"/>
          </w:tcPr>
          <w:p>
            <w:r>
              <w:t>API-011；BR-011；字段字典字段字段</w:t>
            </w:r>
          </w:p>
        </w:tc>
      </w:tr>
      <w:tr>
        <w:tc>
          <w:tcPr>
            <w:tcW w:type="dxa" w:w="3137"/>
          </w:tcPr>
          <w:p>
            <w:r>
              <w:t>查询字段版本</w:t>
            </w:r>
          </w:p>
        </w:tc>
        <w:tc>
          <w:tcPr>
            <w:tcW w:type="dxa" w:w="3137"/>
          </w:tcPr>
          <w:p>
            <w:r>
              <w:t>域数据负责人</w:t>
            </w:r>
          </w:p>
        </w:tc>
        <w:tc>
          <w:tcPr>
            <w:tcW w:type="dxa" w:w="3137"/>
          </w:tcPr>
          <w:p>
            <w:r>
              <w:t>API-012；BR-012；字段字典字段字段</w:t>
            </w:r>
          </w:p>
        </w:tc>
      </w:tr>
    </w:tbl>
    <w:p>
      <w:pPr>
        <w:pStyle w:val="Heading1"/>
      </w:pPr>
      <w:r>
        <w:t>04 质量规则对象业务要求</w:t>
      </w:r>
    </w:p>
    <w:p>
      <w:r>
        <w:t>质量规则由质量管理员负责，稳定对象类型为quality_rule。本章字段、接口与规则分别以字段字典和接口规则台账为准，不能通过名称相近把两个对象合并。对象详情显示创建者、当前状态、版本、来源与最近变更时间；涉及受限信息时根据访问角色裁剪。</w:t>
      </w:r>
    </w:p>
    <w:p>
      <w:r>
        <w:t>发布规则需在测试样本中校验表达式并显示匹配与失败数量。</w:t>
      </w:r>
    </w:p>
    <w:p>
      <w:r>
        <w:t>质量任务固定规则版本，运行中修改规则不影响已开始任务。</w:t>
      </w:r>
    </w:p>
    <w:p>
      <w:r>
        <w:t>blocking失败阻止本版本新交付，warning仅提示并进入审核记录。</w:t>
      </w:r>
    </w:p>
    <w:p>
      <w:r>
        <w:t>阈值是通过率下限，恰好等于阈值视为通过，分母为零时标记无样本而非100%。</w:t>
      </w:r>
    </w:p>
    <w:p>
      <w:r>
        <w:t>该对象的列表需支持ID精确定位、名称或关联对象检索、状态过滤、按更新时间排序和游标翻页。导出与列表使用同一范围过滤，拒绝将当前页面的可见性误当作全部数据的导出权限。质量管理员可以看到本域待办，观察员只能读取脱敏详情。</w:t>
      </w:r>
    </w:p>
    <w:p>
      <w:r>
        <w:t>异常路径至少包括对象不存在、版本已变化、权限不足、依赖尚未就绪、重复提交、执行中取消及后台暂不可用。前端保留用户已填写的非秘密内容，显示下一步可执行动作；后台记录request_id，不能把所有错误合并为“未知异常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</w:tcPr>
          <w:p>
            <w:r>
              <w:t>动作</w:t>
            </w:r>
          </w:p>
        </w:tc>
        <w:tc>
          <w:tcPr>
            <w:tcW w:type="dxa" w:w="3137"/>
          </w:tcPr>
          <w:p>
            <w:r>
              <w:t>参与角色</w:t>
            </w:r>
          </w:p>
        </w:tc>
        <w:tc>
          <w:tcPr>
            <w:tcW w:type="dxa" w:w="3137"/>
          </w:tcPr>
          <w:p>
            <w:r>
              <w:t>验收依据</w:t>
            </w:r>
          </w:p>
        </w:tc>
      </w:tr>
      <w:tr>
        <w:tc>
          <w:tcPr>
            <w:tcW w:type="dxa" w:w="3137"/>
          </w:tcPr>
          <w:p>
            <w:r>
              <w:t>创建质量规则</w:t>
            </w:r>
          </w:p>
        </w:tc>
        <w:tc>
          <w:tcPr>
            <w:tcW w:type="dxa" w:w="3137"/>
          </w:tcPr>
          <w:p>
            <w:r>
              <w:t>质量管理员</w:t>
            </w:r>
          </w:p>
        </w:tc>
        <w:tc>
          <w:tcPr>
            <w:tcW w:type="dxa" w:w="3137"/>
          </w:tcPr>
          <w:p>
            <w:r>
              <w:t>API-013；BR-013；字段字典质量规则字段</w:t>
            </w:r>
          </w:p>
        </w:tc>
      </w:tr>
      <w:tr>
        <w:tc>
          <w:tcPr>
            <w:tcW w:type="dxa" w:w="3137"/>
          </w:tcPr>
          <w:p>
            <w:r>
              <w:t>测试规则</w:t>
            </w:r>
          </w:p>
        </w:tc>
        <w:tc>
          <w:tcPr>
            <w:tcW w:type="dxa" w:w="3137"/>
          </w:tcPr>
          <w:p>
            <w:r>
              <w:t>质量管理员</w:t>
            </w:r>
          </w:p>
        </w:tc>
        <w:tc>
          <w:tcPr>
            <w:tcW w:type="dxa" w:w="3137"/>
          </w:tcPr>
          <w:p>
            <w:r>
              <w:t>API-014；BR-014；字段字典质量规则字段</w:t>
            </w:r>
          </w:p>
        </w:tc>
      </w:tr>
      <w:tr>
        <w:tc>
          <w:tcPr>
            <w:tcW w:type="dxa" w:w="3137"/>
          </w:tcPr>
          <w:p>
            <w:r>
              <w:t>发布规则</w:t>
            </w:r>
          </w:p>
        </w:tc>
        <w:tc>
          <w:tcPr>
            <w:tcW w:type="dxa" w:w="3137"/>
          </w:tcPr>
          <w:p>
            <w:r>
              <w:t>质量管理员</w:t>
            </w:r>
          </w:p>
        </w:tc>
        <w:tc>
          <w:tcPr>
            <w:tcW w:type="dxa" w:w="3137"/>
          </w:tcPr>
          <w:p>
            <w:r>
              <w:t>API-015；BR-015；字段字典质量规则字段</w:t>
            </w:r>
          </w:p>
        </w:tc>
      </w:tr>
      <w:tr>
        <w:tc>
          <w:tcPr>
            <w:tcW w:type="dxa" w:w="3137"/>
          </w:tcPr>
          <w:p>
            <w:r>
              <w:t>停用规则</w:t>
            </w:r>
          </w:p>
        </w:tc>
        <w:tc>
          <w:tcPr>
            <w:tcW w:type="dxa" w:w="3137"/>
          </w:tcPr>
          <w:p>
            <w:r>
              <w:t>质量管理员</w:t>
            </w:r>
          </w:p>
        </w:tc>
        <w:tc>
          <w:tcPr>
            <w:tcW w:type="dxa" w:w="3137"/>
          </w:tcPr>
          <w:p>
            <w:r>
              <w:t>API-016；BR-016；字段字典质量规则字段</w:t>
            </w:r>
          </w:p>
        </w:tc>
      </w:tr>
    </w:tbl>
    <w:p>
      <w:pPr>
        <w:pStyle w:val="Heading1"/>
      </w:pPr>
      <w:r>
        <w:t>05 质量运行对象业务要求</w:t>
      </w:r>
    </w:p>
    <w:p>
      <w:r>
        <w:t>质量运行由质量值班员负责，稳定对象类型为quality_run。本章字段、接口与规则分别以字段字典和接口规则台账为准，不能通过名称相近把两个对象合并。对象详情显示创建者、当前状态、版本、来源与最近变更时间；涉及受限信息时根据访问角色裁剪。</w:t>
      </w:r>
    </w:p>
    <w:p>
      <w:r>
        <w:t>失败记录数按记录ID去重，一行同时触发两个规则不能累加为两行。</w:t>
      </w:r>
    </w:p>
    <w:p>
      <w:r>
        <w:t>运行失败与质量不通过分别表示技术执行结果和业务判断，不能混用一个状态。</w:t>
      </w:r>
    </w:p>
    <w:p>
      <w:r>
        <w:t>取消请求仅表示已接收取消，必须等运行器回报才能显示canceled。</w:t>
      </w:r>
    </w:p>
    <w:p>
      <w:r>
        <w:t>运行报告固定数据集版本、规则快照及分母，重跑生成新运行ID。</w:t>
      </w:r>
    </w:p>
    <w:p>
      <w:r>
        <w:t>该对象的列表需支持ID精确定位、名称或关联对象检索、状态过滤、按更新时间排序和游标翻页。导出与列表使用同一范围过滤，拒绝将当前页面的可见性误当作全部数据的导出权限。质量值班员可以看到本域待办，观察员只能读取脱敏详情。</w:t>
      </w:r>
    </w:p>
    <w:p>
      <w:r>
        <w:t>异常路径至少包括对象不存在、版本已变化、权限不足、依赖尚未就绪、重复提交、执行中取消及后台暂不可用。前端保留用户已填写的非秘密内容，显示下一步可执行动作；后台记录request_id，不能把所有错误合并为“未知异常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</w:tcPr>
          <w:p>
            <w:r>
              <w:t>动作</w:t>
            </w:r>
          </w:p>
        </w:tc>
        <w:tc>
          <w:tcPr>
            <w:tcW w:type="dxa" w:w="3137"/>
          </w:tcPr>
          <w:p>
            <w:r>
              <w:t>参与角色</w:t>
            </w:r>
          </w:p>
        </w:tc>
        <w:tc>
          <w:tcPr>
            <w:tcW w:type="dxa" w:w="3137"/>
          </w:tcPr>
          <w:p>
            <w:r>
              <w:t>验收依据</w:t>
            </w:r>
          </w:p>
        </w:tc>
      </w:tr>
      <w:tr>
        <w:tc>
          <w:tcPr>
            <w:tcW w:type="dxa" w:w="3137"/>
          </w:tcPr>
          <w:p>
            <w:r>
              <w:t>启动质量运行</w:t>
            </w:r>
          </w:p>
        </w:tc>
        <w:tc>
          <w:tcPr>
            <w:tcW w:type="dxa" w:w="3137"/>
          </w:tcPr>
          <w:p>
            <w:r>
              <w:t>质量值班员</w:t>
            </w:r>
          </w:p>
        </w:tc>
        <w:tc>
          <w:tcPr>
            <w:tcW w:type="dxa" w:w="3137"/>
          </w:tcPr>
          <w:p>
            <w:r>
              <w:t>API-017；BR-017；字段字典质量运行字段</w:t>
            </w:r>
          </w:p>
        </w:tc>
      </w:tr>
      <w:tr>
        <w:tc>
          <w:tcPr>
            <w:tcW w:type="dxa" w:w="3137"/>
          </w:tcPr>
          <w:p>
            <w:r>
              <w:t>查询运行</w:t>
            </w:r>
          </w:p>
        </w:tc>
        <w:tc>
          <w:tcPr>
            <w:tcW w:type="dxa" w:w="3137"/>
          </w:tcPr>
          <w:p>
            <w:r>
              <w:t>质量值班员</w:t>
            </w:r>
          </w:p>
        </w:tc>
        <w:tc>
          <w:tcPr>
            <w:tcW w:type="dxa" w:w="3137"/>
          </w:tcPr>
          <w:p>
            <w:r>
              <w:t>API-018；BR-018；字段字典质量运行字段</w:t>
            </w:r>
          </w:p>
        </w:tc>
      </w:tr>
      <w:tr>
        <w:tc>
          <w:tcPr>
            <w:tcW w:type="dxa" w:w="3137"/>
          </w:tcPr>
          <w:p>
            <w:r>
              <w:t>取消运行</w:t>
            </w:r>
          </w:p>
        </w:tc>
        <w:tc>
          <w:tcPr>
            <w:tcW w:type="dxa" w:w="3137"/>
          </w:tcPr>
          <w:p>
            <w:r>
              <w:t>质量值班员</w:t>
            </w:r>
          </w:p>
        </w:tc>
        <w:tc>
          <w:tcPr>
            <w:tcW w:type="dxa" w:w="3137"/>
          </w:tcPr>
          <w:p>
            <w:r>
              <w:t>API-019；BR-019；字段字典质量运行字段</w:t>
            </w:r>
          </w:p>
        </w:tc>
      </w:tr>
      <w:tr>
        <w:tc>
          <w:tcPr>
            <w:tcW w:type="dxa" w:w="3137"/>
          </w:tcPr>
          <w:p>
            <w:r>
              <w:t>列出失败记录</w:t>
            </w:r>
          </w:p>
        </w:tc>
        <w:tc>
          <w:tcPr>
            <w:tcW w:type="dxa" w:w="3137"/>
          </w:tcPr>
          <w:p>
            <w:r>
              <w:t>质量值班员</w:t>
            </w:r>
          </w:p>
        </w:tc>
        <w:tc>
          <w:tcPr>
            <w:tcW w:type="dxa" w:w="3137"/>
          </w:tcPr>
          <w:p>
            <w:r>
              <w:t>API-020；BR-020；字段字典质量运行字段</w:t>
            </w:r>
          </w:p>
        </w:tc>
      </w:tr>
    </w:tbl>
    <w:p>
      <w:pPr>
        <w:pStyle w:val="Heading1"/>
      </w:pPr>
      <w:r>
        <w:t>06 质量问题对象业务要求</w:t>
      </w:r>
    </w:p>
    <w:p>
      <w:r>
        <w:t>质量问题由数据治理专员负责，稳定对象类型为issue。本章字段、接口与规则分别以字段字典和接口规则台账为准，不能通过名称相近把两个对象合并。对象详情显示创建者、当前状态、版本、来源与最近变更时间；涉及受限信息时根据访问角色裁剪。</w:t>
      </w:r>
    </w:p>
    <w:p>
      <w:r>
        <w:t>问题关闭必须存在复核运行和修复说明，处理人自报完成不能直接关闭。</w:t>
      </w:r>
    </w:p>
    <w:p>
      <w:r>
        <w:t>再次检测出现同一业务键的问题可重新打开，历史关闭记录保留。</w:t>
      </w:r>
    </w:p>
    <w:p>
      <w:r>
        <w:t>更换处理人要记录原处理人、新处理人和原因，完成时限不自动顺延。</w:t>
      </w:r>
    </w:p>
    <w:p>
      <w:r>
        <w:t>样例问题附件只含脱敏记录定位信息，不能直接复制整条受限原始数据。</w:t>
      </w:r>
    </w:p>
    <w:p>
      <w:r>
        <w:t>该对象的列表需支持ID精确定位、名称或关联对象检索、状态过滤、按更新时间排序和游标翻页。导出与列表使用同一范围过滤，拒绝将当前页面的可见性误当作全部数据的导出权限。数据治理专员可以看到本域待办，观察员只能读取脱敏详情。</w:t>
      </w:r>
    </w:p>
    <w:p>
      <w:r>
        <w:t>异常路径至少包括对象不存在、版本已变化、权限不足、依赖尚未就绪、重复提交、执行中取消及后台暂不可用。前端保留用户已填写的非秘密内容，显示下一步可执行动作；后台记录request_id，不能把所有错误合并为“未知异常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</w:tcPr>
          <w:p>
            <w:r>
              <w:t>动作</w:t>
            </w:r>
          </w:p>
        </w:tc>
        <w:tc>
          <w:tcPr>
            <w:tcW w:type="dxa" w:w="3137"/>
          </w:tcPr>
          <w:p>
            <w:r>
              <w:t>参与角色</w:t>
            </w:r>
          </w:p>
        </w:tc>
        <w:tc>
          <w:tcPr>
            <w:tcW w:type="dxa" w:w="3137"/>
          </w:tcPr>
          <w:p>
            <w:r>
              <w:t>验收依据</w:t>
            </w:r>
          </w:p>
        </w:tc>
      </w:tr>
      <w:tr>
        <w:tc>
          <w:tcPr>
            <w:tcW w:type="dxa" w:w="3137"/>
          </w:tcPr>
          <w:p>
            <w:r>
              <w:t>创建质量问题</w:t>
            </w:r>
          </w:p>
        </w:tc>
        <w:tc>
          <w:tcPr>
            <w:tcW w:type="dxa" w:w="3137"/>
          </w:tcPr>
          <w:p>
            <w:r>
              <w:t>数据治理专员</w:t>
            </w:r>
          </w:p>
        </w:tc>
        <w:tc>
          <w:tcPr>
            <w:tcW w:type="dxa" w:w="3137"/>
          </w:tcPr>
          <w:p>
            <w:r>
              <w:t>API-021；BR-021；字段字典质量问题字段</w:t>
            </w:r>
          </w:p>
        </w:tc>
      </w:tr>
      <w:tr>
        <w:tc>
          <w:tcPr>
            <w:tcW w:type="dxa" w:w="3137"/>
          </w:tcPr>
          <w:p>
            <w:r>
              <w:t>指派处理人</w:t>
            </w:r>
          </w:p>
        </w:tc>
        <w:tc>
          <w:tcPr>
            <w:tcW w:type="dxa" w:w="3137"/>
          </w:tcPr>
          <w:p>
            <w:r>
              <w:t>数据治理专员</w:t>
            </w:r>
          </w:p>
        </w:tc>
        <w:tc>
          <w:tcPr>
            <w:tcW w:type="dxa" w:w="3137"/>
          </w:tcPr>
          <w:p>
            <w:r>
              <w:t>API-022；BR-022；字段字典质量问题字段</w:t>
            </w:r>
          </w:p>
        </w:tc>
      </w:tr>
      <w:tr>
        <w:tc>
          <w:tcPr>
            <w:tcW w:type="dxa" w:w="3137"/>
          </w:tcPr>
          <w:p>
            <w:r>
              <w:t>申请复核</w:t>
            </w:r>
          </w:p>
        </w:tc>
        <w:tc>
          <w:tcPr>
            <w:tcW w:type="dxa" w:w="3137"/>
          </w:tcPr>
          <w:p>
            <w:r>
              <w:t>数据治理专员</w:t>
            </w:r>
          </w:p>
        </w:tc>
        <w:tc>
          <w:tcPr>
            <w:tcW w:type="dxa" w:w="3137"/>
          </w:tcPr>
          <w:p>
            <w:r>
              <w:t>API-023；BR-023；字段字典质量问题字段</w:t>
            </w:r>
          </w:p>
        </w:tc>
      </w:tr>
      <w:tr>
        <w:tc>
          <w:tcPr>
            <w:tcW w:type="dxa" w:w="3137"/>
          </w:tcPr>
          <w:p>
            <w:r>
              <w:t>重新打开问题</w:t>
            </w:r>
          </w:p>
        </w:tc>
        <w:tc>
          <w:tcPr>
            <w:tcW w:type="dxa" w:w="3137"/>
          </w:tcPr>
          <w:p>
            <w:r>
              <w:t>数据治理专员</w:t>
            </w:r>
          </w:p>
        </w:tc>
        <w:tc>
          <w:tcPr>
            <w:tcW w:type="dxa" w:w="3137"/>
          </w:tcPr>
          <w:p>
            <w:r>
              <w:t>API-024；BR-024；字段字典质量问题字段</w:t>
            </w:r>
          </w:p>
        </w:tc>
      </w:tr>
    </w:tbl>
    <w:p>
      <w:pPr>
        <w:pStyle w:val="Heading1"/>
      </w:pPr>
      <w:r>
        <w:t>07 业务术语对象业务要求</w:t>
      </w:r>
    </w:p>
    <w:p>
      <w:r>
        <w:t>业务术语由业务域负责人负责，稳定对象类型为business_term。本章字段、接口与规则分别以字段字典和接口规则台账为准，不能通过名称相近把两个对象合并。对象详情显示创建者、当前状态、版本、来源与最近变更时间；涉及受限信息时根据访问角色裁剪。</w:t>
      </w:r>
    </w:p>
    <w:p>
      <w:r>
        <w:t>跨域同名术语允许存在，但搜索结果必须展示所属业务域。</w:t>
      </w:r>
    </w:p>
    <w:p>
      <w:r>
        <w:t>已发布定义更新先走审核，旧版本仍用于历史报表解释。</w:t>
      </w:r>
    </w:p>
    <w:p>
      <w:r>
        <w:t>废弃术语不能新增绑定，已有绑定列入整改清单但不自动删除。</w:t>
      </w:r>
    </w:p>
    <w:p>
      <w:r>
        <w:t>指标公式不是术语名称，涉及公式必须记录计算边界和单位。</w:t>
      </w:r>
    </w:p>
    <w:p>
      <w:r>
        <w:t>该对象的列表需支持ID精确定位、名称或关联对象检索、状态过滤、按更新时间排序和游标翻页。导出与列表使用同一范围过滤，拒绝将当前页面的可见性误当作全部数据的导出权限。业务域负责人可以看到本域待办，观察员只能读取脱敏详情。</w:t>
      </w:r>
    </w:p>
    <w:p>
      <w:r>
        <w:t>异常路径至少包括对象不存在、版本已变化、权限不足、依赖尚未就绪、重复提交、执行中取消及后台暂不可用。前端保留用户已填写的非秘密内容，显示下一步可执行动作；后台记录request_id，不能把所有错误合并为“未知异常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</w:tcPr>
          <w:p>
            <w:r>
              <w:t>动作</w:t>
            </w:r>
          </w:p>
        </w:tc>
        <w:tc>
          <w:tcPr>
            <w:tcW w:type="dxa" w:w="3137"/>
          </w:tcPr>
          <w:p>
            <w:r>
              <w:t>参与角色</w:t>
            </w:r>
          </w:p>
        </w:tc>
        <w:tc>
          <w:tcPr>
            <w:tcW w:type="dxa" w:w="3137"/>
          </w:tcPr>
          <w:p>
            <w:r>
              <w:t>验收依据</w:t>
            </w:r>
          </w:p>
        </w:tc>
      </w:tr>
      <w:tr>
        <w:tc>
          <w:tcPr>
            <w:tcW w:type="dxa" w:w="3137"/>
          </w:tcPr>
          <w:p>
            <w:r>
              <w:t>创建术语草稿</w:t>
            </w:r>
          </w:p>
        </w:tc>
        <w:tc>
          <w:tcPr>
            <w:tcW w:type="dxa" w:w="3137"/>
          </w:tcPr>
          <w:p>
            <w:r>
              <w:t>业务域负责人</w:t>
            </w:r>
          </w:p>
        </w:tc>
        <w:tc>
          <w:tcPr>
            <w:tcW w:type="dxa" w:w="3137"/>
          </w:tcPr>
          <w:p>
            <w:r>
              <w:t>API-025；BR-025；字段字典业务术语字段</w:t>
            </w:r>
          </w:p>
        </w:tc>
      </w:tr>
      <w:tr>
        <w:tc>
          <w:tcPr>
            <w:tcW w:type="dxa" w:w="3137"/>
          </w:tcPr>
          <w:p>
            <w:r>
              <w:t>发布术语</w:t>
            </w:r>
          </w:p>
        </w:tc>
        <w:tc>
          <w:tcPr>
            <w:tcW w:type="dxa" w:w="3137"/>
          </w:tcPr>
          <w:p>
            <w:r>
              <w:t>业务域负责人</w:t>
            </w:r>
          </w:p>
        </w:tc>
        <w:tc>
          <w:tcPr>
            <w:tcW w:type="dxa" w:w="3137"/>
          </w:tcPr>
          <w:p>
            <w:r>
              <w:t>API-026；BR-026；字段字典业务术语字段</w:t>
            </w:r>
          </w:p>
        </w:tc>
      </w:tr>
      <w:tr>
        <w:tc>
          <w:tcPr>
            <w:tcW w:type="dxa" w:w="3137"/>
          </w:tcPr>
          <w:p>
            <w:r>
              <w:t>检索术语</w:t>
            </w:r>
          </w:p>
        </w:tc>
        <w:tc>
          <w:tcPr>
            <w:tcW w:type="dxa" w:w="3137"/>
          </w:tcPr>
          <w:p>
            <w:r>
              <w:t>业务域负责人</w:t>
            </w:r>
          </w:p>
        </w:tc>
        <w:tc>
          <w:tcPr>
            <w:tcW w:type="dxa" w:w="3137"/>
          </w:tcPr>
          <w:p>
            <w:r>
              <w:t>API-027；BR-027；字段字典业务术语字段</w:t>
            </w:r>
          </w:p>
        </w:tc>
      </w:tr>
      <w:tr>
        <w:tc>
          <w:tcPr>
            <w:tcW w:type="dxa" w:w="3137"/>
          </w:tcPr>
          <w:p>
            <w:r>
              <w:t>废弃术语</w:t>
            </w:r>
          </w:p>
        </w:tc>
        <w:tc>
          <w:tcPr>
            <w:tcW w:type="dxa" w:w="3137"/>
          </w:tcPr>
          <w:p>
            <w:r>
              <w:t>业务域负责人</w:t>
            </w:r>
          </w:p>
        </w:tc>
        <w:tc>
          <w:tcPr>
            <w:tcW w:type="dxa" w:w="3137"/>
          </w:tcPr>
          <w:p>
            <w:r>
              <w:t>API-028；BR-028；字段字典业务术语字段</w:t>
            </w:r>
          </w:p>
        </w:tc>
      </w:tr>
    </w:tbl>
    <w:p>
      <w:pPr>
        <w:pStyle w:val="Heading1"/>
      </w:pPr>
      <w:r>
        <w:t>08 血缘边对象业务要求</w:t>
      </w:r>
    </w:p>
    <w:p>
      <w:r>
        <w:t>血缘边由技术治理员负责，稳定对象类型为lineage_edge。本章字段、接口与规则分别以字段字典和接口规则台账为准，不能通过名称相近把两个对象合并。对象详情显示创建者、当前状态、版本、来源与最近变更时间；涉及受限信息时根据访问角色裁剪。</w:t>
      </w:r>
    </w:p>
    <w:p>
      <w:r>
        <w:t>环路检测发现A到B到A时不得截断并伪装成无环图，返回环路标记和涉及对象。</w:t>
      </w:r>
    </w:p>
    <w:p>
      <w:r>
        <w:t>影响分析固定对象版本和最大深度，深度截断须标记尚有未展开节点。</w:t>
      </w:r>
    </w:p>
    <w:p>
      <w:r>
        <w:t>手工边和自动采集边冲突时并存待复核，不能让新导入静默覆盖人工说明。</w:t>
      </w:r>
    </w:p>
    <w:p>
      <w:r>
        <w:t>血缘版本比较输出新增、删除和变更边，不能只比较节点数量。</w:t>
      </w:r>
    </w:p>
    <w:p>
      <w:r>
        <w:t>该对象的列表需支持ID精确定位、名称或关联对象检索、状态过滤、按更新时间排序和游标翻页。导出与列表使用同一范围过滤，拒绝将当前页面的可见性误当作全部数据的导出权限。技术治理员可以看到本域待办，观察员只能读取脱敏详情。</w:t>
      </w:r>
    </w:p>
    <w:p>
      <w:r>
        <w:t>异常路径至少包括对象不存在、版本已变化、权限不足、依赖尚未就绪、重复提交、执行中取消及后台暂不可用。前端保留用户已填写的非秘密内容，显示下一步可执行动作；后台记录request_id，不能把所有错误合并为“未知异常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</w:tcPr>
          <w:p>
            <w:r>
              <w:t>动作</w:t>
            </w:r>
          </w:p>
        </w:tc>
        <w:tc>
          <w:tcPr>
            <w:tcW w:type="dxa" w:w="3137"/>
          </w:tcPr>
          <w:p>
            <w:r>
              <w:t>参与角色</w:t>
            </w:r>
          </w:p>
        </w:tc>
        <w:tc>
          <w:tcPr>
            <w:tcW w:type="dxa" w:w="3137"/>
          </w:tcPr>
          <w:p>
            <w:r>
              <w:t>验收依据</w:t>
            </w:r>
          </w:p>
        </w:tc>
      </w:tr>
      <w:tr>
        <w:tc>
          <w:tcPr>
            <w:tcW w:type="dxa" w:w="3137"/>
          </w:tcPr>
          <w:p>
            <w:r>
              <w:t>导入血缘边</w:t>
            </w:r>
          </w:p>
        </w:tc>
        <w:tc>
          <w:tcPr>
            <w:tcW w:type="dxa" w:w="3137"/>
          </w:tcPr>
          <w:p>
            <w:r>
              <w:t>技术治理员</w:t>
            </w:r>
          </w:p>
        </w:tc>
        <w:tc>
          <w:tcPr>
            <w:tcW w:type="dxa" w:w="3137"/>
          </w:tcPr>
          <w:p>
            <w:r>
              <w:t>API-029；BR-029；字段字典血缘边字段</w:t>
            </w:r>
          </w:p>
        </w:tc>
      </w:tr>
      <w:tr>
        <w:tc>
          <w:tcPr>
            <w:tcW w:type="dxa" w:w="3137"/>
          </w:tcPr>
          <w:p>
            <w:r>
              <w:t>分析影响</w:t>
            </w:r>
          </w:p>
        </w:tc>
        <w:tc>
          <w:tcPr>
            <w:tcW w:type="dxa" w:w="3137"/>
          </w:tcPr>
          <w:p>
            <w:r>
              <w:t>技术治理员</w:t>
            </w:r>
          </w:p>
        </w:tc>
        <w:tc>
          <w:tcPr>
            <w:tcW w:type="dxa" w:w="3137"/>
          </w:tcPr>
          <w:p>
            <w:r>
              <w:t>API-030；BR-030；字段字典血缘边字段</w:t>
            </w:r>
          </w:p>
        </w:tc>
      </w:tr>
      <w:tr>
        <w:tc>
          <w:tcPr>
            <w:tcW w:type="dxa" w:w="3137"/>
          </w:tcPr>
          <w:p>
            <w:r>
              <w:t>对比血缘版本</w:t>
            </w:r>
          </w:p>
        </w:tc>
        <w:tc>
          <w:tcPr>
            <w:tcW w:type="dxa" w:w="3137"/>
          </w:tcPr>
          <w:p>
            <w:r>
              <w:t>技术治理员</w:t>
            </w:r>
          </w:p>
        </w:tc>
        <w:tc>
          <w:tcPr>
            <w:tcW w:type="dxa" w:w="3137"/>
          </w:tcPr>
          <w:p>
            <w:r>
              <w:t>API-031；BR-031；字段字典血缘边字段</w:t>
            </w:r>
          </w:p>
        </w:tc>
      </w:tr>
      <w:tr>
        <w:tc>
          <w:tcPr>
            <w:tcW w:type="dxa" w:w="3137"/>
          </w:tcPr>
          <w:p>
            <w:r>
              <w:t>提交手工边复核</w:t>
            </w:r>
          </w:p>
        </w:tc>
        <w:tc>
          <w:tcPr>
            <w:tcW w:type="dxa" w:w="3137"/>
          </w:tcPr>
          <w:p>
            <w:r>
              <w:t>技术治理员</w:t>
            </w:r>
          </w:p>
        </w:tc>
        <w:tc>
          <w:tcPr>
            <w:tcW w:type="dxa" w:w="3137"/>
          </w:tcPr>
          <w:p>
            <w:r>
              <w:t>API-032；BR-032；字段字典血缘边字段</w:t>
            </w:r>
          </w:p>
        </w:tc>
      </w:tr>
    </w:tbl>
    <w:p>
      <w:pPr>
        <w:pStyle w:val="Heading1"/>
      </w:pPr>
      <w:r>
        <w:t>09 访问申请对象业务要求</w:t>
      </w:r>
    </w:p>
    <w:p>
      <w:r>
        <w:t>访问申请由授权审批员负责，稳定对象类型为access_request。本章字段、接口与规则分别以字段字典和接口规则台账为准，不能通过名称相近把两个对象合并。对象详情显示创建者、当前状态、版本、来源与最近变更时间；涉及受限信息时根据访问角色裁剪。</w:t>
      </w:r>
    </w:p>
    <w:p>
      <w:r>
        <w:t>审批人不能审批本人申请；无替代审批人时阻断并提示配置责任人。</w:t>
      </w:r>
    </w:p>
    <w:p>
      <w:r>
        <w:t>批准仅授予申请字段的权限，不能自动授予整个数据集。</w:t>
      </w:r>
    </w:p>
    <w:p>
      <w:r>
        <w:t>授权到期按UTC瞬时判断，前台使用租户时区展示并同时标注时区。</w:t>
      </w:r>
    </w:p>
    <w:p>
      <w:r>
        <w:t>撤销授权后拒绝新查询和交付，已产生的离线文件执行通知与审计流程而不是声称远程收回。</w:t>
      </w:r>
    </w:p>
    <w:p>
      <w:r>
        <w:t>该对象的列表需支持ID精确定位、名称或关联对象检索、状态过滤、按更新时间排序和游标翻页。导出与列表使用同一范围过滤，拒绝将当前页面的可见性误当作全部数据的导出权限。授权审批员可以看到本域待办，观察员只能读取脱敏详情。</w:t>
      </w:r>
    </w:p>
    <w:p>
      <w:r>
        <w:t>异常路径至少包括对象不存在、版本已变化、权限不足、依赖尚未就绪、重复提交、执行中取消及后台暂不可用。前端保留用户已填写的非秘密内容，显示下一步可执行动作；后台记录request_id，不能把所有错误合并为“未知异常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</w:tcPr>
          <w:p>
            <w:r>
              <w:t>动作</w:t>
            </w:r>
          </w:p>
        </w:tc>
        <w:tc>
          <w:tcPr>
            <w:tcW w:type="dxa" w:w="3137"/>
          </w:tcPr>
          <w:p>
            <w:r>
              <w:t>参与角色</w:t>
            </w:r>
          </w:p>
        </w:tc>
        <w:tc>
          <w:tcPr>
            <w:tcW w:type="dxa" w:w="3137"/>
          </w:tcPr>
          <w:p>
            <w:r>
              <w:t>验收依据</w:t>
            </w:r>
          </w:p>
        </w:tc>
      </w:tr>
      <w:tr>
        <w:tc>
          <w:tcPr>
            <w:tcW w:type="dxa" w:w="3137"/>
          </w:tcPr>
          <w:p>
            <w:r>
              <w:t>提交访问申请</w:t>
            </w:r>
          </w:p>
        </w:tc>
        <w:tc>
          <w:tcPr>
            <w:tcW w:type="dxa" w:w="3137"/>
          </w:tcPr>
          <w:p>
            <w:r>
              <w:t>授权审批员</w:t>
            </w:r>
          </w:p>
        </w:tc>
        <w:tc>
          <w:tcPr>
            <w:tcW w:type="dxa" w:w="3137"/>
          </w:tcPr>
          <w:p>
            <w:r>
              <w:t>API-033；BR-033；字段字典访问申请字段</w:t>
            </w:r>
          </w:p>
        </w:tc>
      </w:tr>
      <w:tr>
        <w:tc>
          <w:tcPr>
            <w:tcW w:type="dxa" w:w="3137"/>
          </w:tcPr>
          <w:p>
            <w:r>
              <w:t>审批访问申请</w:t>
            </w:r>
          </w:p>
        </w:tc>
        <w:tc>
          <w:tcPr>
            <w:tcW w:type="dxa" w:w="3137"/>
          </w:tcPr>
          <w:p>
            <w:r>
              <w:t>授权审批员</w:t>
            </w:r>
          </w:p>
        </w:tc>
        <w:tc>
          <w:tcPr>
            <w:tcW w:type="dxa" w:w="3137"/>
          </w:tcPr>
          <w:p>
            <w:r>
              <w:t>API-034；BR-034；字段字典访问申请字段</w:t>
            </w:r>
          </w:p>
        </w:tc>
      </w:tr>
      <w:tr>
        <w:tc>
          <w:tcPr>
            <w:tcW w:type="dxa" w:w="3137"/>
          </w:tcPr>
          <w:p>
            <w:r>
              <w:t>撤销授权</w:t>
            </w:r>
          </w:p>
        </w:tc>
        <w:tc>
          <w:tcPr>
            <w:tcW w:type="dxa" w:w="3137"/>
          </w:tcPr>
          <w:p>
            <w:r>
              <w:t>授权审批员</w:t>
            </w:r>
          </w:p>
        </w:tc>
        <w:tc>
          <w:tcPr>
            <w:tcW w:type="dxa" w:w="3137"/>
          </w:tcPr>
          <w:p>
            <w:r>
              <w:t>API-035；BR-035；字段字典访问申请字段</w:t>
            </w:r>
          </w:p>
        </w:tc>
      </w:tr>
      <w:tr>
        <w:tc>
          <w:tcPr>
            <w:tcW w:type="dxa" w:w="3137"/>
          </w:tcPr>
          <w:p>
            <w:r>
              <w:t>检查有效权限</w:t>
            </w:r>
          </w:p>
        </w:tc>
        <w:tc>
          <w:tcPr>
            <w:tcW w:type="dxa" w:w="3137"/>
          </w:tcPr>
          <w:p>
            <w:r>
              <w:t>授权审批员</w:t>
            </w:r>
          </w:p>
        </w:tc>
        <w:tc>
          <w:tcPr>
            <w:tcW w:type="dxa" w:w="3137"/>
          </w:tcPr>
          <w:p>
            <w:r>
              <w:t>API-036；BR-036；字段字典访问申请字段</w:t>
            </w:r>
          </w:p>
        </w:tc>
      </w:tr>
    </w:tbl>
    <w:p>
      <w:pPr>
        <w:pStyle w:val="Heading1"/>
      </w:pPr>
      <w:r>
        <w:t>10 交付任务对象业务要求</w:t>
      </w:r>
    </w:p>
    <w:p>
      <w:r>
        <w:t>交付任务由交付运维员负责，稳定对象类型为delivery_job。本章字段、接口与规则分别以字段字典和接口规则台账为准，不能通过名称相近把两个对象合并。对象详情显示创建者、当前状态、版本、来源与最近变更时间；涉及受限信息时根据访问角色裁剪。</w:t>
      </w:r>
    </w:p>
    <w:p>
      <w:r>
        <w:t>交付启动与下载都重新验证有效授权，排队时已批准不代表运行时仍有效。</w:t>
      </w:r>
    </w:p>
    <w:p>
      <w:r>
        <w:t>blocking质量规则未通过时拒绝新交付，错误信息附质量运行ID。</w:t>
      </w:r>
    </w:p>
    <w:p>
      <w:r>
        <w:t>同一幂等键重复提交返回原交付任务，不生成重复收费或重复产物记录。</w:t>
      </w:r>
    </w:p>
    <w:p>
      <w:r>
        <w:t>文件生成成功但通知失败不将任务改为failed，另行记录通知重试。</w:t>
      </w:r>
    </w:p>
    <w:p>
      <w:r>
        <w:t>该对象的列表需支持ID精确定位、名称或关联对象检索、状态过滤、按更新时间排序和游标翻页。导出与列表使用同一范围过滤，拒绝将当前页面的可见性误当作全部数据的导出权限。交付运维员可以看到本域待办，观察员只能读取脱敏详情。</w:t>
      </w:r>
    </w:p>
    <w:p>
      <w:r>
        <w:t>异常路径至少包括对象不存在、版本已变化、权限不足、依赖尚未就绪、重复提交、执行中取消及后台暂不可用。前端保留用户已填写的非秘密内容，显示下一步可执行动作；后台记录request_id，不能把所有错误合并为“未知异常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</w:tcPr>
          <w:p>
            <w:r>
              <w:t>动作</w:t>
            </w:r>
          </w:p>
        </w:tc>
        <w:tc>
          <w:tcPr>
            <w:tcW w:type="dxa" w:w="3137"/>
          </w:tcPr>
          <w:p>
            <w:r>
              <w:t>参与角色</w:t>
            </w:r>
          </w:p>
        </w:tc>
        <w:tc>
          <w:tcPr>
            <w:tcW w:type="dxa" w:w="3137"/>
          </w:tcPr>
          <w:p>
            <w:r>
              <w:t>验收依据</w:t>
            </w:r>
          </w:p>
        </w:tc>
      </w:tr>
      <w:tr>
        <w:tc>
          <w:tcPr>
            <w:tcW w:type="dxa" w:w="3137"/>
          </w:tcPr>
          <w:p>
            <w:r>
              <w:t>创建交付</w:t>
            </w:r>
          </w:p>
        </w:tc>
        <w:tc>
          <w:tcPr>
            <w:tcW w:type="dxa" w:w="3137"/>
          </w:tcPr>
          <w:p>
            <w:r>
              <w:t>交付运维员</w:t>
            </w:r>
          </w:p>
        </w:tc>
        <w:tc>
          <w:tcPr>
            <w:tcW w:type="dxa" w:w="3137"/>
          </w:tcPr>
          <w:p>
            <w:r>
              <w:t>API-037；BR-037；字段字典交付任务字段</w:t>
            </w:r>
          </w:p>
        </w:tc>
      </w:tr>
      <w:tr>
        <w:tc>
          <w:tcPr>
            <w:tcW w:type="dxa" w:w="3137"/>
          </w:tcPr>
          <w:p>
            <w:r>
              <w:t>查询交付状态</w:t>
            </w:r>
          </w:p>
        </w:tc>
        <w:tc>
          <w:tcPr>
            <w:tcW w:type="dxa" w:w="3137"/>
          </w:tcPr>
          <w:p>
            <w:r>
              <w:t>交付运维员</w:t>
            </w:r>
          </w:p>
        </w:tc>
        <w:tc>
          <w:tcPr>
            <w:tcW w:type="dxa" w:w="3137"/>
          </w:tcPr>
          <w:p>
            <w:r>
              <w:t>API-038；BR-038；字段字典交付任务字段</w:t>
            </w:r>
          </w:p>
        </w:tc>
      </w:tr>
      <w:tr>
        <w:tc>
          <w:tcPr>
            <w:tcW w:type="dxa" w:w="3137"/>
          </w:tcPr>
          <w:p>
            <w:r>
              <w:t>领取下载链接</w:t>
            </w:r>
          </w:p>
        </w:tc>
        <w:tc>
          <w:tcPr>
            <w:tcW w:type="dxa" w:w="3137"/>
          </w:tcPr>
          <w:p>
            <w:r>
              <w:t>交付运维员</w:t>
            </w:r>
          </w:p>
        </w:tc>
        <w:tc>
          <w:tcPr>
            <w:tcW w:type="dxa" w:w="3137"/>
          </w:tcPr>
          <w:p>
            <w:r>
              <w:t>API-039；BR-039；字段字典交付任务字段</w:t>
            </w:r>
          </w:p>
        </w:tc>
      </w:tr>
      <w:tr>
        <w:tc>
          <w:tcPr>
            <w:tcW w:type="dxa" w:w="3137"/>
          </w:tcPr>
          <w:p>
            <w:r>
              <w:t>取消交付</w:t>
            </w:r>
          </w:p>
        </w:tc>
        <w:tc>
          <w:tcPr>
            <w:tcW w:type="dxa" w:w="3137"/>
          </w:tcPr>
          <w:p>
            <w:r>
              <w:t>交付运维员</w:t>
            </w:r>
          </w:p>
        </w:tc>
        <w:tc>
          <w:tcPr>
            <w:tcW w:type="dxa" w:w="3137"/>
          </w:tcPr>
          <w:p>
            <w:r>
              <w:t>API-040；BR-040；字段字典交付任务字段</w:t>
            </w:r>
          </w:p>
        </w:tc>
      </w:tr>
    </w:tbl>
    <w:p>
      <w:pPr>
        <w:pStyle w:val="Heading1"/>
      </w:pPr>
      <w:r>
        <w:t>11 变更单对象业务要求</w:t>
      </w:r>
    </w:p>
    <w:p>
      <w:r>
        <w:t>变更单由变更协调员负责，稳定对象类型为change_request。本章字段、接口与规则分别以字段字典和接口规则台账为准，不能通过名称相近把两个对象合并。对象详情显示创建者、当前状态、版本、来源与最近变更时间；涉及受限信息时根据访问角色裁剪。</w:t>
      </w:r>
    </w:p>
    <w:p>
      <w:r>
        <w:t>审核后当前对象发生新变更时，旧审批单不能覆盖新版本，必须重新评估。</w:t>
      </w:r>
    </w:p>
    <w:p>
      <w:r>
        <w:t>兼容性判断至少区分加可空字段、删字段、字段类型收窄和非空约束。</w:t>
      </w:r>
    </w:p>
    <w:p>
      <w:r>
        <w:t>破坏性变更必须列依赖、通知记录和回滚方案，缺项不可批准。</w:t>
      </w:r>
    </w:p>
    <w:p>
      <w:r>
        <w:t>回滚恢复元数据版本与关联配置，但不能承诺撤销已被外部系统消费的数据。</w:t>
      </w:r>
    </w:p>
    <w:p>
      <w:r>
        <w:t>该对象的列表需支持ID精确定位、名称或关联对象检索、状态过滤、按更新时间排序和游标翻页。导出与列表使用同一范围过滤，拒绝将当前页面的可见性误当作全部数据的导出权限。变更协调员可以看到本域待办，观察员只能读取脱敏详情。</w:t>
      </w:r>
    </w:p>
    <w:p>
      <w:r>
        <w:t>异常路径至少包括对象不存在、版本已变化、权限不足、依赖尚未就绪、重复提交、执行中取消及后台暂不可用。前端保留用户已填写的非秘密内容，显示下一步可执行动作；后台记录request_id，不能把所有错误合并为“未知异常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</w:tcPr>
          <w:p>
            <w:r>
              <w:t>动作</w:t>
            </w:r>
          </w:p>
        </w:tc>
        <w:tc>
          <w:tcPr>
            <w:tcW w:type="dxa" w:w="3137"/>
          </w:tcPr>
          <w:p>
            <w:r>
              <w:t>参与角色</w:t>
            </w:r>
          </w:p>
        </w:tc>
        <w:tc>
          <w:tcPr>
            <w:tcW w:type="dxa" w:w="3137"/>
          </w:tcPr>
          <w:p>
            <w:r>
              <w:t>验收依据</w:t>
            </w:r>
          </w:p>
        </w:tc>
      </w:tr>
      <w:tr>
        <w:tc>
          <w:tcPr>
            <w:tcW w:type="dxa" w:w="3137"/>
          </w:tcPr>
          <w:p>
            <w:r>
              <w:t>提交变更</w:t>
            </w:r>
          </w:p>
        </w:tc>
        <w:tc>
          <w:tcPr>
            <w:tcW w:type="dxa" w:w="3137"/>
          </w:tcPr>
          <w:p>
            <w:r>
              <w:t>变更协调员</w:t>
            </w:r>
          </w:p>
        </w:tc>
        <w:tc>
          <w:tcPr>
            <w:tcW w:type="dxa" w:w="3137"/>
          </w:tcPr>
          <w:p>
            <w:r>
              <w:t>API-041；BR-041；字段字典变更单字段</w:t>
            </w:r>
          </w:p>
        </w:tc>
      </w:tr>
      <w:tr>
        <w:tc>
          <w:tcPr>
            <w:tcW w:type="dxa" w:w="3137"/>
          </w:tcPr>
          <w:p>
            <w:r>
              <w:t>计算变更影响</w:t>
            </w:r>
          </w:p>
        </w:tc>
        <w:tc>
          <w:tcPr>
            <w:tcW w:type="dxa" w:w="3137"/>
          </w:tcPr>
          <w:p>
            <w:r>
              <w:t>变更协调员</w:t>
            </w:r>
          </w:p>
        </w:tc>
        <w:tc>
          <w:tcPr>
            <w:tcW w:type="dxa" w:w="3137"/>
          </w:tcPr>
          <w:p>
            <w:r>
              <w:t>API-042；BR-042；字段字典变更单字段</w:t>
            </w:r>
          </w:p>
        </w:tc>
      </w:tr>
      <w:tr>
        <w:tc>
          <w:tcPr>
            <w:tcW w:type="dxa" w:w="3137"/>
          </w:tcPr>
          <w:p>
            <w:r>
              <w:t>批准变更</w:t>
            </w:r>
          </w:p>
        </w:tc>
        <w:tc>
          <w:tcPr>
            <w:tcW w:type="dxa" w:w="3137"/>
          </w:tcPr>
          <w:p>
            <w:r>
              <w:t>变更协调员</w:t>
            </w:r>
          </w:p>
        </w:tc>
        <w:tc>
          <w:tcPr>
            <w:tcW w:type="dxa" w:w="3137"/>
          </w:tcPr>
          <w:p>
            <w:r>
              <w:t>API-043；BR-043；字段字典变更单字段</w:t>
            </w:r>
          </w:p>
        </w:tc>
      </w:tr>
      <w:tr>
        <w:tc>
          <w:tcPr>
            <w:tcW w:type="dxa" w:w="3137"/>
          </w:tcPr>
          <w:p>
            <w:r>
              <w:t>回滚变更</w:t>
            </w:r>
          </w:p>
        </w:tc>
        <w:tc>
          <w:tcPr>
            <w:tcW w:type="dxa" w:w="3137"/>
          </w:tcPr>
          <w:p>
            <w:r>
              <w:t>变更协调员</w:t>
            </w:r>
          </w:p>
        </w:tc>
        <w:tc>
          <w:tcPr>
            <w:tcW w:type="dxa" w:w="3137"/>
          </w:tcPr>
          <w:p>
            <w:r>
              <w:t>API-044；BR-044；字段字典变更单字段</w:t>
            </w:r>
          </w:p>
        </w:tc>
      </w:tr>
    </w:tbl>
    <w:p>
      <w:pPr>
        <w:pStyle w:val="Heading1"/>
      </w:pPr>
      <w:r>
        <w:t>12 归档任务对象业务要求</w:t>
      </w:r>
    </w:p>
    <w:p>
      <w:r>
        <w:t>归档任务由资产归档员负责，稳定对象类型为archive_job。本章字段、接口与规则分别以字段字典和接口规则台账为准，不能通过名称相近把两个对象合并。对象详情显示创建者、当前状态、版本、来源与最近变更时间；涉及受限信息时根据访问角色裁剪。</w:t>
      </w:r>
    </w:p>
    <w:p>
      <w:r>
        <w:t>归档成功必须同时有存储引用和校验摘要，上传未确认不算成功。</w:t>
      </w:r>
    </w:p>
    <w:p>
      <w:r>
        <w:t>恢复前校验摘要与对象版本，失败时保留原归档记录并明确失败原因。</w:t>
      </w:r>
    </w:p>
    <w:p>
      <w:r>
        <w:t>保留冻结标记为true时禁止自动清理，但不推导任何真实法律义务。</w:t>
      </w:r>
    </w:p>
    <w:p>
      <w:r>
        <w:t>恢复只生成可审核的恢复副本，不自动重新发布、恢复授权或重启订阅。</w:t>
      </w:r>
    </w:p>
    <w:p>
      <w:r>
        <w:t>该对象的列表需支持ID精确定位、名称或关联对象检索、状态过滤、按更新时间排序和游标翻页。导出与列表使用同一范围过滤，拒绝将当前页面的可见性误当作全部数据的导出权限。资产归档员可以看到本域待办，观察员只能读取脱敏详情。</w:t>
      </w:r>
    </w:p>
    <w:p>
      <w:r>
        <w:t>异常路径至少包括对象不存在、版本已变化、权限不足、依赖尚未就绪、重复提交、执行中取消及后台暂不可用。前端保留用户已填写的非秘密内容，显示下一步可执行动作；后台记录request_id，不能把所有错误合并为“未知异常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</w:tcPr>
          <w:p>
            <w:r>
              <w:t>动作</w:t>
            </w:r>
          </w:p>
        </w:tc>
        <w:tc>
          <w:tcPr>
            <w:tcW w:type="dxa" w:w="3137"/>
          </w:tcPr>
          <w:p>
            <w:r>
              <w:t>参与角色</w:t>
            </w:r>
          </w:p>
        </w:tc>
        <w:tc>
          <w:tcPr>
            <w:tcW w:type="dxa" w:w="3137"/>
          </w:tcPr>
          <w:p>
            <w:r>
              <w:t>验收依据</w:t>
            </w:r>
          </w:p>
        </w:tc>
      </w:tr>
      <w:tr>
        <w:tc>
          <w:tcPr>
            <w:tcW w:type="dxa" w:w="3137"/>
          </w:tcPr>
          <w:p>
            <w:r>
              <w:t>创建归档</w:t>
            </w:r>
          </w:p>
        </w:tc>
        <w:tc>
          <w:tcPr>
            <w:tcW w:type="dxa" w:w="3137"/>
          </w:tcPr>
          <w:p>
            <w:r>
              <w:t>资产归档员</w:t>
            </w:r>
          </w:p>
        </w:tc>
        <w:tc>
          <w:tcPr>
            <w:tcW w:type="dxa" w:w="3137"/>
          </w:tcPr>
          <w:p>
            <w:r>
              <w:t>API-045；BR-045；字段字典归档任务字段</w:t>
            </w:r>
          </w:p>
        </w:tc>
      </w:tr>
      <w:tr>
        <w:tc>
          <w:tcPr>
            <w:tcW w:type="dxa" w:w="3137"/>
          </w:tcPr>
          <w:p>
            <w:r>
              <w:t>查询归档</w:t>
            </w:r>
          </w:p>
        </w:tc>
        <w:tc>
          <w:tcPr>
            <w:tcW w:type="dxa" w:w="3137"/>
          </w:tcPr>
          <w:p>
            <w:r>
              <w:t>资产归档员</w:t>
            </w:r>
          </w:p>
        </w:tc>
        <w:tc>
          <w:tcPr>
            <w:tcW w:type="dxa" w:w="3137"/>
          </w:tcPr>
          <w:p>
            <w:r>
              <w:t>API-046；BR-046；字段字典归档任务字段</w:t>
            </w:r>
          </w:p>
        </w:tc>
      </w:tr>
      <w:tr>
        <w:tc>
          <w:tcPr>
            <w:tcW w:type="dxa" w:w="3137"/>
          </w:tcPr>
          <w:p>
            <w:r>
              <w:t>申请恢复</w:t>
            </w:r>
          </w:p>
        </w:tc>
        <w:tc>
          <w:tcPr>
            <w:tcW w:type="dxa" w:w="3137"/>
          </w:tcPr>
          <w:p>
            <w:r>
              <w:t>资产归档员</w:t>
            </w:r>
          </w:p>
        </w:tc>
        <w:tc>
          <w:tcPr>
            <w:tcW w:type="dxa" w:w="3137"/>
          </w:tcPr>
          <w:p>
            <w:r>
              <w:t>API-047；BR-047；字段字典归档任务字段</w:t>
            </w:r>
          </w:p>
        </w:tc>
      </w:tr>
      <w:tr>
        <w:tc>
          <w:tcPr>
            <w:tcW w:type="dxa" w:w="3137"/>
          </w:tcPr>
          <w:p>
            <w:r>
              <w:t>设置保留冻结</w:t>
            </w:r>
          </w:p>
        </w:tc>
        <w:tc>
          <w:tcPr>
            <w:tcW w:type="dxa" w:w="3137"/>
          </w:tcPr>
          <w:p>
            <w:r>
              <w:t>资产归档员</w:t>
            </w:r>
          </w:p>
        </w:tc>
        <w:tc>
          <w:tcPr>
            <w:tcW w:type="dxa" w:w="3137"/>
          </w:tcPr>
          <w:p>
            <w:r>
              <w:t>API-048；BR-048；字段字典归档任务字段</w:t>
            </w:r>
          </w:p>
        </w:tc>
      </w:tr>
    </w:tbl>
    <w:p>
      <w:pPr>
        <w:pStyle w:val="Heading1"/>
      </w:pPr>
      <w:r>
        <w:t>贯穿用例：质量阻断交付</w:t>
      </w:r>
    </w:p>
    <w:p>
      <w:r>
        <w:t>模拟数据集DST-TEST-001@3的RUN-TEST-004检查1,000行，其中不合格去重后40行：空值18行、格式12行、重复键10行；本用例三组互不重叠。另有15行warning，其中5行也在不合格行内。合格率按(总行数-不合格去重行数)/总行数计算，warning不能再从合格数扣除。</w:t>
      </w:r>
    </w:p>
    <w:p>
      <w:r>
        <w:t>本用例阻断质量阈值为0.99。运行技术状态为completed，质量判断为未通过；创建交付应返回422并关联RUN-TEST-004，不得写成系统执行failed。修复后新建RUN-TEST-005，不覆盖旧报告。</w:t>
      </w:r>
    </w:p>
    <w:p>
      <w:pPr>
        <w:pStyle w:val="Heading1"/>
      </w:pPr>
      <w:r>
        <w:t>贯穿用例：授权到期</w:t>
      </w:r>
    </w:p>
    <w:p>
      <w:r>
        <w:t>ACC-TEST-014批准的字段为order_id与order_amount，授权截止2026-11-01T00:00:00+08:00。2026-10-31T16:00:00Z是同一瞬时，从该瞬时开始视为已到期；下载链接到期不得晚于授权到期。</w:t>
      </w:r>
    </w:p>
    <w:p>
      <w:r>
        <w:t>队列中的交付任务在授权有效期内建立，但开始执行时授权已经过期，应拒绝执行并记录expired原因；不能因排队时通过检查而继续产出。</w:t>
      </w:r>
    </w:p>
    <w:p>
      <w:pPr>
        <w:pStyle w:val="Heading1"/>
      </w:pPr>
      <w:r>
        <w:t>贯穿用例：变更与历史解释</w:t>
      </w:r>
    </w:p>
    <w:p>
      <w:r>
        <w:t>CHG-TEST-008要把DST-TEST-001从3改为4；审批后若另一已批准变更先产生版本4，本单必须报告预期前版本冲突并重新评估，不得继续覆盖为4。</w:t>
      </w:r>
    </w:p>
    <w:p>
      <w:r>
        <w:t>历史RUN-TEST-004、交付DLV-TEST-020和字段绑定均保持原版本引用；查询详情可导航到新版本，但不得用新术语定义重写旧报告含义。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