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澄川演示平台业务连续性演练手册：跨部门、时区与长决策表 · 交付预期与验收</w:t>
      </w:r>
    </w:p>
    <w:p>
      <w:r>
        <w:t>本文件供测试人员核对成品，不上传资料库。它是验收蓝图，不是已经生成的完整业务文档。</w:t>
      </w:r>
    </w:p>
    <w:p>
      <w:r>
        <w:t>目标文件：澄川演示平台_业务连续性演练执行手册.docx；类型：general；正文目标：30,000—40,000 字符。</w:t>
      </w:r>
    </w:p>
    <w:p>
      <w:r>
        <w:t>正文有效字符数：汉字、英文字母、数字逐字符计数，计入表格，不计封面、目录、标题、页眉页脚、空白和标点。页数只作观察，不作字数替代。</w:t>
      </w:r>
    </w:p>
    <w:p>
      <w:pPr>
        <w:pStyle w:val="Heading1"/>
      </w:pPr>
      <w:r>
        <w:t>一、预期目录与各章展开程度</w:t>
      </w:r>
    </w:p>
    <w:p>
      <w:pPr>
        <w:pStyle w:val="Heading2"/>
      </w:pPr>
      <w:r>
        <w:t>1. 手册目的、边界与使用方法（至少 1800 字符）</w:t>
      </w:r>
    </w:p>
    <w:p>
      <w:pPr>
        <w:pStyle w:val="ListBullet"/>
      </w:pPr>
      <w:r>
        <w:t>隔离环境</w:t>
      </w:r>
    </w:p>
    <w:p>
      <w:pPr>
        <w:pStyle w:val="ListBullet"/>
      </w:pPr>
      <w:r>
        <w:t>通用手册</w:t>
      </w:r>
    </w:p>
    <w:p>
      <w:pPr>
        <w:pStyle w:val="ListBullet"/>
      </w:pPr>
      <w:r>
        <w:t>合成示例</w:t>
      </w:r>
    </w:p>
    <w:p>
      <w:pPr>
        <w:pStyle w:val="ListBullet"/>
      </w:pPr>
      <w:r>
        <w:t>禁止生产扩展</w:t>
      </w:r>
    </w:p>
    <w:p>
      <w:r>
        <w:t>依据：01_演练章程与职责.docx、03_系统依赖与执行手册.md、06_模拟复盘记录.txt</w:t>
      </w:r>
    </w:p>
    <w:p>
      <w:pPr>
        <w:pStyle w:val="Heading2"/>
      </w:pPr>
      <w:r>
        <w:t>2. 演练目标、时钟与恢复指标（至少 2300 字符）</w:t>
      </w:r>
    </w:p>
    <w:p>
      <w:pPr>
        <w:pStyle w:val="ListBullet"/>
      </w:pPr>
      <w:r>
        <w:t>RTO45分钟</w:t>
      </w:r>
    </w:p>
    <w:p>
      <w:pPr>
        <w:pStyle w:val="ListBullet"/>
      </w:pPr>
      <w:r>
        <w:t>RPO12分钟</w:t>
      </w:r>
    </w:p>
    <w:p>
      <w:pPr>
        <w:pStyle w:val="ListBullet"/>
      </w:pPr>
      <w:r>
        <w:t>2秒</w:t>
      </w:r>
    </w:p>
    <w:p>
      <w:pPr>
        <w:pStyle w:val="ListBullet"/>
      </w:pPr>
      <w:r>
        <w:t>UTC和上海</w:t>
      </w:r>
    </w:p>
    <w:p>
      <w:pPr>
        <w:pStyle w:val="ListBullet"/>
      </w:pPr>
      <w:r>
        <w:t>起止口径</w:t>
      </w:r>
    </w:p>
    <w:p>
      <w:r>
        <w:t>依据：01_演练章程与职责.docx、02_时间指标决策与记录.xlsx、06_模拟复盘记录.txt</w:t>
      </w:r>
    </w:p>
    <w:p>
      <w:pPr>
        <w:pStyle w:val="Heading2"/>
      </w:pPr>
      <w:r>
        <w:t>3. 组织角色、责任与交接（至少 2400 字符）</w:t>
      </w:r>
    </w:p>
    <w:p>
      <w:pPr>
        <w:pStyle w:val="ListBullet"/>
      </w:pPr>
      <w:r>
        <w:t>RACI</w:t>
      </w:r>
    </w:p>
    <w:p>
      <w:pPr>
        <w:pStyle w:val="ListBullet"/>
      </w:pPr>
      <w:r>
        <w:t>批准边界</w:t>
      </w:r>
    </w:p>
    <w:p>
      <w:pPr>
        <w:pStyle w:val="ListBullet"/>
      </w:pPr>
      <w:r>
        <w:t>替代者</w:t>
      </w:r>
    </w:p>
    <w:p>
      <w:pPr>
        <w:pStyle w:val="ListBullet"/>
      </w:pPr>
      <w:r>
        <w:t>交接读回</w:t>
      </w:r>
    </w:p>
    <w:p>
      <w:pPr>
        <w:pStyle w:val="ListBullet"/>
      </w:pPr>
      <w:r>
        <w:t>验收独立</w:t>
      </w:r>
    </w:p>
    <w:p>
      <w:r>
        <w:t>依据：01_演练章程与职责.docx、02_时间指标决策与记录.xlsx、05_沟通与交接培训.pptx</w:t>
      </w:r>
    </w:p>
    <w:p>
      <w:pPr>
        <w:pStyle w:val="Heading2"/>
      </w:pPr>
      <w:r>
        <w:t>4. 系统依赖与业务验证对象（至少 2200 字符）</w:t>
      </w:r>
    </w:p>
    <w:p>
      <w:pPr>
        <w:pStyle w:val="ListBullet"/>
      </w:pPr>
      <w:r>
        <w:t>4业务组件</w:t>
      </w:r>
    </w:p>
    <w:p>
      <w:pPr>
        <w:pStyle w:val="ListBullet"/>
      </w:pPr>
      <w:r>
        <w:t>4依赖</w:t>
      </w:r>
    </w:p>
    <w:p>
      <w:pPr>
        <w:pStyle w:val="ListBullet"/>
      </w:pPr>
      <w:r>
        <w:t>只读不等于恢复</w:t>
      </w:r>
    </w:p>
    <w:p>
      <w:pPr>
        <w:pStyle w:val="ListBullet"/>
      </w:pPr>
      <w:r>
        <w:t>业务消息去重</w:t>
      </w:r>
    </w:p>
    <w:p>
      <w:r>
        <w:t>依据：03_系统依赖与执行手册.md、04_场景注入卡.pdf</w:t>
      </w:r>
    </w:p>
    <w:p>
      <w:pPr>
        <w:pStyle w:val="Heading2"/>
      </w:pPr>
      <w:r>
        <w:t>5. 准备检查与准入标准（至少 2600 字符）</w:t>
      </w:r>
    </w:p>
    <w:p>
      <w:pPr>
        <w:pStyle w:val="ListBullet"/>
      </w:pPr>
      <w:r>
        <w:t>P0</w:t>
      </w:r>
    </w:p>
    <w:p>
      <w:pPr>
        <w:pStyle w:val="ListBullet"/>
      </w:pPr>
      <w:r>
        <w:t>环境身份</w:t>
      </w:r>
    </w:p>
    <w:p>
      <w:pPr>
        <w:pStyle w:val="ListBullet"/>
      </w:pPr>
      <w:r>
        <w:t>账号隔离</w:t>
      </w:r>
    </w:p>
    <w:p>
      <w:pPr>
        <w:pStyle w:val="ListBullet"/>
      </w:pPr>
      <w:r>
        <w:t>基线摘要</w:t>
      </w:r>
    </w:p>
    <w:p>
      <w:pPr>
        <w:pStyle w:val="ListBullet"/>
      </w:pPr>
      <w:r>
        <w:t>回滚材料</w:t>
      </w:r>
    </w:p>
    <w:p>
      <w:pPr>
        <w:pStyle w:val="ListBullet"/>
      </w:pPr>
      <w:r>
        <w:t>待填配置</w:t>
      </w:r>
    </w:p>
    <w:p>
      <w:r>
        <w:t>依据：01_演练章程与职责.docx、02_时间指标决策与记录.xlsx、03_系统依赖与执行手册.md、05_沟通与交接培训.pptx、06_模拟复盘记录.txt</w:t>
      </w:r>
    </w:p>
    <w:p>
      <w:pPr>
        <w:pStyle w:val="Heading2"/>
      </w:pPr>
      <w:r>
        <w:t>6. 场景选择、故障确认与启动（至少 2400 字符）</w:t>
      </w:r>
    </w:p>
    <w:p>
      <w:pPr>
        <w:pStyle w:val="ListBullet"/>
      </w:pPr>
      <w:r>
        <w:t>本轮与桌面推演区分</w:t>
      </w:r>
    </w:p>
    <w:p>
      <w:pPr>
        <w:pStyle w:val="ListBullet"/>
      </w:pPr>
      <w:r>
        <w:t>两次失败</w:t>
      </w:r>
    </w:p>
    <w:p>
      <w:pPr>
        <w:pStyle w:val="ListBullet"/>
      </w:pPr>
      <w:r>
        <w:t>间隔30秒</w:t>
      </w:r>
    </w:p>
    <w:p>
      <w:pPr>
        <w:pStyle w:val="ListBullet"/>
      </w:pPr>
      <w:r>
        <w:t>T0确认</w:t>
      </w:r>
    </w:p>
    <w:p>
      <w:r>
        <w:t>依据：01_演练章程与职责.docx、02_时间指标决策与记录.xlsx、03_系统依赖与执行手册.md、04_场景注入卡.pdf</w:t>
      </w:r>
    </w:p>
    <w:p>
      <w:pPr>
        <w:pStyle w:val="Heading2"/>
      </w:pPr>
      <w:r>
        <w:t>7. 切换决策与执行检查点（至少 2800 字符）</w:t>
      </w:r>
    </w:p>
    <w:p>
      <w:pPr>
        <w:pStyle w:val="ListBullet"/>
      </w:pPr>
      <w:r>
        <w:t>写端隔离</w:t>
      </w:r>
    </w:p>
    <w:p>
      <w:pPr>
        <w:pStyle w:val="ListBullet"/>
      </w:pPr>
      <w:r>
        <w:t>RPO阻断</w:t>
      </w:r>
    </w:p>
    <w:p>
      <w:pPr>
        <w:pStyle w:val="ListBullet"/>
      </w:pPr>
      <w:r>
        <w:t>审批</w:t>
      </w:r>
    </w:p>
    <w:p>
      <w:pPr>
        <w:pStyle w:val="ListBullet"/>
      </w:pPr>
      <w:r>
        <w:t>P1/P2</w:t>
      </w:r>
    </w:p>
    <w:p>
      <w:pPr>
        <w:pStyle w:val="ListBullet"/>
      </w:pPr>
      <w:r>
        <w:t>超时查状态</w:t>
      </w:r>
    </w:p>
    <w:p>
      <w:r>
        <w:t>依据：02_时间指标决策与记录.xlsx、03_系统依赖与执行手册.md、04_场景注入卡.pdf</w:t>
      </w:r>
    </w:p>
    <w:p>
      <w:pPr>
        <w:pStyle w:val="Heading2"/>
      </w:pPr>
      <w:r>
        <w:t>8. 业务恢复验证与指标计算（至少 2800 字符）</w:t>
      </w:r>
    </w:p>
    <w:p>
      <w:pPr>
        <w:pStyle w:val="ListBullet"/>
      </w:pPr>
      <w:r>
        <w:t>P3</w:t>
      </w:r>
    </w:p>
    <w:p>
      <w:pPr>
        <w:pStyle w:val="ListBullet"/>
      </w:pPr>
      <w:r>
        <w:t>全判据</w:t>
      </w:r>
    </w:p>
    <w:p>
      <w:pPr>
        <w:pStyle w:val="ListBullet"/>
      </w:pPr>
      <w:r>
        <w:t>42分钟</w:t>
      </w:r>
    </w:p>
    <w:p>
      <w:pPr>
        <w:pStyle w:val="ListBullet"/>
      </w:pPr>
      <w:r>
        <w:t>8分钟</w:t>
      </w:r>
    </w:p>
    <w:p>
      <w:pPr>
        <w:pStyle w:val="ListBullet"/>
      </w:pPr>
      <w:r>
        <w:t>2630积分</w:t>
      </w:r>
    </w:p>
    <w:p>
      <w:pPr>
        <w:pStyle w:val="ListBullet"/>
      </w:pPr>
      <w:r>
        <w:t>1200消息</w:t>
      </w:r>
    </w:p>
    <w:p>
      <w:r>
        <w:t>依据：01_演练章程与职责.docx、02_时间指标决策与记录.xlsx、03_系统依赖与执行手册.md、06_模拟复盘记录.txt</w:t>
      </w:r>
    </w:p>
    <w:p>
      <w:pPr>
        <w:pStyle w:val="Heading2"/>
      </w:pPr>
      <w:r>
        <w:t>9. 回滚、终止与异常分支（至少 2700 字符）</w:t>
      </w:r>
    </w:p>
    <w:p>
      <w:pPr>
        <w:pStyle w:val="ListBullet"/>
      </w:pPr>
      <w:r>
        <w:t>7类回滚条件</w:t>
      </w:r>
    </w:p>
    <w:p>
      <w:pPr>
        <w:pStyle w:val="ListBullet"/>
      </w:pPr>
      <w:r>
        <w:t>08:55</w:t>
      </w:r>
    </w:p>
    <w:p>
      <w:pPr>
        <w:pStyle w:val="ListBullet"/>
      </w:pPr>
      <w:r>
        <w:t>PR</w:t>
      </w:r>
    </w:p>
    <w:p>
      <w:pPr>
        <w:pStyle w:val="ListBullet"/>
      </w:pPr>
      <w:r>
        <w:t>不改写证据</w:t>
      </w:r>
    </w:p>
    <w:p>
      <w:pPr>
        <w:pStyle w:val="ListBullet"/>
      </w:pPr>
      <w:r>
        <w:t>单轮边界</w:t>
      </w:r>
    </w:p>
    <w:p>
      <w:r>
        <w:t>依据：01_演练章程与职责.docx、02_时间指标决策与记录.xlsx、03_系统依赖与执行手册.md、04_场景注入卡.pdf</w:t>
      </w:r>
    </w:p>
    <w:p>
      <w:pPr>
        <w:pStyle w:val="Heading2"/>
      </w:pPr>
      <w:r>
        <w:t>10. 跨部门沟通与阶段模板（至少 2200 字符）</w:t>
      </w:r>
    </w:p>
    <w:p>
      <w:pPr>
        <w:pStyle w:val="ListBullet"/>
      </w:pPr>
      <w:r>
        <w:t>通知字段</w:t>
      </w:r>
    </w:p>
    <w:p>
      <w:pPr>
        <w:pStyle w:val="ListBullet"/>
      </w:pPr>
      <w:r>
        <w:t>未知信息</w:t>
      </w:r>
    </w:p>
    <w:p>
      <w:pPr>
        <w:pStyle w:val="ListBullet"/>
      </w:pPr>
      <w:r>
        <w:t>通道故障</w:t>
      </w:r>
    </w:p>
    <w:p>
      <w:pPr>
        <w:pStyle w:val="ListBullet"/>
      </w:pPr>
      <w:r>
        <w:t>交接</w:t>
      </w:r>
    </w:p>
    <w:p>
      <w:pPr>
        <w:pStyle w:val="ListBullet"/>
      </w:pPr>
      <w:r>
        <w:t>示例消息</w:t>
      </w:r>
    </w:p>
    <w:p>
      <w:r>
        <w:t>依据：02_时间指标决策与记录.xlsx、05_沟通与交接培训.pptx、06_模拟复盘记录.txt</w:t>
      </w:r>
    </w:p>
    <w:p>
      <w:pPr>
        <w:pStyle w:val="Heading2"/>
      </w:pPr>
      <w:r>
        <w:t>11. 全量决策表与角色检查清单（至少 3600 字符）</w:t>
      </w:r>
    </w:p>
    <w:p>
      <w:pPr>
        <w:pStyle w:val="ListBullet"/>
      </w:pPr>
      <w:r>
        <w:t>DEC01—48</w:t>
      </w:r>
    </w:p>
    <w:p>
      <w:pPr>
        <w:pStyle w:val="ListBullet"/>
      </w:pPr>
      <w:r>
        <w:t>6阶段</w:t>
      </w:r>
    </w:p>
    <w:p>
      <w:pPr>
        <w:pStyle w:val="ListBullet"/>
      </w:pPr>
      <w:r>
        <w:t>完整分支</w:t>
      </w:r>
    </w:p>
    <w:p>
      <w:pPr>
        <w:pStyle w:val="ListBullet"/>
      </w:pPr>
      <w:r>
        <w:t>长表分页</w:t>
      </w:r>
    </w:p>
    <w:p>
      <w:pPr>
        <w:pStyle w:val="ListBullet"/>
      </w:pPr>
      <w:r>
        <w:t>角色动作</w:t>
      </w:r>
    </w:p>
    <w:p>
      <w:r>
        <w:t>依据：02_时间指标决策与记录.xlsx、03_系统依赖与执行手册.md</w:t>
      </w:r>
    </w:p>
    <w:p>
      <w:pPr>
        <w:pStyle w:val="Heading2"/>
      </w:pPr>
      <w:r>
        <w:t>12. 证据归档与演练收尾（至少 2300 字符）</w:t>
      </w:r>
    </w:p>
    <w:p>
      <w:pPr>
        <w:pStyle w:val="ListBullet"/>
      </w:pPr>
      <w:r>
        <w:t>P4</w:t>
      </w:r>
    </w:p>
    <w:p>
      <w:pPr>
        <w:pStyle w:val="ListBullet"/>
      </w:pPr>
      <w:r>
        <w:t>撤销注入</w:t>
      </w:r>
    </w:p>
    <w:p>
      <w:pPr>
        <w:pStyle w:val="ListBullet"/>
      </w:pPr>
      <w:r>
        <w:t>授权清理</w:t>
      </w:r>
    </w:p>
    <w:p>
      <w:pPr>
        <w:pStyle w:val="ListBullet"/>
      </w:pPr>
      <w:r>
        <w:t>摘要</w:t>
      </w:r>
    </w:p>
    <w:p>
      <w:pPr>
        <w:pStyle w:val="ListBullet"/>
      </w:pPr>
      <w:r>
        <w:t>关闭条件</w:t>
      </w:r>
    </w:p>
    <w:p>
      <w:r>
        <w:t>依据：01_演练章程与职责.docx、02_时间指标决策与记录.xlsx、03_系统依赖与执行手册.md</w:t>
      </w:r>
    </w:p>
    <w:p>
      <w:pPr>
        <w:pStyle w:val="Heading2"/>
      </w:pPr>
      <w:r>
        <w:t>13. 复盘方法与整改闭环（至少 2400 字符）</w:t>
      </w:r>
    </w:p>
    <w:p>
      <w:pPr>
        <w:pStyle w:val="ListBullet"/>
      </w:pPr>
      <w:r>
        <w:t>合成事实线</w:t>
      </w:r>
    </w:p>
    <w:p>
      <w:pPr>
        <w:pStyle w:val="ListBullet"/>
      </w:pPr>
      <w:r>
        <w:t>部分通过</w:t>
      </w:r>
    </w:p>
    <w:p>
      <w:pPr>
        <w:pStyle w:val="ListBullet"/>
      </w:pPr>
      <w:r>
        <w:t>不可判定</w:t>
      </w:r>
    </w:p>
    <w:p>
      <w:pPr>
        <w:pStyle w:val="ListBullet"/>
      </w:pPr>
      <w:r>
        <w:t>两遗留项</w:t>
      </w:r>
    </w:p>
    <w:p>
      <w:pPr>
        <w:pStyle w:val="ListBullet"/>
      </w:pPr>
      <w:r>
        <w:t>责任验证</w:t>
      </w:r>
    </w:p>
    <w:p>
      <w:r>
        <w:t>依据：05_沟通与交接培训.pptx、06_模拟复盘记录.txt</w:t>
      </w:r>
    </w:p>
    <w:p>
      <w:pPr>
        <w:pStyle w:val="Heading2"/>
      </w:pPr>
      <w:r>
        <w:t>14. 模板附件、验收与待确认清单（至少 2400 字符）</w:t>
      </w:r>
    </w:p>
    <w:p>
      <w:pPr>
        <w:pStyle w:val="ListBullet"/>
      </w:pPr>
      <w:r>
        <w:t>时间模板</w:t>
      </w:r>
    </w:p>
    <w:p>
      <w:pPr>
        <w:pStyle w:val="ListBullet"/>
      </w:pPr>
      <w:r>
        <w:t>动作决策记录</w:t>
      </w:r>
    </w:p>
    <w:p>
      <w:pPr>
        <w:pStyle w:val="ListBullet"/>
      </w:pPr>
      <w:r>
        <w:t>审批模板</w:t>
      </w:r>
    </w:p>
    <w:p>
      <w:pPr>
        <w:pStyle w:val="ListBullet"/>
      </w:pPr>
      <w:r>
        <w:t>指标未知</w:t>
      </w:r>
    </w:p>
    <w:p>
      <w:pPr>
        <w:pStyle w:val="ListBullet"/>
      </w:pPr>
      <w:r>
        <w:t>可执行性检查</w:t>
      </w:r>
    </w:p>
    <w:p>
      <w:r>
        <w:t>依据：01_演练章程与职责.docx、02_时间指标决策与记录.xlsx、05_沟通与交接培训.pptx、06_模拟复盘记录.txt</w:t>
      </w:r>
    </w:p>
    <w:p>
      <w:pPr>
        <w:pStyle w:val="Heading1"/>
      </w:pPr>
      <w:r>
        <w:t>二、必须准确表达的事实</w:t>
      </w:r>
    </w:p>
    <w:p>
      <w:r>
        <w:t>F09-01 [critical] 仅适用于TEST-CONT-01隔离环境，全部数据合成。</w:t>
      </w:r>
    </w:p>
    <w:p>
      <w:r>
        <w:t>依据：01_演练章程与职责.docx / 章程与适用边界</w:t>
      </w:r>
    </w:p>
    <w:p>
      <w:r>
        <w:t>F09-02 [critical] 本轮DRILL-TEST-20261118-A，计划08:00—09:30 Asia/Shanghai。</w:t>
      </w:r>
    </w:p>
    <w:p>
      <w:r>
        <w:t>依据：01_演练章程与职责.docx / 章程与适用边界；证据合同</w:t>
      </w:r>
    </w:p>
    <w:p>
      <w:r>
        <w:t>F09-03 [critical] RTO目标45分钟，直到全部恢复判据通过且业务确认止表。</w:t>
      </w:r>
    </w:p>
    <w:p>
      <w:r>
        <w:t>依据：01_演练章程与职责.docx / 目标与指标定义</w:t>
      </w:r>
    </w:p>
    <w:p>
      <w:r>
        <w:t>F09-04 [critical] RPO目标12分钟，采用T0减最后持久化点。</w:t>
      </w:r>
    </w:p>
    <w:p>
      <w:r>
        <w:t>依据：01_演练章程与职责.docx / 目标与指标定义</w:t>
      </w:r>
    </w:p>
    <w:p>
      <w:r>
        <w:t>F09-05 [critical] 时钟偏差容忍度2秒。</w:t>
      </w:r>
    </w:p>
    <w:p>
      <w:r>
        <w:t>依据：01_演练章程与职责.docx / 目标与指标定义</w:t>
      </w:r>
    </w:p>
    <w:p>
      <w:r>
        <w:t>F09-06 [critical] 08:10+08:00等于00:10Z，08:52+08:00等于00:52Z。</w:t>
      </w:r>
    </w:p>
    <w:p>
      <w:r>
        <w:t>依据：02_时间指标决策与记录.xlsx / 指标与时间 T-01/T-05</w:t>
      </w:r>
    </w:p>
    <w:p>
      <w:r>
        <w:t>F09-07 [critical] 演练示例RTO为42分钟，不是节点启动的26分钟。</w:t>
      </w:r>
    </w:p>
    <w:p>
      <w:r>
        <w:t>依据：06_模拟复盘记录.txt / 演练示例与日期说明</w:t>
      </w:r>
    </w:p>
    <w:p>
      <w:r>
        <w:t>F09-08 [critical] 恢复点00:02Z到T0 00:10Z相差8分钟，满足12分钟目标。</w:t>
      </w:r>
    </w:p>
    <w:p>
      <w:r>
        <w:t>依据：02_时间指标决策与记录.xlsx / 指标与时间 T-01/T-02</w:t>
      </w:r>
    </w:p>
    <w:p>
      <w:r>
        <w:t>F09-09 [critical] 完整台账期末为2630测试积分。</w:t>
      </w:r>
    </w:p>
    <w:p>
      <w:r>
        <w:t>依据：03_系统依赖与执行手册.md / 数据一致性验证</w:t>
      </w:r>
    </w:p>
    <w:p>
      <w:r>
        <w:t>F09-10 [critical] 1224次执行尝试含24次重复拦截，业务消息去重成功为1200。</w:t>
      </w:r>
    </w:p>
    <w:p>
      <w:r>
        <w:t>依据：02_时间指标决策与记录.xlsx / 合成核对数据</w:t>
      </w:r>
    </w:p>
    <w:p>
      <w:r>
        <w:t>F09-11 [critical] 不能确认原写端隔离时阻断新主写入。</w:t>
      </w:r>
    </w:p>
    <w:p>
      <w:r>
        <w:t>依据：02_时间指标决策与记录.xlsx / 48项决策表 DEC-20</w:t>
      </w:r>
    </w:p>
    <w:p>
      <w:r>
        <w:t>F09-12 [critical] 08:55未恢复则本轮未通过并终止注入，不能改写起点。</w:t>
      </w:r>
    </w:p>
    <w:p>
      <w:r>
        <w:t>依据：01_演练章程与职责.docx / 停演与回滚边界</w:t>
      </w:r>
    </w:p>
    <w:p>
      <w:r>
        <w:t>F09-13 [critical] 只有INJ-01与INJ-02为本轮批准复合场景，其他卡为候选或桌面推演。</w:t>
      </w:r>
    </w:p>
    <w:p>
      <w:r>
        <w:t>依据：04_场景注入卡.pdf / 卡片INJ-02至INJ-06</w:t>
      </w:r>
    </w:p>
    <w:p>
      <w:r>
        <w:t>F09-14 [critical] DEC-48关闭演练不等于所有整改完成。</w:t>
      </w:r>
    </w:p>
    <w:p>
      <w:r>
        <w:t>依据：02_时间指标决策与记录.xlsx / 48项决策表 DEC-48</w:t>
      </w:r>
    </w:p>
    <w:p>
      <w:r>
        <w:t>F09-15 [critical] 缺乏可验证时间证据时指标不可判定，不使用猜测数据。</w:t>
      </w:r>
    </w:p>
    <w:p>
      <w:r>
        <w:t>依据：01_演练章程与职责.docx / 证据合同</w:t>
      </w:r>
    </w:p>
    <w:p>
      <w:r>
        <w:t>F09-16 [critical] 实际性能阈值、联系人、会议链接及脚本路径未提供。</w:t>
      </w:r>
    </w:p>
    <w:p>
      <w:r>
        <w:t>依据：06_模拟复盘记录.txt / 记录缺口与禁止推断</w:t>
      </w:r>
    </w:p>
    <w:p>
      <w:r>
        <w:t>F09-17 [critical] 合成记录不代表2026-11-18已执行的事故或演练。</w:t>
      </w:r>
    </w:p>
    <w:p>
      <w:r>
        <w:t>依据：06_模拟复盘记录.txt / 记录缺口与禁止推断</w:t>
      </w:r>
    </w:p>
    <w:p>
      <w:pPr>
        <w:pStyle w:val="Heading1"/>
      </w:pPr>
      <w:r>
        <w:t>三、计算与统计口径</w:t>
      </w:r>
    </w:p>
    <w:p>
      <w:r>
        <w:t>C09-01 RTO：使用全部验证通过时点，而非节点启动：00:52Z - 00:10Z = 42 分钟</w:t>
      </w:r>
    </w:p>
    <w:p>
      <w:r>
        <w:t>C09-02 RPO数据缺口：00:10Z - 00:02Z = 8 分钟</w:t>
      </w:r>
    </w:p>
    <w:p>
      <w:r>
        <w:t>C09-03 合成台账期末积分：2400 + 760 - 530 = 2630 测试积分</w:t>
      </w:r>
    </w:p>
    <w:p>
      <w:r>
        <w:t>C09-04 业务消息去重计数：1224 - 24 = 1200 条业务消息</w:t>
      </w:r>
    </w:p>
    <w:p>
      <w:r>
        <w:t>C09-05 RTO目标剩余余量：45 - 42 = 3 分钟</w:t>
      </w:r>
    </w:p>
    <w:p>
      <w:pPr>
        <w:pStyle w:val="Heading1"/>
      </w:pPr>
      <w:r>
        <w:t>四、图表和原型</w:t>
      </w:r>
    </w:p>
    <w:p>
      <w:pPr>
        <w:pStyle w:val="Heading2"/>
      </w:pPr>
      <w:r>
        <w:t>跨部门演练协作与批准流程 / flowchart</w:t>
      </w:r>
    </w:p>
    <w:p>
      <w:pPr>
        <w:pStyle w:val="ListBullet"/>
      </w:pPr>
      <w:r>
        <w:t>指挥员批准与操作执行分离</w:t>
      </w:r>
    </w:p>
    <w:p>
      <w:pPr>
        <w:pStyle w:val="ListBullet"/>
      </w:pPr>
      <w:r>
        <w:t>数据/平台提供切换证据</w:t>
      </w:r>
    </w:p>
    <w:p>
      <w:pPr>
        <w:pStyle w:val="ListBullet"/>
      </w:pPr>
      <w:r>
        <w:t>业务验收员确认</w:t>
      </w:r>
    </w:p>
    <w:p>
      <w:pPr>
        <w:pStyle w:val="ListBullet"/>
      </w:pPr>
      <w:r>
        <w:t>失败转回滚或终止</w:t>
      </w:r>
    </w:p>
    <w:p>
      <w:pPr>
        <w:pStyle w:val="Heading2"/>
      </w:pPr>
      <w:r>
        <w:t>RTO与RPO双时间线 / flowchart</w:t>
      </w:r>
    </w:p>
    <w:p>
      <w:pPr>
        <w:pStyle w:val="ListBullet"/>
      </w:pPr>
      <w:r>
        <w:t>T0 00:10Z</w:t>
      </w:r>
    </w:p>
    <w:p>
      <w:pPr>
        <w:pStyle w:val="ListBullet"/>
      </w:pPr>
      <w:r>
        <w:t>持久化点00:02Z</w:t>
      </w:r>
    </w:p>
    <w:p>
      <w:pPr>
        <w:pStyle w:val="ListBullet"/>
      </w:pPr>
      <w:r>
        <w:t>节点启动不止表</w:t>
      </w:r>
    </w:p>
    <w:p>
      <w:pPr>
        <w:pStyle w:val="ListBullet"/>
      </w:pPr>
      <w:r>
        <w:t>完整恢复00:52Z</w:t>
      </w:r>
    </w:p>
    <w:p>
      <w:pPr>
        <w:pStyle w:val="ListBullet"/>
      </w:pPr>
      <w:r>
        <w:t>同时显示上海时间</w:t>
      </w:r>
    </w:p>
    <w:p>
      <w:pPr>
        <w:pStyle w:val="Heading2"/>
      </w:pPr>
      <w:r>
        <w:t>合成消息处理核对 / chart</w:t>
      </w:r>
    </w:p>
    <w:p>
      <w:pPr>
        <w:pStyle w:val="ListBullet"/>
      </w:pPr>
      <w:r>
        <w:t>1200业务消息</w:t>
      </w:r>
    </w:p>
    <w:p>
      <w:pPr>
        <w:pStyle w:val="ListBullet"/>
      </w:pPr>
      <w:r>
        <w:t>1224执行尝试</w:t>
      </w:r>
    </w:p>
    <w:p>
      <w:pPr>
        <w:pStyle w:val="ListBullet"/>
      </w:pPr>
      <w:r>
        <w:t>24重复拦截</w:t>
      </w:r>
    </w:p>
    <w:p>
      <w:pPr>
        <w:pStyle w:val="ListBullet"/>
      </w:pPr>
      <w:r>
        <w:t>单位与分母明确</w:t>
      </w:r>
    </w:p>
    <w:p>
      <w:pPr>
        <w:pStyle w:val="Heading1"/>
      </w:pPr>
      <w:r>
        <w:t>五、缺口与不得写成事实的结论</w:t>
      </w:r>
    </w:p>
    <w:p>
      <w:r>
        <w:t>端到端性能阈值：资料没有批准基线范围；预期：提供测量与批准模板，保持待确认，不编造毫秒SLA</w:t>
      </w:r>
    </w:p>
    <w:p>
      <w:r>
        <w:t>实际联络与脚本位置：只提供角色没有人员联系方式和可执行脚本；预期：写成演练前必填和核验事项，不能伪造可执行生产命令</w:t>
      </w:r>
    </w:p>
    <w:p>
      <w:r>
        <w:t>实际执行结论：记录为预先构造的未来演练样例；预期：报告只给合成示例计算，正式结果留空待执行，不冒充已验收</w:t>
      </w:r>
    </w:p>
    <w:p>
      <w:pPr>
        <w:pStyle w:val="ListBullet"/>
      </w:pPr>
      <w:r>
        <w:t>RTO为26分钟或30分钟</w:t>
      </w:r>
    </w:p>
    <w:p>
      <w:pPr>
        <w:pStyle w:val="ListBullet"/>
      </w:pPr>
      <w:r>
        <w:t>RPO等于备份文件创建时间差</w:t>
      </w:r>
    </w:p>
    <w:p>
      <w:pPr>
        <w:pStyle w:val="ListBullet"/>
      </w:pPr>
      <w:r>
        <w:t>已真实发生事故或已完成真实演练</w:t>
      </w:r>
    </w:p>
    <w:p>
      <w:pPr>
        <w:pStyle w:val="ListBullet"/>
      </w:pPr>
      <w:r>
        <w:t>可以用生产连接继续完成演练</w:t>
      </w:r>
    </w:p>
    <w:p>
      <w:pPr>
        <w:pStyle w:val="ListBullet"/>
      </w:pPr>
      <w:r>
        <w:t>所有六张注入卡同时属于本轮执行范围</w:t>
      </w:r>
    </w:p>
    <w:p>
      <w:pPr>
        <w:pStyle w:val="ListBullet"/>
      </w:pPr>
      <w:r>
        <w:t>任意技术执行员可批准切换</w:t>
      </w:r>
    </w:p>
    <w:p>
      <w:pPr>
        <w:pStyle w:val="ListBullet"/>
      </w:pPr>
      <w:r>
        <w:t>演练关闭代表所有整改完成</w:t>
      </w:r>
    </w:p>
    <w:p>
      <w:pPr>
        <w:pStyle w:val="ListBullet"/>
      </w:pPr>
      <w:r>
        <w:t>测试积分等于真实资金</w:t>
      </w:r>
    </w:p>
    <w:p>
      <w:pPr>
        <w:pStyle w:val="ListBullet"/>
      </w:pPr>
      <w:r>
        <w:t>填造电话、会议链接、生产命令或批准性能阈值</w:t>
      </w:r>
    </w:p>
    <w:p>
      <w:pPr>
        <w:pStyle w:val="Heading1"/>
      </w:pPr>
      <w:r>
        <w:t>六、人工语义与版式验收</w:t>
      </w:r>
    </w:p>
    <w:p>
      <w:pPr>
        <w:pStyle w:val="ListBullet"/>
      </w:pPr>
      <w:r>
        <w:t>正文30,000—40,000字符，读者能按角色和阶段执行，不得仅转写为系统功能需求。</w:t>
      </w:r>
    </w:p>
    <w:p>
      <w:pPr>
        <w:pStyle w:val="ListBullet"/>
      </w:pPr>
      <w:r>
        <w:t>完整保留48项决策，抽查末尾DEC-41至DEC-48，必须有条件、动作、禁止事项和责任角色。</w:t>
      </w:r>
    </w:p>
    <w:p>
      <w:pPr>
        <w:pStyle w:val="ListBullet"/>
      </w:pPr>
      <w:r>
        <w:t>所有图表与正文RTO=42分钟、RPO=8分钟、期末=2630积分、去重消息=1200一致，UTC与上海时间正确。</w:t>
      </w:r>
    </w:p>
    <w:p>
      <w:pPr>
        <w:pStyle w:val="ListBullet"/>
      </w:pPr>
      <w:r>
        <w:t>示例和正式记录模板分开，不能将未来合成记录描述为已真实发生。</w:t>
      </w:r>
    </w:p>
    <w:p>
      <w:pPr>
        <w:pStyle w:val="ListBullet"/>
      </w:pPr>
      <w:r>
        <w:t>批准、技术执行和业务验收职责清晰，切换前写端隔离和RPO门槛没有在简版清单中被删去。</w:t>
      </w:r>
    </w:p>
    <w:p>
      <w:pPr>
        <w:pStyle w:val="ListBullet"/>
      </w:pPr>
      <w:r>
        <w:t>长决策表跨页重复表头，行内容可读；不截断禁止事项列；目录、页码、图表编号一致。</w:t>
      </w:r>
    </w:p>
    <w:p>
      <w:pPr>
        <w:pStyle w:val="ListBullet"/>
      </w:pPr>
      <w:r>
        <w:t>所有缺失联系方式、脚本和性能阈值仍待填写或待确认，未编造生产操作指南。</w:t>
      </w:r>
    </w:p>
    <w:p>
      <w:pPr>
        <w:pStyle w:val="ListBullet"/>
      </w:pPr>
      <w:r>
        <w:t>章节层级与目录一致，标题不孤悬；页码在 Word/WPS 更新后核对。</w:t>
      </w:r>
    </w:p>
    <w:p>
      <w:pPr>
        <w:pStyle w:val="ListBullet"/>
      </w:pPr>
      <w:r>
        <w:t>表头跨页重复，表格和图片不超出页边距；正文、标题、表格使用一致的中文字体。</w:t>
      </w:r>
    </w:p>
    <w:p>
      <w:pPr>
        <w:pStyle w:val="ListBullet"/>
      </w:pPr>
      <w:r>
        <w:t>流程图分支、回路、例外条件与正文一致；缩放到实际页面后图中文字清晰。</w:t>
      </w:r>
    </w:p>
    <w:p>
      <w:pPr>
        <w:pStyle w:val="ListBullet"/>
      </w:pPr>
      <w:r>
        <w:t>模型建议与已证实事实明确区分，重复段落和空泛扩写不能用于补足字数。</w:t>
      </w:r>
    </w:p>
    <w:p>
      <w:pPr>
        <w:pStyle w:val="ListBullet"/>
      </w:pPr>
      <w:r>
        <w:t>达到字数或命中关键词不代表语义验收通过；逐项确认事实、关系、缺口与来源。</w:t>
      </w:r>
    </w:p>
    <w:p>
      <w:pPr>
        <w:pStyle w:val="Heading1"/>
      </w:pPr>
      <w:r>
        <w:t>七、执行与过程验收</w:t>
      </w:r>
    </w:p>
    <w:p>
      <w:r>
        <w:t>{</w:t>
        <w:br/>
        <w:t xml:space="preserve">  "web_mode": "disabled",</w:t>
        <w:br/>
        <w:t xml:space="preserve">  "local_round_limit": 3,</w:t>
        <w:br/>
        <w:t xml:space="preserve">  "web_round_limit": 2,</w:t>
        <w:br/>
        <w:t xml:space="preserve">  "notes": [</w:t>
        <w:br/>
        <w:t xml:space="preserve">    "合成隔离IT演练，不涉及人身安全、真实金融资产或实际法律建议。",</w:t>
        <w:br/>
        <w:t xml:space="preserve">    "只上传sources，不上传expected。",</w:t>
        <w:br/>
        <w:t xml:space="preserve">    "不需要运行任何故障脚本；目标仅为生成可审阅的演练手册。",</w:t>
        <w:br/>
        <w:t xml:space="preserve">    "对实际未发生的演练必须保留示例与正式结果的界限。"</w:t>
        <w:br/>
        <w:t xml:space="preserve">  ]</w:t>
        <w:br/>
        <w:t>}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Folio 合成测试资料 · 不对应真实企业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