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澄川演示平台连续性演练章程与职责</w:t>
      </w:r>
    </w:p>
    <w:p>
      <w:pPr>
        <w:pStyle w:val="Heading1"/>
      </w:pPr>
      <w:r>
        <w:t>章程与适用边界</w:t>
      </w:r>
    </w:p>
    <w:p>
      <w:r>
        <w:t>本项目完全虚构，演练针对TEST-CONT-01隔离环境的合成订单、演示台账、模拟履约与演练门户。没有真实客户、真实付款、真实生产连接，也不涉及人身安全设施或实际法律义务。</w:t>
      </w:r>
    </w:p>
    <w:p>
      <w:r>
        <w:t>本期计划于2026-11-18 08:00至09:30（Asia/Shanghai）执行单轮受控演练。故障恢复操作窗口08:10至08:55，之后仅做已批准回滚、撤销注入与收尾；不得临时追加故障轮次。</w:t>
      </w:r>
    </w:p>
    <w:p>
      <w:pPr>
        <w:pStyle w:val="Heading1"/>
      </w:pPr>
      <w:r>
        <w:t>目标与指标定义</w:t>
      </w:r>
    </w:p>
    <w:p>
      <w:r>
        <w:t>核心链路RTO目标为45分钟，从指挥员确认本轮故障并登记T0开始，到核心合成交易、数据一致性、消息一致性、权限与观测全部通过且业务验收员确认止。节点启动、页面打开或只读查询恢复不能提前止表。</w:t>
      </w:r>
    </w:p>
    <w:p>
      <w:r>
        <w:t>RPO目标为12分钟，按T0减候选恢复数据的最后持久化时间计算，采用UTC瞬时比较；不是按备份文件生成时间计算。时钟偏差容忍度2秒。以上数字为本演练自定验收目标，不代表行业或法律规定。</w:t>
      </w:r>
    </w:p>
    <w:p>
      <w:pPr>
        <w:pStyle w:val="Heading1"/>
      </w:pPr>
      <w:r>
        <w:t>决策责任</w:t>
      </w:r>
    </w:p>
    <w:p>
      <w:r>
        <w:t>演练指挥员负责启动、切换、回滚、终止和关闭；操作执行员按批准脚本执行；数据库、队列、平台与应用负责人提供本域证据；业务验收员确认完整业务结果；观察员独立评价；记录员保持时间线。</w:t>
      </w:r>
    </w:p>
    <w:p>
      <w:r>
        <w:t>指挥员不可用时只能由事先登记的替代角色接任；若二者均缺席，暂停本轮。技术人员可以执行只读诊断和整理证据，不可自行批准切换或改写本轮目标。</w:t>
      </w:r>
    </w:p>
    <w:p>
      <w:pPr>
        <w:pStyle w:val="Heading1"/>
      </w:pPr>
      <w:r>
        <w:t>停演与回滚边界</w:t>
      </w:r>
    </w:p>
    <w:p>
      <w:r>
        <w:t>若发现真实生产连接、环境身份不清、主端写隔离无法保证、数据验证不一致或未批准权限扩大，立即停止进一步注入并向指挥员报告。随后执行预先批准的安全收尾或回滚路径；本文件不提供对真实生产操作授权。</w:t>
      </w:r>
    </w:p>
    <w:p>
      <w:r>
        <w:t>到08:55仍未达到全量恢复判据，则本轮恢复目标未通过，终止故障注入并进入回滚或收尾。不得缩小故障范围、改起始时刻或删除失败证据以追求通过。</w:t>
      </w:r>
    </w:p>
    <w:p>
      <w:pPr>
        <w:pStyle w:val="Heading1"/>
      </w:pPr>
      <w:r>
        <w:t>证据合同</w:t>
      </w:r>
    </w:p>
    <w:p>
      <w:r>
        <w:t>所有动作、决策、交易、日志和截图关联演练ID DRILL-TEST-20261118-A。记录原始时间及其时区，同时用UTC瞬时排序，保留执行人、批准人、对象、前后状态、动作ID与证据摘要。</w:t>
      </w:r>
    </w:p>
    <w:p>
      <w:r>
        <w:t>缺少可验证时间证据时把相关指标标为不可判定，并描述缺口。复盘报告允许部分通过、未通过和不可判定，不强制每次演练得到成功结论。</w:t>
      </w:r>
    </w:p>
    <w:p>
      <w:pPr>
        <w:pStyle w:val="Heading1"/>
      </w:pPr>
      <w:r>
        <w:t>输出手册要求</w:t>
      </w:r>
    </w:p>
    <w:p>
      <w:r>
        <w:t>手册面向多部门读者。每个阶段给出入场条件、责任矩阵、逐步动作、完成标准、失败处置、沟通模板和证据表；整套表格和清单与主文采用一致编号。</w:t>
      </w:r>
    </w:p>
    <w:p>
      <w:r>
        <w:t>对本轮未批准的性能阈值、联系人和备用通道地址不得臆造；可以提供待填写模板，并说明何时必须完成填写。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