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集团一体化运营平台超长SRS · 交付预期与验收</w:t>
      </w:r>
    </w:p>
    <w:p>
      <w:r>
        <w:t>本文件供测试人员核对成品，不上传资料库。它是验收蓝图，不是已经生成的完整业务文档。</w:t>
      </w:r>
    </w:p>
    <w:p>
      <w:r>
        <w:t>目标文件：青禾集团一体化运营平台_SRS_V1.0.docx；类型：srs；正文目标：80,000—100,000 字符。</w:t>
      </w:r>
    </w:p>
    <w:p>
      <w:r>
        <w:t>正文有效字符数：汉字、英文字母、数字逐字符计数，计入表格，不计封面、目录、标题、页眉页脚、空白和标点。页数只作观察，不作字数替代。</w:t>
      </w:r>
    </w:p>
    <w:p>
      <w:pPr>
        <w:pStyle w:val="Heading1"/>
      </w:pPr>
      <w:r>
        <w:t>一、预期目录与各章展开程度</w:t>
      </w:r>
    </w:p>
    <w:p>
      <w:pPr>
        <w:pStyle w:val="Heading2"/>
      </w:pPr>
      <w:r>
        <w:t>1. 引言、范围与文档约定（至少 3500 字符）</w:t>
      </w:r>
    </w:p>
    <w:p>
      <w:pPr>
        <w:pStyle w:val="ListBullet"/>
      </w:pPr>
      <w:r>
        <w:t>一期范围、三组织边界、术语与排除项</w:t>
      </w:r>
    </w:p>
    <w:p>
      <w:pPr>
        <w:pStyle w:val="ListBullet"/>
      </w:pPr>
      <w:r>
        <w:t>资料版本、生效范围与需求编号规则</w:t>
      </w:r>
    </w:p>
    <w:p>
      <w:r>
        <w:t>依据：1501_总体范围与术语.docx、1504_历史性能基线.md</w:t>
      </w:r>
    </w:p>
    <w:p>
      <w:pPr>
        <w:pStyle w:val="Heading2"/>
      </w:pPr>
      <w:r>
        <w:t>2. 系统上下文与公共行为（至少 4500 字符）</w:t>
      </w:r>
    </w:p>
    <w:p>
      <w:pPr>
        <w:pStyle w:val="ListBullet"/>
      </w:pPr>
      <w:r>
        <w:t>角色和数据范围、幂等、错误处理、状态约束</w:t>
      </w:r>
    </w:p>
    <w:p>
      <w:pPr>
        <w:pStyle w:val="ListBullet"/>
      </w:pPr>
      <w:r>
        <w:t>公共规则集中展开，各域准确引用</w:t>
      </w:r>
    </w:p>
    <w:p>
      <w:r>
        <w:t>依据：1501_总体范围与术语.docx、1502_跨域接口矩阵.xlsx</w:t>
      </w:r>
    </w:p>
    <w:p>
      <w:pPr>
        <w:pStyle w:val="Heading2"/>
      </w:pPr>
      <w:r>
        <w:t>3. 组织权限需求规格（至少 5200 字符）</w:t>
      </w:r>
    </w:p>
    <w:p>
      <w:pPr>
        <w:pStyle w:val="ListBullet"/>
      </w:pPr>
      <w:r>
        <w:t>组织建档</w:t>
      </w:r>
    </w:p>
    <w:p>
      <w:pPr>
        <w:pStyle w:val="ListBullet"/>
      </w:pPr>
      <w:r>
        <w:t>部门调整</w:t>
      </w:r>
    </w:p>
    <w:p>
      <w:pPr>
        <w:pStyle w:val="ListBullet"/>
      </w:pPr>
      <w:r>
        <w:t>岗位创建</w:t>
      </w:r>
    </w:p>
    <w:p>
      <w:pPr>
        <w:pStyle w:val="ListBullet"/>
      </w:pPr>
      <w:r>
        <w:t>人员入职</w:t>
      </w:r>
    </w:p>
    <w:p>
      <w:pPr>
        <w:pStyle w:val="ListBullet"/>
      </w:pPr>
      <w:r>
        <w:t>人员调岗</w:t>
      </w:r>
    </w:p>
    <w:p>
      <w:pPr>
        <w:pStyle w:val="ListBullet"/>
      </w:pPr>
      <w:r>
        <w:t>临时授权</w:t>
      </w:r>
    </w:p>
    <w:p>
      <w:pPr>
        <w:pStyle w:val="ListBullet"/>
      </w:pPr>
      <w:r>
        <w:t>授权复核</w:t>
      </w:r>
    </w:p>
    <w:p>
      <w:pPr>
        <w:pStyle w:val="ListBullet"/>
      </w:pPr>
      <w:r>
        <w:t>离岗回收</w:t>
      </w:r>
    </w:p>
    <w:p>
      <w:pPr>
        <w:pStyle w:val="ListBullet"/>
      </w:pPr>
      <w:r>
        <w:t>兼职分配</w:t>
      </w:r>
    </w:p>
    <w:p>
      <w:pPr>
        <w:pStyle w:val="ListBullet"/>
      </w:pPr>
      <w:r>
        <w:t>组织停用</w:t>
      </w:r>
    </w:p>
    <w:p>
      <w:pPr>
        <w:pStyle w:val="ListBullet"/>
      </w:pPr>
      <w:r>
        <w:t>跨区授权</w:t>
      </w:r>
    </w:p>
    <w:p>
      <w:pPr>
        <w:pStyle w:val="ListBullet"/>
      </w:pPr>
      <w:r>
        <w:t>历史查询</w:t>
      </w:r>
    </w:p>
    <w:p>
      <w:pPr>
        <w:pStyle w:val="ListBullet"/>
      </w:pPr>
      <w:r>
        <w:t>明确组织管理员、输入、状态、异常和验证</w:t>
      </w:r>
    </w:p>
    <w:p>
      <w:pPr>
        <w:pStyle w:val="ListBullet"/>
      </w:pPr>
      <w:r>
        <w:t>权限仅按组织与岗位交集授予；跨区域授权必须由接收区域管理员复核</w:t>
      </w:r>
    </w:p>
    <w:p>
      <w:r>
        <w:t>依据：0101_组织权限_组织建档.md、0102_组织权限_部门调整.md、0103_组织权限_岗位创建.md、0104_组织权限_人员入职.md、0105_组织权限_人员调岗.md、0106_组织权限_临时授权.md、0107_组织权限_授权复核.md、0108_组织权限_离岗回收.md、0109_组织权限_兼职分配.md、0110_组织权限_组织停用.md、0111_组织权限_跨区授权.md、0112_组织权限_历史查询.md</w:t>
      </w:r>
    </w:p>
    <w:p>
      <w:pPr>
        <w:pStyle w:val="Heading2"/>
      </w:pPr>
      <w:r>
        <w:t>4. 供应商需求规格（至少 5200 字符）</w:t>
      </w:r>
    </w:p>
    <w:p>
      <w:pPr>
        <w:pStyle w:val="ListBullet"/>
      </w:pPr>
      <w:r>
        <w:t>供应商登记</w:t>
      </w:r>
    </w:p>
    <w:p>
      <w:pPr>
        <w:pStyle w:val="ListBullet"/>
      </w:pPr>
      <w:r>
        <w:t>资质收集</w:t>
      </w:r>
    </w:p>
    <w:p>
      <w:pPr>
        <w:pStyle w:val="ListBullet"/>
      </w:pPr>
      <w:r>
        <w:t>重复识别</w:t>
      </w:r>
    </w:p>
    <w:p>
      <w:pPr>
        <w:pStyle w:val="ListBullet"/>
      </w:pPr>
      <w:r>
        <w:t>分类分级</w:t>
      </w:r>
    </w:p>
    <w:p>
      <w:pPr>
        <w:pStyle w:val="ListBullet"/>
      </w:pPr>
      <w:r>
        <w:t>准入评估</w:t>
      </w:r>
    </w:p>
    <w:p>
      <w:pPr>
        <w:pStyle w:val="ListBullet"/>
      </w:pPr>
      <w:r>
        <w:t>现场核验</w:t>
      </w:r>
    </w:p>
    <w:p>
      <w:pPr>
        <w:pStyle w:val="ListBullet"/>
      </w:pPr>
      <w:r>
        <w:t>整改跟进</w:t>
      </w:r>
    </w:p>
    <w:p>
      <w:pPr>
        <w:pStyle w:val="ListBullet"/>
      </w:pPr>
      <w:r>
        <w:t>服务区域变更</w:t>
      </w:r>
    </w:p>
    <w:p>
      <w:pPr>
        <w:pStyle w:val="ListBullet"/>
      </w:pPr>
      <w:r>
        <w:t>暂停合作</w:t>
      </w:r>
    </w:p>
    <w:p>
      <w:pPr>
        <w:pStyle w:val="ListBullet"/>
      </w:pPr>
      <w:r>
        <w:t>恢复合作</w:t>
      </w:r>
    </w:p>
    <w:p>
      <w:pPr>
        <w:pStyle w:val="ListBullet"/>
      </w:pPr>
      <w:r>
        <w:t>年度复评</w:t>
      </w:r>
    </w:p>
    <w:p>
      <w:pPr>
        <w:pStyle w:val="ListBullet"/>
      </w:pPr>
      <w:r>
        <w:t>档案归档</w:t>
      </w:r>
    </w:p>
    <w:p>
      <w:pPr>
        <w:pStyle w:val="ListBullet"/>
      </w:pPr>
      <w:r>
        <w:t>明确供应商专员、输入、状态、异常和验证</w:t>
      </w:r>
    </w:p>
    <w:p>
      <w:pPr>
        <w:pStyle w:val="ListBullet"/>
      </w:pPr>
      <w:r>
        <w:t>暂停合作后禁止新增采购订单，已经批准的订单只允许履约或人工关闭</w:t>
      </w:r>
    </w:p>
    <w:p>
      <w:r>
        <w:t>依据：0201_供应商_供应商登记.md、0202_供应商_资质收集.md、0203_供应商_重复识别.md、0204_供应商_分类分级.md、0205_供应商_准入评估.md、0206_供应商_现场核验.md、0207_供应商_整改跟进.md、0208_供应商_服务区域变更.md、0209_供应商_暂停合作.md、0210_供应商_恢复合作.md、0211_供应商_年度复评.md、0212_供应商_档案归档.md</w:t>
      </w:r>
    </w:p>
    <w:p>
      <w:pPr>
        <w:pStyle w:val="Heading2"/>
      </w:pPr>
      <w:r>
        <w:t>5. 采购协同需求规格（至少 5200 字符）</w:t>
      </w:r>
    </w:p>
    <w:p>
      <w:pPr>
        <w:pStyle w:val="ListBullet"/>
      </w:pPr>
      <w:r>
        <w:t>采购申请</w:t>
      </w:r>
    </w:p>
    <w:p>
      <w:pPr>
        <w:pStyle w:val="ListBullet"/>
      </w:pPr>
      <w:r>
        <w:t>需求合并</w:t>
      </w:r>
    </w:p>
    <w:p>
      <w:pPr>
        <w:pStyle w:val="ListBullet"/>
      </w:pPr>
      <w:r>
        <w:t>询价发出</w:t>
      </w:r>
    </w:p>
    <w:p>
      <w:pPr>
        <w:pStyle w:val="ListBullet"/>
      </w:pPr>
      <w:r>
        <w:t>报价接收</w:t>
      </w:r>
    </w:p>
    <w:p>
      <w:pPr>
        <w:pStyle w:val="ListBullet"/>
      </w:pPr>
      <w:r>
        <w:t>比价评审</w:t>
      </w:r>
    </w:p>
    <w:p>
      <w:pPr>
        <w:pStyle w:val="ListBullet"/>
      </w:pPr>
      <w:r>
        <w:t>采购审批</w:t>
      </w:r>
    </w:p>
    <w:p>
      <w:pPr>
        <w:pStyle w:val="ListBullet"/>
      </w:pPr>
      <w:r>
        <w:t>订单下达</w:t>
      </w:r>
    </w:p>
    <w:p>
      <w:pPr>
        <w:pStyle w:val="ListBullet"/>
      </w:pPr>
      <w:r>
        <w:t>到货预约</w:t>
      </w:r>
    </w:p>
    <w:p>
      <w:pPr>
        <w:pStyle w:val="ListBullet"/>
      </w:pPr>
      <w:r>
        <w:t>交期变更</w:t>
      </w:r>
    </w:p>
    <w:p>
      <w:pPr>
        <w:pStyle w:val="ListBullet"/>
      </w:pPr>
      <w:r>
        <w:t>采购退回</w:t>
      </w:r>
    </w:p>
    <w:p>
      <w:pPr>
        <w:pStyle w:val="ListBullet"/>
      </w:pPr>
      <w:r>
        <w:t>订单关闭</w:t>
      </w:r>
    </w:p>
    <w:p>
      <w:pPr>
        <w:pStyle w:val="ListBullet"/>
      </w:pPr>
      <w:r>
        <w:t>供应绩效</w:t>
      </w:r>
    </w:p>
    <w:p>
      <w:pPr>
        <w:pStyle w:val="ListBullet"/>
      </w:pPr>
      <w:r>
        <w:t>明确采购专员、输入、状态、异常和验证</w:t>
      </w:r>
    </w:p>
    <w:p>
      <w:pPr>
        <w:pStyle w:val="ListBullet"/>
      </w:pPr>
      <w:r>
        <w:t>采购申请金额达到500000元时增加事业部负责人审批，等于阈值也适用</w:t>
      </w:r>
    </w:p>
    <w:p>
      <w:r>
        <w:t>依据：0301_采购协同_采购申请.md、0302_采购协同_需求合并.md、0303_采购协同_询价发出.md、0304_采购协同_报价接收.md、0305_采购协同_比价评审.md、0306_采购协同_采购审批.md、0307_采购协同_订单下达.md、0308_采购协同_到货预约.md、0309_采购协同_交期变更.md、0310_采购协同_采购退回.md、0311_采购协同_订单关闭.md、0312_采购协同_供应绩效.md</w:t>
      </w:r>
    </w:p>
    <w:p>
      <w:pPr>
        <w:pStyle w:val="Heading2"/>
      </w:pPr>
      <w:r>
        <w:t>6. 库存仓储需求规格（至少 5200 字符）</w:t>
      </w:r>
    </w:p>
    <w:p>
      <w:pPr>
        <w:pStyle w:val="ListBullet"/>
      </w:pPr>
      <w:r>
        <w:t>收货登记</w:t>
      </w:r>
    </w:p>
    <w:p>
      <w:pPr>
        <w:pStyle w:val="ListBullet"/>
      </w:pPr>
      <w:r>
        <w:t>上架确认</w:t>
      </w:r>
    </w:p>
    <w:p>
      <w:pPr>
        <w:pStyle w:val="ListBullet"/>
      </w:pPr>
      <w:r>
        <w:t>库存查询</w:t>
      </w:r>
    </w:p>
    <w:p>
      <w:pPr>
        <w:pStyle w:val="ListBullet"/>
      </w:pPr>
      <w:r>
        <w:t>预占分配</w:t>
      </w:r>
    </w:p>
    <w:p>
      <w:pPr>
        <w:pStyle w:val="ListBullet"/>
      </w:pPr>
      <w:r>
        <w:t>库存冻结</w:t>
      </w:r>
    </w:p>
    <w:p>
      <w:pPr>
        <w:pStyle w:val="ListBullet"/>
      </w:pPr>
      <w:r>
        <w:t>冻结释放</w:t>
      </w:r>
    </w:p>
    <w:p>
      <w:pPr>
        <w:pStyle w:val="ListBullet"/>
      </w:pPr>
      <w:r>
        <w:t>移库申请</w:t>
      </w:r>
    </w:p>
    <w:p>
      <w:pPr>
        <w:pStyle w:val="ListBullet"/>
      </w:pPr>
      <w:r>
        <w:t>跨仓调拨</w:t>
      </w:r>
    </w:p>
    <w:p>
      <w:pPr>
        <w:pStyle w:val="ListBullet"/>
      </w:pPr>
      <w:r>
        <w:t>周期盘点</w:t>
      </w:r>
    </w:p>
    <w:p>
      <w:pPr>
        <w:pStyle w:val="ListBullet"/>
      </w:pPr>
      <w:r>
        <w:t>差异复核</w:t>
      </w:r>
    </w:p>
    <w:p>
      <w:pPr>
        <w:pStyle w:val="ListBullet"/>
      </w:pPr>
      <w:r>
        <w:t>出库确认</w:t>
      </w:r>
    </w:p>
    <w:p>
      <w:pPr>
        <w:pStyle w:val="ListBullet"/>
      </w:pPr>
      <w:r>
        <w:t>库存追溯</w:t>
      </w:r>
    </w:p>
    <w:p>
      <w:pPr>
        <w:pStyle w:val="ListBullet"/>
      </w:pPr>
      <w:r>
        <w:t>明确仓库管理员、输入、状态、异常和验证</w:t>
      </w:r>
    </w:p>
    <w:p>
      <w:pPr>
        <w:pStyle w:val="ListBullet"/>
      </w:pPr>
      <w:r>
        <w:t>可用量等于实存量减冻结量减预占量；跨仓调拨在途数量不同时计入两仓可用量</w:t>
      </w:r>
    </w:p>
    <w:p>
      <w:r>
        <w:t>依据：0401_库存仓储_收货登记.md、0402_库存仓储_上架确认.md、0403_库存仓储_库存查询.md、0404_库存仓储_预占分配.md、0405_库存仓储_库存冻结.md、0406_库存仓储_冻结释放.md、0407_库存仓储_移库申请.md、0408_库存仓储_跨仓调拨.md、0409_库存仓储_周期盘点.md、0410_库存仓储_差异复核.md、0411_库存仓储_出库确认.md、0412_库存仓储_库存追溯.md</w:t>
      </w:r>
    </w:p>
    <w:p>
      <w:pPr>
        <w:pStyle w:val="Heading2"/>
      </w:pPr>
      <w:r>
        <w:t>7. 生产执行需求规格（至少 5200 字符）</w:t>
      </w:r>
    </w:p>
    <w:p>
      <w:pPr>
        <w:pStyle w:val="ListBullet"/>
      </w:pPr>
      <w:r>
        <w:t>生产建单</w:t>
      </w:r>
    </w:p>
    <w:p>
      <w:pPr>
        <w:pStyle w:val="ListBullet"/>
      </w:pPr>
      <w:r>
        <w:t>能力排程</w:t>
      </w:r>
    </w:p>
    <w:p>
      <w:pPr>
        <w:pStyle w:val="ListBullet"/>
      </w:pPr>
      <w:r>
        <w:t>物料齐套</w:t>
      </w:r>
    </w:p>
    <w:p>
      <w:pPr>
        <w:pStyle w:val="ListBullet"/>
      </w:pPr>
      <w:r>
        <w:t>工单下达</w:t>
      </w:r>
    </w:p>
    <w:p>
      <w:pPr>
        <w:pStyle w:val="ListBullet"/>
      </w:pPr>
      <w:r>
        <w:t>开工确认</w:t>
      </w:r>
    </w:p>
    <w:p>
      <w:pPr>
        <w:pStyle w:val="ListBullet"/>
      </w:pPr>
      <w:r>
        <w:t>工序报工</w:t>
      </w:r>
    </w:p>
    <w:p>
      <w:pPr>
        <w:pStyle w:val="ListBullet"/>
      </w:pPr>
      <w:r>
        <w:t>暂停生产</w:t>
      </w:r>
    </w:p>
    <w:p>
      <w:pPr>
        <w:pStyle w:val="ListBullet"/>
      </w:pPr>
      <w:r>
        <w:t>复工申请</w:t>
      </w:r>
    </w:p>
    <w:p>
      <w:pPr>
        <w:pStyle w:val="ListBullet"/>
      </w:pPr>
      <w:r>
        <w:t>不良隔离</w:t>
      </w:r>
    </w:p>
    <w:p>
      <w:pPr>
        <w:pStyle w:val="ListBullet"/>
      </w:pPr>
      <w:r>
        <w:t>完工登记</w:t>
      </w:r>
    </w:p>
    <w:p>
      <w:pPr>
        <w:pStyle w:val="ListBullet"/>
      </w:pPr>
      <w:r>
        <w:t>工单结案</w:t>
      </w:r>
    </w:p>
    <w:p>
      <w:pPr>
        <w:pStyle w:val="ListBullet"/>
      </w:pPr>
      <w:r>
        <w:t>班次交接</w:t>
      </w:r>
    </w:p>
    <w:p>
      <w:pPr>
        <w:pStyle w:val="ListBullet"/>
      </w:pPr>
      <w:r>
        <w:t>明确生产调度、输入、状态、异常和验证</w:t>
      </w:r>
    </w:p>
    <w:p>
      <w:pPr>
        <w:pStyle w:val="ListBullet"/>
      </w:pPr>
      <w:r>
        <w:t>生产中工单固定使用下达时工艺版本；主数据新版不得回写正在执行工单</w:t>
      </w:r>
    </w:p>
    <w:p>
      <w:r>
        <w:t>依据：0501_生产执行_生产建单.md、0502_生产执行_能力排程.md、0503_生产执行_物料齐套.md、0504_生产执行_工单下达.md、0505_生产执行_开工确认.md、0506_生产执行_工序报工.md、0507_生产执行_暂停生产.md、0508_生产执行_复工申请.md、0509_生产执行_不良隔离.md、0510_生产执行_完工登记.md、0511_生产执行_工单结案.md、0512_生产执行_班次交接.md</w:t>
      </w:r>
    </w:p>
    <w:p>
      <w:pPr>
        <w:pStyle w:val="Heading2"/>
      </w:pPr>
      <w:r>
        <w:t>8. 质量管理需求规格（至少 5200 字符）</w:t>
      </w:r>
    </w:p>
    <w:p>
      <w:pPr>
        <w:pStyle w:val="ListBullet"/>
      </w:pPr>
      <w:r>
        <w:t>来料检验</w:t>
      </w:r>
    </w:p>
    <w:p>
      <w:pPr>
        <w:pStyle w:val="ListBullet"/>
      </w:pPr>
      <w:r>
        <w:t>过程巡检</w:t>
      </w:r>
    </w:p>
    <w:p>
      <w:pPr>
        <w:pStyle w:val="ListBullet"/>
      </w:pPr>
      <w:r>
        <w:t>终检申请</w:t>
      </w:r>
    </w:p>
    <w:p>
      <w:pPr>
        <w:pStyle w:val="ListBullet"/>
      </w:pPr>
      <w:r>
        <w:t>抽样登记</w:t>
      </w:r>
    </w:p>
    <w:p>
      <w:pPr>
        <w:pStyle w:val="ListBullet"/>
      </w:pPr>
      <w:r>
        <w:t>缺陷分类</w:t>
      </w:r>
    </w:p>
    <w:p>
      <w:pPr>
        <w:pStyle w:val="ListBullet"/>
      </w:pPr>
      <w:r>
        <w:t>复验申请</w:t>
      </w:r>
    </w:p>
    <w:p>
      <w:pPr>
        <w:pStyle w:val="ListBullet"/>
      </w:pPr>
      <w:r>
        <w:t>质量冻结</w:t>
      </w:r>
    </w:p>
    <w:p>
      <w:pPr>
        <w:pStyle w:val="ListBullet"/>
      </w:pPr>
      <w:r>
        <w:t>返工评审</w:t>
      </w:r>
    </w:p>
    <w:p>
      <w:pPr>
        <w:pStyle w:val="ListBullet"/>
      </w:pPr>
      <w:r>
        <w:t>报废评审</w:t>
      </w:r>
    </w:p>
    <w:p>
      <w:pPr>
        <w:pStyle w:val="ListBullet"/>
      </w:pPr>
      <w:r>
        <w:t>让步接收</w:t>
      </w:r>
    </w:p>
    <w:p>
      <w:pPr>
        <w:pStyle w:val="ListBullet"/>
      </w:pPr>
      <w:r>
        <w:t>质量放行</w:t>
      </w:r>
    </w:p>
    <w:p>
      <w:pPr>
        <w:pStyle w:val="ListBullet"/>
      </w:pPr>
      <w:r>
        <w:t>质量追溯</w:t>
      </w:r>
    </w:p>
    <w:p>
      <w:pPr>
        <w:pStyle w:val="ListBullet"/>
      </w:pPr>
      <w:r>
        <w:t>明确质量工程师、输入、状态、异常和验证</w:t>
      </w:r>
    </w:p>
    <w:p>
      <w:pPr>
        <w:pStyle w:val="ListBullet"/>
      </w:pPr>
      <w:r>
        <w:t>让步接收须质量经理和业务负责人分别确认；业务负责人不能替代质量签名</w:t>
      </w:r>
    </w:p>
    <w:p>
      <w:r>
        <w:t>依据：0601_质量管理_来料检验.md、0602_质量管理_过程巡检.md、0603_质量管理_终检申请.md、0604_质量管理_抽样登记.md、0605_质量管理_缺陷分类.md、0606_质量管理_复验申请.md、0607_质量管理_质量冻结.md、0608_质量管理_返工评审.md、0609_质量管理_报废评审.md、0610_质量管理_让步接收.md、0611_质量管理_质量放行.md、0612_质量管理_质量追溯.md</w:t>
      </w:r>
    </w:p>
    <w:p>
      <w:pPr>
        <w:pStyle w:val="Heading2"/>
      </w:pPr>
      <w:r>
        <w:t>9. 销售履约需求规格（至少 5200 字符）</w:t>
      </w:r>
    </w:p>
    <w:p>
      <w:pPr>
        <w:pStyle w:val="ListBullet"/>
      </w:pPr>
      <w:r>
        <w:t>客户建档</w:t>
      </w:r>
    </w:p>
    <w:p>
      <w:pPr>
        <w:pStyle w:val="ListBullet"/>
      </w:pPr>
      <w:r>
        <w:t>报价维护</w:t>
      </w:r>
    </w:p>
    <w:p>
      <w:pPr>
        <w:pStyle w:val="ListBullet"/>
      </w:pPr>
      <w:r>
        <w:t>合同登记</w:t>
      </w:r>
    </w:p>
    <w:p>
      <w:pPr>
        <w:pStyle w:val="ListBullet"/>
      </w:pPr>
      <w:r>
        <w:t>销售建单</w:t>
      </w:r>
    </w:p>
    <w:p>
      <w:pPr>
        <w:pStyle w:val="ListBullet"/>
      </w:pPr>
      <w:r>
        <w:t>信用检查</w:t>
      </w:r>
    </w:p>
    <w:p>
      <w:pPr>
        <w:pStyle w:val="ListBullet"/>
      </w:pPr>
      <w:r>
        <w:t>交付承诺</w:t>
      </w:r>
    </w:p>
    <w:p>
      <w:pPr>
        <w:pStyle w:val="ListBullet"/>
      </w:pPr>
      <w:r>
        <w:t>订单拆分</w:t>
      </w:r>
    </w:p>
    <w:p>
      <w:pPr>
        <w:pStyle w:val="ListBullet"/>
      </w:pPr>
      <w:r>
        <w:t>发运申请</w:t>
      </w:r>
    </w:p>
    <w:p>
      <w:pPr>
        <w:pStyle w:val="ListBullet"/>
      </w:pPr>
      <w:r>
        <w:t>签收登记</w:t>
      </w:r>
    </w:p>
    <w:p>
      <w:pPr>
        <w:pStyle w:val="ListBullet"/>
      </w:pPr>
      <w:r>
        <w:t>订单变更</w:t>
      </w:r>
    </w:p>
    <w:p>
      <w:pPr>
        <w:pStyle w:val="ListBullet"/>
      </w:pPr>
      <w:r>
        <w:t>部分取消</w:t>
      </w:r>
    </w:p>
    <w:p>
      <w:pPr>
        <w:pStyle w:val="ListBullet"/>
      </w:pPr>
      <w:r>
        <w:t>履约统计</w:t>
      </w:r>
    </w:p>
    <w:p>
      <w:pPr>
        <w:pStyle w:val="ListBullet"/>
      </w:pPr>
      <w:r>
        <w:t>明确销售运营、输入、状态、异常和验证</w:t>
      </w:r>
    </w:p>
    <w:p>
      <w:pPr>
        <w:pStyle w:val="ListBullet"/>
      </w:pPr>
      <w:r>
        <w:t>销售订单部分取消不能取消已发运行；未发运行保留原定价版本和变更记录</w:t>
      </w:r>
    </w:p>
    <w:p>
      <w:r>
        <w:t>依据：0701_销售履约_客户建档.md、0702_销售履约_报价维护.md、0703_销售履约_合同登记.md、0704_销售履约_销售建单.md、0705_销售履约_信用检查.md、0706_销售履约_交付承诺.md、0707_销售履约_订单拆分.md、0708_销售履约_发运申请.md、0709_销售履约_签收登记.md、0710_销售履约_订单变更.md、0711_销售履约_部分取消.md、0712_销售履约_履约统计.md</w:t>
      </w:r>
    </w:p>
    <w:p>
      <w:pPr>
        <w:pStyle w:val="Heading2"/>
      </w:pPr>
      <w:r>
        <w:t>10. 售后服务需求规格（至少 5200 字符）</w:t>
      </w:r>
    </w:p>
    <w:p>
      <w:pPr>
        <w:pStyle w:val="ListBullet"/>
      </w:pPr>
      <w:r>
        <w:t>服务受理</w:t>
      </w:r>
    </w:p>
    <w:p>
      <w:pPr>
        <w:pStyle w:val="ListBullet"/>
      </w:pPr>
      <w:r>
        <w:t>保修核验</w:t>
      </w:r>
    </w:p>
    <w:p>
      <w:pPr>
        <w:pStyle w:val="ListBullet"/>
      </w:pPr>
      <w:r>
        <w:t>问题分类</w:t>
      </w:r>
    </w:p>
    <w:p>
      <w:pPr>
        <w:pStyle w:val="ListBullet"/>
      </w:pPr>
      <w:r>
        <w:t>远程诊断</w:t>
      </w:r>
    </w:p>
    <w:p>
      <w:pPr>
        <w:pStyle w:val="ListBullet"/>
      </w:pPr>
      <w:r>
        <w:t>现场派工</w:t>
      </w:r>
    </w:p>
    <w:p>
      <w:pPr>
        <w:pStyle w:val="ListBullet"/>
      </w:pPr>
      <w:r>
        <w:t>备件申请</w:t>
      </w:r>
    </w:p>
    <w:p>
      <w:pPr>
        <w:pStyle w:val="ListBullet"/>
      </w:pPr>
      <w:r>
        <w:t>维修登记</w:t>
      </w:r>
    </w:p>
    <w:p>
      <w:pPr>
        <w:pStyle w:val="ListBullet"/>
      </w:pPr>
      <w:r>
        <w:t>换件确认</w:t>
      </w:r>
    </w:p>
    <w:p>
      <w:pPr>
        <w:pStyle w:val="ListBullet"/>
      </w:pPr>
      <w:r>
        <w:t>客户验收</w:t>
      </w:r>
    </w:p>
    <w:p>
      <w:pPr>
        <w:pStyle w:val="ListBullet"/>
      </w:pPr>
      <w:r>
        <w:t>服务回访</w:t>
      </w:r>
    </w:p>
    <w:p>
      <w:pPr>
        <w:pStyle w:val="ListBullet"/>
      </w:pPr>
      <w:r>
        <w:t>重复投诉</w:t>
      </w:r>
    </w:p>
    <w:p>
      <w:pPr>
        <w:pStyle w:val="ListBullet"/>
      </w:pPr>
      <w:r>
        <w:t>服务结案</w:t>
      </w:r>
    </w:p>
    <w:p>
      <w:pPr>
        <w:pStyle w:val="ListBullet"/>
      </w:pPr>
      <w:r>
        <w:t>明确服务调度、输入、状态、异常和验证</w:t>
      </w:r>
    </w:p>
    <w:p>
      <w:pPr>
        <w:pStyle w:val="ListBullet"/>
      </w:pPr>
      <w:r>
        <w:t>同一设备同类问题七日内再次发生须关联原工单，不能覆盖原工单完工时间</w:t>
      </w:r>
    </w:p>
    <w:p>
      <w:r>
        <w:t>依据：0801_售后服务_服务受理.md、0802_售后服务_保修核验.md、0803_售后服务_问题分类.md、0804_售后服务_远程诊断.md、0805_售后服务_现场派工.md、0806_售后服务_备件申请.md、0807_售后服务_维修登记.md、0808_售后服务_换件确认.md、0809_售后服务_客户验收.md、0810_售后服务_服务回访.md、0811_售后服务_重复投诉.md、0812_售后服务_服务结案.md</w:t>
      </w:r>
    </w:p>
    <w:p>
      <w:pPr>
        <w:pStyle w:val="Heading2"/>
      </w:pPr>
      <w:r>
        <w:t>11. 设备维护需求规格（至少 5200 字符）</w:t>
      </w:r>
    </w:p>
    <w:p>
      <w:pPr>
        <w:pStyle w:val="ListBullet"/>
      </w:pPr>
      <w:r>
        <w:t>设备登记</w:t>
      </w:r>
    </w:p>
    <w:p>
      <w:pPr>
        <w:pStyle w:val="ListBullet"/>
      </w:pPr>
      <w:r>
        <w:t>维护计划</w:t>
      </w:r>
    </w:p>
    <w:p>
      <w:pPr>
        <w:pStyle w:val="ListBullet"/>
      </w:pPr>
      <w:r>
        <w:t>巡检执行</w:t>
      </w:r>
    </w:p>
    <w:p>
      <w:pPr>
        <w:pStyle w:val="ListBullet"/>
      </w:pPr>
      <w:r>
        <w:t>故障上报</w:t>
      </w:r>
    </w:p>
    <w:p>
      <w:pPr>
        <w:pStyle w:val="ListBullet"/>
      </w:pPr>
      <w:r>
        <w:t>维修排程</w:t>
      </w:r>
    </w:p>
    <w:p>
      <w:pPr>
        <w:pStyle w:val="ListBullet"/>
      </w:pPr>
      <w:r>
        <w:t>停机许可</w:t>
      </w:r>
    </w:p>
    <w:p>
      <w:pPr>
        <w:pStyle w:val="ListBullet"/>
      </w:pPr>
      <w:r>
        <w:t>备件领用</w:t>
      </w:r>
    </w:p>
    <w:p>
      <w:pPr>
        <w:pStyle w:val="ListBullet"/>
      </w:pPr>
      <w:r>
        <w:t>修复登记</w:t>
      </w:r>
    </w:p>
    <w:p>
      <w:pPr>
        <w:pStyle w:val="ListBullet"/>
      </w:pPr>
      <w:r>
        <w:t>复机验收</w:t>
      </w:r>
    </w:p>
    <w:p>
      <w:pPr>
        <w:pStyle w:val="ListBullet"/>
      </w:pPr>
      <w:r>
        <w:t>性能复测</w:t>
      </w:r>
    </w:p>
    <w:p>
      <w:pPr>
        <w:pStyle w:val="ListBullet"/>
      </w:pPr>
      <w:r>
        <w:t>设备停用</w:t>
      </w:r>
    </w:p>
    <w:p>
      <w:pPr>
        <w:pStyle w:val="ListBullet"/>
      </w:pPr>
      <w:r>
        <w:t>履历归档</w:t>
      </w:r>
    </w:p>
    <w:p>
      <w:pPr>
        <w:pStyle w:val="ListBullet"/>
      </w:pPr>
      <w:r>
        <w:t>明确设备管理员、输入、状态、异常和验证</w:t>
      </w:r>
    </w:p>
    <w:p>
      <w:pPr>
        <w:pStyle w:val="ListBullet"/>
      </w:pPr>
      <w:r>
        <w:t>复机由操作方和维护方双人验收；维修登记人不得独自完成复机验收</w:t>
      </w:r>
    </w:p>
    <w:p>
      <w:r>
        <w:t>依据：0901_设备维护_设备登记.md、0902_设备维护_维护计划.md、0903_设备维护_巡检执行.md、0904_设备维护_故障上报.md、0905_设备维护_维修排程.md、0906_设备维护_停机许可.md、0907_设备维护_备件领用.md、0908_设备维护_修复登记.md、0909_设备维护_复机验收.md、0910_设备维护_性能复测.md、0911_设备维护_设备停用.md、0912_设备维护_履历归档.md</w:t>
      </w:r>
    </w:p>
    <w:p>
      <w:pPr>
        <w:pStyle w:val="Heading2"/>
      </w:pPr>
      <w:r>
        <w:t>12. 项目交付需求规格（至少 5200 字符）</w:t>
      </w:r>
    </w:p>
    <w:p>
      <w:pPr>
        <w:pStyle w:val="ListBullet"/>
      </w:pPr>
      <w:r>
        <w:t>项目立项</w:t>
      </w:r>
    </w:p>
    <w:p>
      <w:pPr>
        <w:pStyle w:val="ListBullet"/>
      </w:pPr>
      <w:r>
        <w:t>里程碑设定</w:t>
      </w:r>
    </w:p>
    <w:p>
      <w:pPr>
        <w:pStyle w:val="ListBullet"/>
      </w:pPr>
      <w:r>
        <w:t>资源分配</w:t>
      </w:r>
    </w:p>
    <w:p>
      <w:pPr>
        <w:pStyle w:val="ListBullet"/>
      </w:pPr>
      <w:r>
        <w:t>工作分解</w:t>
      </w:r>
    </w:p>
    <w:p>
      <w:pPr>
        <w:pStyle w:val="ListBullet"/>
      </w:pPr>
      <w:r>
        <w:t>进度更新</w:t>
      </w:r>
    </w:p>
    <w:p>
      <w:pPr>
        <w:pStyle w:val="ListBullet"/>
      </w:pPr>
      <w:r>
        <w:t>风险登记</w:t>
      </w:r>
    </w:p>
    <w:p>
      <w:pPr>
        <w:pStyle w:val="ListBullet"/>
      </w:pPr>
      <w:r>
        <w:t>范围变更</w:t>
      </w:r>
    </w:p>
    <w:p>
      <w:pPr>
        <w:pStyle w:val="ListBullet"/>
      </w:pPr>
      <w:r>
        <w:t>交付准备</w:t>
      </w:r>
    </w:p>
    <w:p>
      <w:pPr>
        <w:pStyle w:val="ListBullet"/>
      </w:pPr>
      <w:r>
        <w:t>阶段验收</w:t>
      </w:r>
    </w:p>
    <w:p>
      <w:pPr>
        <w:pStyle w:val="ListBullet"/>
      </w:pPr>
      <w:r>
        <w:t>缺陷整改</w:t>
      </w:r>
    </w:p>
    <w:p>
      <w:pPr>
        <w:pStyle w:val="ListBullet"/>
      </w:pPr>
      <w:r>
        <w:t>最终验收</w:t>
      </w:r>
    </w:p>
    <w:p>
      <w:pPr>
        <w:pStyle w:val="ListBullet"/>
      </w:pPr>
      <w:r>
        <w:t>结项复盘</w:t>
      </w:r>
    </w:p>
    <w:p>
      <w:pPr>
        <w:pStyle w:val="ListBullet"/>
      </w:pPr>
      <w:r>
        <w:t>明确项目经理、输入、状态、异常和验证</w:t>
      </w:r>
    </w:p>
    <w:p>
      <w:pPr>
        <w:pStyle w:val="ListBullet"/>
      </w:pPr>
      <w:r>
        <w:t>范围变更批准前不得修改已确认里程碑；变更后保留原基线和新基线</w:t>
      </w:r>
    </w:p>
    <w:p>
      <w:r>
        <w:t>依据：1001_项目交付_项目立项.md、1002_项目交付_里程碑设定.md、1003_项目交付_资源分配.md、1004_项目交付_工作分解.md、1005_项目交付_进度更新.md、1006_项目交付_风险登记.md、1007_项目交付_范围变更.md、1008_项目交付_交付准备.md、1009_项目交付_阶段验收.md、1010_项目交付_缺陷整改.md、1011_项目交付_最终验收.md、1012_项目交付_结项复盘.md</w:t>
      </w:r>
    </w:p>
    <w:p>
      <w:pPr>
        <w:pStyle w:val="Heading2"/>
      </w:pPr>
      <w:r>
        <w:t>13. 结算对账需求规格（至少 5200 字符）</w:t>
      </w:r>
    </w:p>
    <w:p>
      <w:pPr>
        <w:pStyle w:val="ListBullet"/>
      </w:pPr>
      <w:r>
        <w:t>对账建单</w:t>
      </w:r>
    </w:p>
    <w:p>
      <w:pPr>
        <w:pStyle w:val="ListBullet"/>
      </w:pPr>
      <w:r>
        <w:t>单据匹配</w:t>
      </w:r>
    </w:p>
    <w:p>
      <w:pPr>
        <w:pStyle w:val="ListBullet"/>
      </w:pPr>
      <w:r>
        <w:t>差异分类</w:t>
      </w:r>
    </w:p>
    <w:p>
      <w:pPr>
        <w:pStyle w:val="ListBullet"/>
      </w:pPr>
      <w:r>
        <w:t>差异举证</w:t>
      </w:r>
    </w:p>
    <w:p>
      <w:pPr>
        <w:pStyle w:val="ListBullet"/>
      </w:pPr>
      <w:r>
        <w:t>差异复核</w:t>
      </w:r>
    </w:p>
    <w:p>
      <w:pPr>
        <w:pStyle w:val="ListBullet"/>
      </w:pPr>
      <w:r>
        <w:t>结算确认</w:t>
      </w:r>
    </w:p>
    <w:p>
      <w:pPr>
        <w:pStyle w:val="ListBullet"/>
      </w:pPr>
      <w:r>
        <w:t>发票关联</w:t>
      </w:r>
    </w:p>
    <w:p>
      <w:pPr>
        <w:pStyle w:val="ListBullet"/>
      </w:pPr>
      <w:r>
        <w:t>付款申请</w:t>
      </w:r>
    </w:p>
    <w:p>
      <w:pPr>
        <w:pStyle w:val="ListBullet"/>
      </w:pPr>
      <w:r>
        <w:t>撤回申请</w:t>
      </w:r>
    </w:p>
    <w:p>
      <w:pPr>
        <w:pStyle w:val="ListBullet"/>
      </w:pPr>
      <w:r>
        <w:t>跨期调整</w:t>
      </w:r>
    </w:p>
    <w:p>
      <w:pPr>
        <w:pStyle w:val="ListBullet"/>
      </w:pPr>
      <w:r>
        <w:t>对账关闭</w:t>
      </w:r>
    </w:p>
    <w:p>
      <w:pPr>
        <w:pStyle w:val="ListBullet"/>
      </w:pPr>
      <w:r>
        <w:t>结算汇总</w:t>
      </w:r>
    </w:p>
    <w:p>
      <w:pPr>
        <w:pStyle w:val="ListBullet"/>
      </w:pPr>
      <w:r>
        <w:t>明确结算专员、输入、状态、异常和验证</w:t>
      </w:r>
    </w:p>
    <w:p>
      <w:pPr>
        <w:pStyle w:val="ListBullet"/>
      </w:pPr>
      <w:r>
        <w:t>所有金额按分保存；跨币种分别汇总，未提供汇率不得折算为同一币种</w:t>
      </w:r>
    </w:p>
    <w:p>
      <w:r>
        <w:t>依据：1101_结算对账_对账建单.md、1102_结算对账_单据匹配.md、1103_结算对账_差异分类.md、1104_结算对账_差异举证.md、1105_结算对账_差异复核.md、1106_结算对账_结算确认.md、1107_结算对账_发票关联.md、1108_结算对账_付款申请.md、1109_结算对账_撤回申请.md、1110_结算对账_跨期调整.md、1111_结算对账_对账关闭.md、1112_结算对账_结算汇总.md、1503_末尾生效变更.txt</w:t>
      </w:r>
    </w:p>
    <w:p>
      <w:pPr>
        <w:pStyle w:val="Heading2"/>
      </w:pPr>
      <w:r>
        <w:t>14. 审计追踪需求规格（至少 5200 字符）</w:t>
      </w:r>
    </w:p>
    <w:p>
      <w:pPr>
        <w:pStyle w:val="ListBullet"/>
      </w:pPr>
      <w:r>
        <w:t>事件采集</w:t>
      </w:r>
    </w:p>
    <w:p>
      <w:pPr>
        <w:pStyle w:val="ListBullet"/>
      </w:pPr>
      <w:r>
        <w:t>关联索引</w:t>
      </w:r>
    </w:p>
    <w:p>
      <w:pPr>
        <w:pStyle w:val="ListBullet"/>
      </w:pPr>
      <w:r>
        <w:t>查询授权</w:t>
      </w:r>
    </w:p>
    <w:p>
      <w:pPr>
        <w:pStyle w:val="ListBullet"/>
      </w:pPr>
      <w:r>
        <w:t>流水追踪</w:t>
      </w:r>
    </w:p>
    <w:p>
      <w:pPr>
        <w:pStyle w:val="ListBullet"/>
      </w:pPr>
      <w:r>
        <w:t>批量导出</w:t>
      </w:r>
    </w:p>
    <w:p>
      <w:pPr>
        <w:pStyle w:val="ListBullet"/>
      </w:pPr>
      <w:r>
        <w:t>敏感脱敏</w:t>
      </w:r>
    </w:p>
    <w:p>
      <w:pPr>
        <w:pStyle w:val="ListBullet"/>
      </w:pPr>
      <w:r>
        <w:t>封存登记</w:t>
      </w:r>
    </w:p>
    <w:p>
      <w:pPr>
        <w:pStyle w:val="ListBullet"/>
      </w:pPr>
      <w:r>
        <w:t>保全申请</w:t>
      </w:r>
    </w:p>
    <w:p>
      <w:pPr>
        <w:pStyle w:val="ListBullet"/>
      </w:pPr>
      <w:r>
        <w:t>访问复核</w:t>
      </w:r>
    </w:p>
    <w:p>
      <w:pPr>
        <w:pStyle w:val="ListBullet"/>
      </w:pPr>
      <w:r>
        <w:t>保留期处理</w:t>
      </w:r>
    </w:p>
    <w:p>
      <w:pPr>
        <w:pStyle w:val="ListBullet"/>
      </w:pPr>
      <w:r>
        <w:t>归档校验</w:t>
      </w:r>
    </w:p>
    <w:p>
      <w:pPr>
        <w:pStyle w:val="ListBullet"/>
      </w:pPr>
      <w:r>
        <w:t>证据移交</w:t>
      </w:r>
    </w:p>
    <w:p>
      <w:pPr>
        <w:pStyle w:val="ListBullet"/>
      </w:pPr>
      <w:r>
        <w:t>明确内部审计员、输入、状态、异常和验证</w:t>
      </w:r>
    </w:p>
    <w:p>
      <w:pPr>
        <w:pStyle w:val="ListBullet"/>
      </w:pPr>
      <w:r>
        <w:t>审计事件只追加；业务撤销不删除历史事件，审计员无一般业务审批或状态修改权限</w:t>
      </w:r>
    </w:p>
    <w:p>
      <w:r>
        <w:t>依据：1201_审计追踪_事件采集.md、1202_审计追踪_关联索引.md、1203_审计追踪_查询授权.md、1204_审计追踪_流水追踪.md、1205_审计追踪_批量导出.md、1206_审计追踪_敏感脱敏.md、1207_审计追踪_封存登记.md、1208_审计追踪_保全申请.md、1209_审计追踪_访问复核.md、1210_审计追踪_保留期处理.md、1211_审计追踪_归档校验.md、1212_审计追踪_证据移交.md、1503_末尾生效变更.txt</w:t>
      </w:r>
    </w:p>
    <w:p>
      <w:pPr>
        <w:pStyle w:val="Heading2"/>
      </w:pPr>
      <w:r>
        <w:t>15. 数据、跨域接口与一致性（至少 4500 字符）</w:t>
      </w:r>
    </w:p>
    <w:p>
      <w:pPr>
        <w:pStyle w:val="ListBullet"/>
      </w:pPr>
      <w:r>
        <w:t>48个XIF接口与3组织枚举逐项覆盖</w:t>
      </w:r>
    </w:p>
    <w:p>
      <w:pPr>
        <w:pStyle w:val="ListBullet"/>
      </w:pPr>
      <w:r>
        <w:t>输入输出、超时查询、重复处理、状态对齐</w:t>
      </w:r>
    </w:p>
    <w:p>
      <w:r>
        <w:t>依据：1502_跨域接口矩阵.xlsx、1501_总体范围与术语.docx</w:t>
      </w:r>
    </w:p>
    <w:p>
      <w:pPr>
        <w:pStyle w:val="Heading2"/>
      </w:pPr>
      <w:r>
        <w:t>16. 质量属性、运行与恢复（至少 4000 字符）</w:t>
      </w:r>
    </w:p>
    <w:p>
      <w:pPr>
        <w:pStyle w:val="ListBullet"/>
      </w:pPr>
      <w:r>
        <w:t>300并发、P95口径、5000行导入、RTO/RPO</w:t>
      </w:r>
    </w:p>
    <w:p>
      <w:pPr>
        <w:pStyle w:val="ListBullet"/>
      </w:pPr>
      <w:r>
        <w:t>保留期、监控和未决外部服务</w:t>
      </w:r>
    </w:p>
    <w:p>
      <w:r>
        <w:t>依据：1501_总体范围与术语.docx</w:t>
      </w:r>
    </w:p>
    <w:p>
      <w:pPr>
        <w:pStyle w:val="Heading2"/>
      </w:pPr>
      <w:r>
        <w:t>17. 集成验收与需求追溯（至少 4500 字符）</w:t>
      </w:r>
    </w:p>
    <w:p>
      <w:pPr>
        <w:pStyle w:val="ListBullet"/>
      </w:pPr>
      <w:r>
        <w:t>144张规则卡、48接口逐项关联正文与验证</w:t>
      </w:r>
    </w:p>
    <w:p>
      <w:pPr>
        <w:pStyle w:val="ListBullet"/>
      </w:pPr>
      <w:r>
        <w:t>末尾变更、状态一致性与未决项</w:t>
      </w:r>
    </w:p>
    <w:p>
      <w:r>
        <w:t>依据：1501_总体范围与术语.docx、1502_跨域接口矩阵.xlsx、1503_末尾生效变更.txt</w:t>
      </w:r>
    </w:p>
    <w:p>
      <w:pPr>
        <w:pStyle w:val="Heading1"/>
      </w:pPr>
      <w:r>
        <w:t>二、必须准确表达的事实</w:t>
      </w:r>
    </w:p>
    <w:p>
      <w:r>
        <w:t>F01 [critical] 权限仅按组织与岗位交集授予；跨区域授权必须由接收区域管理员复核</w:t>
      </w:r>
    </w:p>
    <w:p>
      <w:r>
        <w:t>依据：0101_组织权限_组织建档.md / 状态、例外与完成条件</w:t>
      </w:r>
    </w:p>
    <w:p>
      <w:r>
        <w:t>F02 [critical] 暂停合作后禁止新增采购订单，已经批准的订单只允许履约或人工关闭</w:t>
      </w:r>
    </w:p>
    <w:p>
      <w:r>
        <w:t>依据：0201_供应商_供应商登记.md / 状态、例外与完成条件</w:t>
      </w:r>
    </w:p>
    <w:p>
      <w:r>
        <w:t>F03 [critical] 采购申请金额达到500000元时增加事业部负责人审批，等于阈值也适用</w:t>
      </w:r>
    </w:p>
    <w:p>
      <w:r>
        <w:t>依据：0301_采购协同_采购申请.md / 状态、例外与完成条件</w:t>
      </w:r>
    </w:p>
    <w:p>
      <w:r>
        <w:t>F04 [critical] 可用量等于实存量减冻结量减预占量；跨仓调拨在途数量不同时计入两仓可用量</w:t>
      </w:r>
    </w:p>
    <w:p>
      <w:r>
        <w:t>依据：0401_库存仓储_收货登记.md / 状态、例外与完成条件</w:t>
      </w:r>
    </w:p>
    <w:p>
      <w:r>
        <w:t>F05 [critical] 生产中工单固定使用下达时工艺版本；主数据新版不得回写正在执行工单</w:t>
      </w:r>
    </w:p>
    <w:p>
      <w:r>
        <w:t>依据：0501_生产执行_生产建单.md / 状态、例外与完成条件</w:t>
      </w:r>
    </w:p>
    <w:p>
      <w:r>
        <w:t>F06 [critical] 让步接收须质量经理和业务负责人分别确认；业务负责人不能替代质量签名</w:t>
      </w:r>
    </w:p>
    <w:p>
      <w:r>
        <w:t>依据：0601_质量管理_来料检验.md / 状态、例外与完成条件</w:t>
      </w:r>
    </w:p>
    <w:p>
      <w:r>
        <w:t>F07 [critical] 销售订单部分取消不能取消已发运行；未发运行保留原定价版本和变更记录</w:t>
      </w:r>
    </w:p>
    <w:p>
      <w:r>
        <w:t>依据：0701_销售履约_客户建档.md / 状态、例外与完成条件</w:t>
      </w:r>
    </w:p>
    <w:p>
      <w:r>
        <w:t>F08 [critical] 同一设备同类问题七日内再次发生须关联原工单，不能覆盖原工单完工时间</w:t>
      </w:r>
    </w:p>
    <w:p>
      <w:r>
        <w:t>依据：0801_售后服务_服务受理.md / 状态、例外与完成条件</w:t>
      </w:r>
    </w:p>
    <w:p>
      <w:r>
        <w:t>F09 [critical] 复机由操作方和维护方双人验收；维修登记人不得独自完成复机验收</w:t>
      </w:r>
    </w:p>
    <w:p>
      <w:r>
        <w:t>依据：0901_设备维护_设备登记.md / 状态、例外与完成条件</w:t>
      </w:r>
    </w:p>
    <w:p>
      <w:r>
        <w:t>F10 [critical] 范围变更批准前不得修改已确认里程碑；变更后保留原基线和新基线</w:t>
      </w:r>
    </w:p>
    <w:p>
      <w:r>
        <w:t>依据：1001_项目交付_项目立项.md / 状态、例外与完成条件</w:t>
      </w:r>
    </w:p>
    <w:p>
      <w:r>
        <w:t>F11 [critical] 所有金额按分保存；跨币种分别汇总，未提供汇率不得折算为同一币种</w:t>
      </w:r>
    </w:p>
    <w:p>
      <w:r>
        <w:t>依据：1101_结算对账_对账建单.md / 状态、例外与完成条件</w:t>
      </w:r>
    </w:p>
    <w:p>
      <w:r>
        <w:t>F12 [critical] 审计事件只追加；业务撤销不删除历史事件，审计员无一般业务审批或状态修改权限</w:t>
      </w:r>
    </w:p>
    <w:p>
      <w:r>
        <w:t>依据：1201_审计追踪_事件采集.md / 状态、例外与完成条件</w:t>
      </w:r>
    </w:p>
    <w:p>
      <w:r>
        <w:t>F13 [critical] 300并发，查询P95不超过2秒，不含文件下载</w:t>
      </w:r>
    </w:p>
    <w:p>
      <w:r>
        <w:t>依据：1501_总体范围与术语.docx / 公共质量约束</w:t>
      </w:r>
    </w:p>
    <w:p>
      <w:r>
        <w:t>F14 [critical] 幂等窗口24小时，3次自动重试，间隔5/30/120秒</w:t>
      </w:r>
    </w:p>
    <w:p>
      <w:r>
        <w:t>依据：1501_总体范围与术语.docx / 公共质量约束</w:t>
      </w:r>
    </w:p>
    <w:p>
      <w:r>
        <w:t>F15 [critical] RTO60分钟、RPO15分钟、审计36个月</w:t>
      </w:r>
    </w:p>
    <w:p>
      <w:r>
        <w:t>依据：1501_总体范围与术语.docx / 公共质量约束</w:t>
      </w:r>
    </w:p>
    <w:p>
      <w:r>
        <w:t>F16 [critical] CHG-TAIL-017适用于2026-10-01起新建跨期调整，金额&gt;=200000元双签</w:t>
      </w:r>
    </w:p>
    <w:p>
      <w:r>
        <w:t>依据：1503_末尾生效变更.txt / 生效范围</w:t>
      </w:r>
    </w:p>
    <w:p>
      <w:r>
        <w:t>F17 [critical] 历史100并发和5秒不是当前指标</w:t>
      </w:r>
    </w:p>
    <w:p>
      <w:r>
        <w:t>依据：1504_历史性能基线.md / 历史记录</w:t>
      </w:r>
    </w:p>
    <w:p>
      <w:r>
        <w:t>F18 [critical] HQ/EAST/WEST位于隐藏组织枚举Sheet，仍需覆盖</w:t>
      </w:r>
    </w:p>
    <w:p>
      <w:r>
        <w:t>依据：1502_跨域接口矩阵.xlsx / 组织枚举</w:t>
      </w:r>
    </w:p>
    <w:p>
      <w:r>
        <w:t>F19 [critical] 系统管理员无业务审批权</w:t>
      </w:r>
    </w:p>
    <w:p>
      <w:r>
        <w:t>依据：1501_总体范围与术语.docx / 公共权限与状态原则</w:t>
      </w:r>
    </w:p>
    <w:p>
      <w:r>
        <w:t>F20 [critical] 查询、统计、历史调阅不推动状态</w:t>
      </w:r>
    </w:p>
    <w:p>
      <w:r>
        <w:t>依据：0403_库存仓储_库存查询.md / 适用边界与责任</w:t>
      </w:r>
    </w:p>
    <w:p>
      <w:r>
        <w:t>F21 [major] 备注统一最长1000字符、每次最多5个附件、单附件10MB；只读操作不套人工办理时限。</w:t>
      </w:r>
    </w:p>
    <w:p>
      <w:r>
        <w:t>依据：1501_总体范围与术语.docx / 公共操作约定与未决边界</w:t>
      </w:r>
    </w:p>
    <w:p>
      <w:r>
        <w:t>F22 [critical] 状态集合不是顺序状态机，未提供的动作级状态映射与审批配置需保持待确认。</w:t>
      </w:r>
    </w:p>
    <w:p>
      <w:r>
        <w:t>依据：1502_跨域接口矩阵.xlsx / 状态字典</w:t>
      </w:r>
    </w:p>
    <w:p>
      <w:r>
        <w:t>完整覆盖编号：M01-R01、M01-R02、M01-R03、M01-R04、M01-R05、M01-R06、M01-R07、M01-R08、M01-R09、M01-R10、M01-R11、M01-R12、M02-R01、M02-R02、M02-R03、M02-R04、M02-R05、M02-R06、M02-R07、M02-R08、M02-R09、M02-R10、M02-R11、M02-R12、M03-R01、M03-R02、M03-R03、M03-R04、M03-R05、M03-R06、M03-R07、M03-R08、M03-R09、M03-R10、M03-R11、M03-R12、M04-R01、M04-R02、M04-R03、M04-R04、M04-R05、M04-R06、M04-R07、M04-R08、M04-R09、M04-R10、M04-R11、M04-R12、M05-R01、M05-R02、M05-R03、M05-R04、M05-R05、M05-R06、M05-R07、M05-R08、M05-R09、M05-R10、M05-R11、M05-R12、M06-R01、M06-R02、M06-R03、M06-R04、M06-R05、M06-R06、M06-R07、M06-R08、M06-R09、M06-R10、M06-R11、M06-R12、M07-R01、M07-R02、M07-R03、M07-R04、M07-R05、M07-R06、M07-R07、M07-R08、M07-R09、M07-R10、M07-R11、M07-R12、M08-R01、M08-R02、M08-R03、M08-R04、M08-R05、M08-R06、M08-R07、M08-R08、M08-R09、M08-R10、M08-R11、M08-R12、M09-R01、M09-R02、M09-R03、M09-R04、M09-R05、M09-R06、M09-R07、M09-R08、M09-R09、M09-R10、M09-R11、M09-R12、M10-R01、M10-R02、M10-R03、M10-R04、M10-R05、M10-R06、M10-R07、M10-R08、M10-R09、M10-R10、M10-R11、M10-R12、M11-R01、M11-R02、M11-R03、M11-R04、M11-R05、M11-R06、M11-R07、M11-R08、M11-R09、M11-R10、M11-R11、M11-R12、M12-R01、M12-R02、M12-R03、M12-R04、M12-R05、M12-R06、M12-R07、M12-R08、M12-R09、M12-R10、M12-R11、M12-R12、XIF-01-01、XIF-01-02、XIF-01-03、XIF-01-04、XIF-02-01、XIF-02-02、XIF-02-03、XIF-02-04、XIF-03-01、XIF-03-02、XIF-03-03、XIF-03-04、XIF-04-01、XIF-04-02、XIF-04-03、XIF-04-04、XIF-05-01、XIF-05-02、XIF-05-03、XIF-05-04、XIF-06-01、XIF-06-02、XIF-06-03、XIF-06-04、XIF-07-01、XIF-07-02、XIF-07-03、XIF-07-04、XIF-08-01、XIF-08-02、XIF-08-03、XIF-08-04、XIF-09-01、XIF-09-02、XIF-09-03、XIF-09-04、XIF-10-01、XIF-10-02、XIF-10-03、XIF-10-04、XIF-11-01、XIF-11-02、XIF-11-03、XIF-11-04、XIF-12-01、XIF-12-02、XIF-12-03、XIF-12-04、CHG-TAIL-017</w:t>
      </w:r>
    </w:p>
    <w:p>
      <w:pPr>
        <w:pStyle w:val="Heading1"/>
      </w:pPr>
      <w:r>
        <w:t>三、计算与统计口径</w:t>
      </w:r>
    </w:p>
    <w:p>
      <w:pPr>
        <w:pStyle w:val="Heading1"/>
      </w:pPr>
      <w:r>
        <w:t>四、图表和原型</w:t>
      </w:r>
    </w:p>
    <w:p>
      <w:pPr>
        <w:pStyle w:val="Heading2"/>
      </w:pPr>
      <w:r>
        <w:t>采购审批流程 / flowchart</w:t>
      </w:r>
    </w:p>
    <w:p>
      <w:pPr>
        <w:pStyle w:val="ListBullet"/>
      </w:pPr>
      <w:r>
        <w:t>500000元等于阈值时增加审批</w:t>
      </w:r>
    </w:p>
    <w:p>
      <w:pPr>
        <w:pStyle w:val="ListBullet"/>
      </w:pPr>
      <w:r>
        <w:t>拒绝与撤回分支</w:t>
      </w:r>
    </w:p>
    <w:p>
      <w:pPr>
        <w:pStyle w:val="Heading2"/>
      </w:pPr>
      <w:r>
        <w:t>跨仓调拨流程 / flowchart</w:t>
      </w:r>
    </w:p>
    <w:p>
      <w:pPr>
        <w:pStyle w:val="ListBullet"/>
      </w:pPr>
      <w:r>
        <w:t>在途不计入两仓可用量</w:t>
      </w:r>
    </w:p>
    <w:p>
      <w:pPr>
        <w:pStyle w:val="ListBullet"/>
      </w:pPr>
      <w:r>
        <w:t>交接异常分支</w:t>
      </w:r>
    </w:p>
    <w:p>
      <w:pPr>
        <w:pStyle w:val="Heading2"/>
      </w:pPr>
      <w:r>
        <w:t>跨期调整流程 / flowchart</w:t>
      </w:r>
    </w:p>
    <w:p>
      <w:pPr>
        <w:pStyle w:val="ListBullet"/>
      </w:pPr>
      <w:r>
        <w:t>200000元含等于双签</w:t>
      </w:r>
    </w:p>
    <w:p>
      <w:pPr>
        <w:pStyle w:val="ListBullet"/>
      </w:pPr>
      <w:r>
        <w:t>已归档期间不可回写</w:t>
      </w:r>
    </w:p>
    <w:p>
      <w:pPr>
        <w:pStyle w:val="Heading2"/>
      </w:pPr>
      <w:r>
        <w:t>订单查询界面 / prototype</w:t>
      </w:r>
    </w:p>
    <w:p>
      <w:pPr>
        <w:pStyle w:val="ListBullet"/>
      </w:pPr>
      <w:r>
        <w:t>权限过滤</w:t>
      </w:r>
    </w:p>
    <w:p>
      <w:pPr>
        <w:pStyle w:val="ListBullet"/>
      </w:pPr>
      <w:r>
        <w:t>部分取消状态</w:t>
      </w:r>
    </w:p>
    <w:p>
      <w:pPr>
        <w:pStyle w:val="Heading2"/>
      </w:pPr>
      <w:r>
        <w:t>质量放行界面 / prototype</w:t>
      </w:r>
    </w:p>
    <w:p>
      <w:pPr>
        <w:pStyle w:val="ListBullet"/>
      </w:pPr>
      <w:r>
        <w:t>双人职责</w:t>
      </w:r>
    </w:p>
    <w:p>
      <w:pPr>
        <w:pStyle w:val="ListBullet"/>
      </w:pPr>
      <w:r>
        <w:t>管理员不能越权放行</w:t>
      </w:r>
    </w:p>
    <w:p>
      <w:pPr>
        <w:pStyle w:val="Heading1"/>
      </w:pPr>
      <w:r>
        <w:t>五、缺口与不得写成事实的结论</w:t>
      </w:r>
    </w:p>
    <w:p>
      <w:r>
        <w:t>备份和短信供应商：未选型；预期：待确认，替代方案标为模型建议</w:t>
      </w:r>
    </w:p>
    <w:p>
      <w:r>
        <w:t>高级风险评分算法：无确定算法；预期：不得虚构现状或承诺</w:t>
      </w:r>
    </w:p>
    <w:p>
      <w:r>
        <w:t>未明确的动作级状态映射及审批配置：来源提供状态集合与具体业务前置/产物，未给所有状态码转换及批准人配置；预期：在相关动作节和待决表标注；可写带标签的设计建议，不能把字典枚举连成已经批准的状态机</w:t>
      </w:r>
    </w:p>
    <w:p>
      <w:pPr>
        <w:pStyle w:val="ListBullet"/>
      </w:pPr>
      <w:r>
        <w:t>不能扩展到原生手机应用、供应商门户或国际税务</w:t>
      </w:r>
    </w:p>
    <w:p>
      <w:pPr>
        <w:pStyle w:val="ListBullet"/>
      </w:pPr>
      <w:r>
        <w:t>不得使用历史100并发、5秒作为现行验收</w:t>
      </w:r>
    </w:p>
    <w:p>
      <w:pPr>
        <w:pStyle w:val="ListBullet"/>
      </w:pPr>
      <w:r>
        <w:t>不得赋予审计员普遍业务审批权</w:t>
      </w:r>
    </w:p>
    <w:p>
      <w:pPr>
        <w:pStyle w:val="ListBullet"/>
      </w:pPr>
      <w:r>
        <w:t>不能漏掉末尾CHG-TAIL-017或前144张卡片</w:t>
      </w:r>
    </w:p>
    <w:p>
      <w:pPr>
        <w:pStyle w:val="Heading1"/>
      </w:pPr>
      <w:r>
        <w:t>六、人工语义与版式验收</w:t>
      </w:r>
    </w:p>
    <w:p>
      <w:pPr>
        <w:pStyle w:val="ListBullet"/>
      </w:pPr>
      <w:r>
        <w:t>最终正文80000—100000有效字符，17主章有合理叶子节；重复段落不计完成</w:t>
      </w:r>
    </w:p>
    <w:p>
      <w:pPr>
        <w:pStyle w:val="ListBullet"/>
      </w:pPr>
      <w:r>
        <w:t>M01-R01至M12-R12全部144项追溯且正文语义完整</w:t>
      </w:r>
    </w:p>
    <w:p>
      <w:pPr>
        <w:pStyle w:val="ListBullet"/>
      </w:pPr>
      <w:r>
        <w:t>XIF-01-01至XIF-12-04共48接口逐项说明与验证</w:t>
      </w:r>
    </w:p>
    <w:p>
      <w:pPr>
        <w:pStyle w:val="ListBullet"/>
      </w:pPr>
      <w:r>
        <w:t>CHG-TAIL-017在正文、图、角色一致体现，不扩大例外</w:t>
      </w:r>
    </w:p>
    <w:p>
      <w:pPr>
        <w:pStyle w:val="ListBullet"/>
      </w:pPr>
      <w:r>
        <w:t>恢复后不丢章节、不重复消费或重置账本</w:t>
      </w:r>
    </w:p>
    <w:p>
      <w:pPr>
        <w:pStyle w:val="ListBullet"/>
      </w:pPr>
      <w:r>
        <w:t>关键词和字数只是初筛，必须人工核对事实和图文关系</w:t>
      </w:r>
    </w:p>
    <w:p>
      <w:pPr>
        <w:pStyle w:val="ListBullet"/>
      </w:pPr>
      <w:r>
        <w:t>逐张验证144动作卡的实际输入、独有前置、业务产物与异常边界；只读动作无状态推进或人工接单审批，不能仅列144个编号视作语义覆盖。</w:t>
      </w:r>
    </w:p>
    <w:p>
      <w:pPr>
        <w:pStyle w:val="ListBullet"/>
      </w:pPr>
      <w:r>
        <w:t>48个接口发起域与接收域均不同，逐项说明用途；公共幂等约束仅适用有副作用写请求。</w:t>
      </w:r>
    </w:p>
    <w:p>
      <w:pPr>
        <w:pStyle w:val="ListBullet"/>
      </w:pPr>
      <w:r>
        <w:t>章节层级与目录一致，标题不孤悬；页码在 Word/WPS 更新后核对。</w:t>
      </w:r>
    </w:p>
    <w:p>
      <w:pPr>
        <w:pStyle w:val="ListBullet"/>
      </w:pPr>
      <w:r>
        <w:t>表头跨页重复，表格和图片不超出页边距；正文、标题、表格使用一致的中文字体。</w:t>
      </w:r>
    </w:p>
    <w:p>
      <w:pPr>
        <w:pStyle w:val="ListBullet"/>
      </w:pPr>
      <w:r>
        <w:t>流程图分支、回路、例外条件与正文一致；缩放到实际页面后图中文字清晰。</w:t>
      </w:r>
    </w:p>
    <w:p>
      <w:pPr>
        <w:pStyle w:val="ListBullet"/>
      </w:pPr>
      <w:r>
        <w:t>模型建议与已证实事实明确区分，重复段落和空泛扩写不能用于补足字数。</w:t>
      </w:r>
    </w:p>
    <w:p>
      <w:pPr>
        <w:pStyle w:val="ListBullet"/>
      </w:pPr>
      <w:r>
        <w:t>达到字数或命中关键词不代表语义验收通过；逐项确认事实、关系、缺口与来源。</w:t>
      </w:r>
    </w:p>
    <w:p>
      <w:pPr>
        <w:pStyle w:val="Heading1"/>
      </w:pPr>
      <w:r>
        <w:t>七、执行与过程验收</w:t>
      </w:r>
    </w:p>
    <w:p>
      <w:r>
        <w:t>{</w:t>
        <w:br/>
        <w:t xml:space="preserve">  "web_mode": "disabled",</w:t>
        <w:br/>
        <w:t xml:space="preserve">  "local_round_limit": 3,</w:t>
        <w:br/>
        <w:t xml:space="preserve">  "web_round_limit": 2,</w:t>
        <w:br/>
        <w:t xml:space="preserve">  "notes": [</w:t>
        <w:br/>
        <w:t xml:space="preserve">    "长文压力场景；目标字数是验收目标，不代表默认预算保证成功。先完成TC01/02/05。",</w:t>
        <w:br/>
        <w:t xml:space="preserve">    "逐业务任务核对本地最多3轮；关闭联网时不发Tavily请求。",</w:t>
        <w:br/>
        <w:t xml:space="preserve">    "任意三域完成后暂停、恢复同一作业，核对账本，不新建作业绕过额度。",</w:t>
        <w:br/>
        <w:t xml:space="preserve">    "完整成品与明确待确认草稿分开判定；有下载文件不等于质量通过。",</w:t>
        <w:br/>
        <w:t xml:space="preserve">    "148份资料仍为分页和恢复压力场景；144动作卡均含独立输入、前置、行为、结果与异常，公共约束集中引用。原始资料没有的细化状态流转仍须标注待确认。"</w:t>
        <w:br/>
        <w:t xml:space="preserve">  ]</w:t>
        <w:br/>
        <w:t>}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