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青禾集团平台一期范围与全局事实V2.0</w:t>
      </w:r>
    </w:p>
    <w:p>
      <w:pPr>
        <w:pStyle w:val="Heading1"/>
      </w:pPr>
      <w:r>
        <w:t>文档身份与范围</w:t>
      </w:r>
    </w:p>
    <w:p>
      <w:r>
        <w:t>本材料为合成项目，组织、阈值、编号均为虚构。项目代号QH-ONE，包含总部、东区、西区共3个组织节点，服务800名内部用户。业务时间采用Asia/Shanghai，事件传输带时区偏移。</w:t>
      </w:r>
    </w:p>
    <w:p>
      <w:r>
        <w:t>一期12个业务域，共144张需求卡。每张卡的规则编号须出现在追溯矩阵；共同约束集中说明，各域引用，不重复抄写。</w:t>
      </w:r>
    </w:p>
    <w:p>
      <w:pPr>
        <w:pStyle w:val="Heading1"/>
      </w:pPr>
      <w:r>
        <w:t>公共权限与状态原则</w:t>
      </w:r>
    </w:p>
    <w:p>
      <w:r>
        <w:t>系统管理员只配置系统，没有业务审批权。跨区域访问须单独授权，导出遵守查询权限。不同租户不能通过同名业务编号关联。</w:t>
      </w:r>
    </w:p>
    <w:p>
      <w:r>
        <w:t>各域人工时限分别适用，不能把4小时、6小时、24小时等统一为同一个值。查询不推动状态，异步消息送达不等于人工验收完成。</w:t>
      </w:r>
    </w:p>
    <w:p>
      <w:pPr>
        <w:pStyle w:val="Heading1"/>
      </w:pPr>
      <w:r>
        <w:t>公共质量约束</w:t>
      </w:r>
    </w:p>
    <w:p>
      <w:r>
        <w:t>并发验收为300个同时在线用户、业务查询P95不超过2秒、批量导入单批最多5000行。查询计时从服务端接收请求到返回完成，不含文件下载。故障演练RTO为60分钟，RPO为15分钟。</w:t>
      </w:r>
    </w:p>
    <w:p>
      <w:r>
        <w:t>幂等窗口24小时，同键不同参数拒绝。审计事件保留36个月且只追加。超时先查询结果再重试，最多3次自动重试，间隔5秒、30秒、120秒，之后转人工。</w:t>
      </w:r>
    </w:p>
    <w:p>
      <w:pPr>
        <w:pStyle w:val="Heading1"/>
      </w:pPr>
      <w:r>
        <w:t>排除与未决</w:t>
      </w:r>
    </w:p>
    <w:p>
      <w:r>
        <w:t>二期才考虑外部供应商门户、原生手机应用、国际税务、跨法人合并报表。一期只有内部浏览器入口。</w:t>
      </w:r>
    </w:p>
    <w:p>
      <w:r>
        <w:t>备份存储供应商、短信供应商和高级风险评分算法未选定，须待确认；建议须标为模型建议，不能通过网络替项目做决定。</w:t>
      </w:r>
    </w:p>
    <w:p>
      <w:pPr>
        <w:pStyle w:val="Heading1"/>
      </w:pPr>
      <w:r>
        <w:t>公共操作约定与未决边界</w:t>
      </w:r>
    </w:p>
    <w:p>
      <w:r>
        <w:t>所有输入在服务端按字段实际类型校验。标识字段需核对所属组织和关联对象；数量和金额使用其业务单位及非负/正数约束；时间需要可解释的时区与先后关系。不能把数值、币种或日期当成“未停用业务对象”校验。新建对象编号由系统生成并检查唯一性，不能要求新对象在创建前已存在。</w:t>
      </w:r>
    </w:p>
    <w:p>
      <w:r>
        <w:t>只读查询、统计、追溯、调阅和只读呈现不推进源业务状态，不创建业务审批，不套用人工接单处理时限。已有查询或导出授权必须校验；访问留痕和导出产物不构成源业务对象修改。查询性能使用本文件的公共质量约束。</w:t>
      </w:r>
    </w:p>
    <w:p>
      <w:r>
        <w:t>幂等窗口、同键不同参数拒绝及先查询后重试只适用于有副作用的写请求。写入幂等范围至少包含租户、源组织、接口或操作类型、业务编号；不能让不同租户、组织或业务域的同名编号串用结果。跨域接口详细范围见接口矩阵。</w:t>
      </w:r>
    </w:p>
    <w:p>
      <w:r>
        <w:t>所有修改类请求核对提交时对象版本，版本冲突则拒绝覆盖并返回最新版本摘要。新增编号成功后失败的处置须有明确记录，不静默删除已经产生的审计事实。失败保留合法输入并定位字段；批量处理给逐行结果和成功/失败计数，部分成功不可声称全部成功。</w:t>
      </w:r>
    </w:p>
    <w:p>
      <w:r>
        <w:t>备注与附件统一：备注最长1000个字符，单次最多5个附件，单附件不大于10MB。例外申请需填写原因及已有批准引用；没有批准记录时标待确认，不能伪造编号。导出的文件大小限制尚未给出，不套用上传附件限制。</w:t>
      </w:r>
    </w:p>
    <w:p>
      <w:r>
        <w:t>状态字典只列领域中的候选状态，不是可顺序执行的状态转换图。动作卡明确具体前置、处理与产物；未提供的对象级状态映射、撤销规则、审批责任配置保持待确认。新增细化方案必须标模型建议，不能冒充资料已经批准。</w:t>
      </w:r>
    </w:p>
    <w:p>
      <w:r>
        <w:t>组织权限可限制业务访问；系统管理员没有业务审批权。审计事件载荷只追加不可改，封存包和移交等治理记录拥有独立元数据；审计员执行审计治理动作不等于获得一般业务状态修改权。</w:t>
      </w:r>
    </w:p>
    <w:p>
      <w:r>
        <w:t>公共人工处理时限仅用于确实进入人工待办的办理事项，超时提醒该域责任角色和主管，不自动批准、取消或改变源业务结论。只读操作、自动事件采集与索引不套用该时限。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</w:tcPr>
          <w:p>
            <w:r>
              <w:t>业务域</w:t>
            </w:r>
          </w:p>
        </w:tc>
        <w:tc>
          <w:tcPr>
            <w:tcW w:type="dxa" w:w="2353"/>
          </w:tcPr>
          <w:p>
            <w:r>
              <w:t>责任角色</w:t>
            </w:r>
          </w:p>
        </w:tc>
        <w:tc>
          <w:tcPr>
            <w:tcW w:type="dxa" w:w="2353"/>
          </w:tcPr>
          <w:p>
            <w:r>
              <w:t>领域关键约束</w:t>
            </w:r>
          </w:p>
        </w:tc>
        <w:tc>
          <w:tcPr>
            <w:tcW w:type="dxa" w:w="2353"/>
          </w:tcPr>
          <w:p>
            <w:r>
              <w:t>人工办理时限范围</w:t>
            </w:r>
          </w:p>
        </w:tc>
      </w:tr>
      <w:tr>
        <w:tc>
          <w:tcPr>
            <w:tcW w:type="dxa" w:w="2353"/>
          </w:tcPr>
          <w:p>
            <w:r>
              <w:t>组织权限</w:t>
            </w:r>
          </w:p>
        </w:tc>
        <w:tc>
          <w:tcPr>
            <w:tcW w:type="dxa" w:w="2353"/>
          </w:tcPr>
          <w:p>
            <w:r>
              <w:t>组织管理员</w:t>
            </w:r>
          </w:p>
        </w:tc>
        <w:tc>
          <w:tcPr>
            <w:tcW w:type="dxa" w:w="2353"/>
          </w:tcPr>
          <w:p>
            <w:r>
              <w:t>权限仅按组织与岗位交集授予；跨区域授权必须由接收区域管理员复核</w:t>
            </w:r>
          </w:p>
        </w:tc>
        <w:tc>
          <w:tcPr>
            <w:tcW w:type="dxa" w:w="2353"/>
          </w:tcPr>
          <w:p>
            <w:r>
              <w:t>人工办理事项接单后24小时；只读查询与自动事件采集不适用</w:t>
            </w:r>
          </w:p>
        </w:tc>
      </w:tr>
      <w:tr>
        <w:tc>
          <w:tcPr>
            <w:tcW w:type="dxa" w:w="2353"/>
          </w:tcPr>
          <w:p>
            <w:r>
              <w:t>供应商</w:t>
            </w:r>
          </w:p>
        </w:tc>
        <w:tc>
          <w:tcPr>
            <w:tcW w:type="dxa" w:w="2353"/>
          </w:tcPr>
          <w:p>
            <w:r>
              <w:t>供应商专员</w:t>
            </w:r>
          </w:p>
        </w:tc>
        <w:tc>
          <w:tcPr>
            <w:tcW w:type="dxa" w:w="2353"/>
          </w:tcPr>
          <w:p>
            <w:r>
              <w:t>暂停合作后禁止新增采购订单，已经批准的订单只允许履约或人工关闭</w:t>
            </w:r>
          </w:p>
        </w:tc>
        <w:tc>
          <w:tcPr>
            <w:tcW w:type="dxa" w:w="2353"/>
          </w:tcPr>
          <w:p>
            <w:r>
              <w:t>人工办理事项接单后48小时；只读查询与自动事件采集不适用</w:t>
            </w:r>
          </w:p>
        </w:tc>
      </w:tr>
      <w:tr>
        <w:tc>
          <w:tcPr>
            <w:tcW w:type="dxa" w:w="2353"/>
          </w:tcPr>
          <w:p>
            <w:r>
              <w:t>采购协同</w:t>
            </w:r>
          </w:p>
        </w:tc>
        <w:tc>
          <w:tcPr>
            <w:tcW w:type="dxa" w:w="2353"/>
          </w:tcPr>
          <w:p>
            <w:r>
              <w:t>采购专员</w:t>
            </w:r>
          </w:p>
        </w:tc>
        <w:tc>
          <w:tcPr>
            <w:tcW w:type="dxa" w:w="2353"/>
          </w:tcPr>
          <w:p>
            <w:r>
              <w:t>采购申请金额达到500000元时增加事业部负责人审批，等于阈值也适用</w:t>
            </w:r>
          </w:p>
        </w:tc>
        <w:tc>
          <w:tcPr>
            <w:tcW w:type="dxa" w:w="2353"/>
          </w:tcPr>
          <w:p>
            <w:r>
              <w:t>人工办理事项接单后36小时；只读查询与自动事件采集不适用</w:t>
            </w:r>
          </w:p>
        </w:tc>
      </w:tr>
      <w:tr>
        <w:tc>
          <w:tcPr>
            <w:tcW w:type="dxa" w:w="2353"/>
          </w:tcPr>
          <w:p>
            <w:r>
              <w:t>库存仓储</w:t>
            </w:r>
          </w:p>
        </w:tc>
        <w:tc>
          <w:tcPr>
            <w:tcW w:type="dxa" w:w="2353"/>
          </w:tcPr>
          <w:p>
            <w:r>
              <w:t>仓库管理员</w:t>
            </w:r>
          </w:p>
        </w:tc>
        <w:tc>
          <w:tcPr>
            <w:tcW w:type="dxa" w:w="2353"/>
          </w:tcPr>
          <w:p>
            <w:r>
              <w:t>可用量等于实存量减冻结量减预占量；跨仓调拨在途数量不同时计入两仓可用量</w:t>
            </w:r>
          </w:p>
        </w:tc>
        <w:tc>
          <w:tcPr>
            <w:tcW w:type="dxa" w:w="2353"/>
          </w:tcPr>
          <w:p>
            <w:r>
              <w:t>人工办理事项接单后12小时；只读查询与自动事件采集不适用</w:t>
            </w:r>
          </w:p>
        </w:tc>
      </w:tr>
      <w:tr>
        <w:tc>
          <w:tcPr>
            <w:tcW w:type="dxa" w:w="2353"/>
          </w:tcPr>
          <w:p>
            <w:r>
              <w:t>生产执行</w:t>
            </w:r>
          </w:p>
        </w:tc>
        <w:tc>
          <w:tcPr>
            <w:tcW w:type="dxa" w:w="2353"/>
          </w:tcPr>
          <w:p>
            <w:r>
              <w:t>生产调度</w:t>
            </w:r>
          </w:p>
        </w:tc>
        <w:tc>
          <w:tcPr>
            <w:tcW w:type="dxa" w:w="2353"/>
          </w:tcPr>
          <w:p>
            <w:r>
              <w:t>生产中工单固定使用下达时工艺版本；主数据新版不得回写正在执行工单</w:t>
            </w:r>
          </w:p>
        </w:tc>
        <w:tc>
          <w:tcPr>
            <w:tcW w:type="dxa" w:w="2353"/>
          </w:tcPr>
          <w:p>
            <w:r>
              <w:t>人工办理事项接单后8小时；只读查询与自动事件采集不适用</w:t>
            </w:r>
          </w:p>
        </w:tc>
      </w:tr>
      <w:tr>
        <w:tc>
          <w:tcPr>
            <w:tcW w:type="dxa" w:w="2353"/>
          </w:tcPr>
          <w:p>
            <w:r>
              <w:t>质量管理</w:t>
            </w:r>
          </w:p>
        </w:tc>
        <w:tc>
          <w:tcPr>
            <w:tcW w:type="dxa" w:w="2353"/>
          </w:tcPr>
          <w:p>
            <w:r>
              <w:t>质量工程师</w:t>
            </w:r>
          </w:p>
        </w:tc>
        <w:tc>
          <w:tcPr>
            <w:tcW w:type="dxa" w:w="2353"/>
          </w:tcPr>
          <w:p>
            <w:r>
              <w:t>让步接收须质量经理和业务负责人分别确认；业务负责人不能替代质量签名</w:t>
            </w:r>
          </w:p>
        </w:tc>
        <w:tc>
          <w:tcPr>
            <w:tcW w:type="dxa" w:w="2353"/>
          </w:tcPr>
          <w:p>
            <w:r>
              <w:t>人工办理事项接单后6小时；只读查询与自动事件采集不适用</w:t>
            </w:r>
          </w:p>
        </w:tc>
      </w:tr>
      <w:tr>
        <w:tc>
          <w:tcPr>
            <w:tcW w:type="dxa" w:w="2353"/>
          </w:tcPr>
          <w:p>
            <w:r>
              <w:t>销售履约</w:t>
            </w:r>
          </w:p>
        </w:tc>
        <w:tc>
          <w:tcPr>
            <w:tcW w:type="dxa" w:w="2353"/>
          </w:tcPr>
          <w:p>
            <w:r>
              <w:t>销售运营</w:t>
            </w:r>
          </w:p>
        </w:tc>
        <w:tc>
          <w:tcPr>
            <w:tcW w:type="dxa" w:w="2353"/>
          </w:tcPr>
          <w:p>
            <w:r>
              <w:t>销售订单部分取消不能取消已发运行；未发运行保留原定价版本和变更记录</w:t>
            </w:r>
          </w:p>
        </w:tc>
        <w:tc>
          <w:tcPr>
            <w:tcW w:type="dxa" w:w="2353"/>
          </w:tcPr>
          <w:p>
            <w:r>
              <w:t>人工办理事项接单后24小时；只读查询与自动事件采集不适用</w:t>
            </w:r>
          </w:p>
        </w:tc>
      </w:tr>
      <w:tr>
        <w:tc>
          <w:tcPr>
            <w:tcW w:type="dxa" w:w="2353"/>
          </w:tcPr>
          <w:p>
            <w:r>
              <w:t>售后服务</w:t>
            </w:r>
          </w:p>
        </w:tc>
        <w:tc>
          <w:tcPr>
            <w:tcW w:type="dxa" w:w="2353"/>
          </w:tcPr>
          <w:p>
            <w:r>
              <w:t>服务调度</w:t>
            </w:r>
          </w:p>
        </w:tc>
        <w:tc>
          <w:tcPr>
            <w:tcW w:type="dxa" w:w="2353"/>
          </w:tcPr>
          <w:p>
            <w:r>
              <w:t>同一设备同类问题七日内再次发生须关联原工单，不能覆盖原工单完工时间</w:t>
            </w:r>
          </w:p>
        </w:tc>
        <w:tc>
          <w:tcPr>
            <w:tcW w:type="dxa" w:w="2353"/>
          </w:tcPr>
          <w:p>
            <w:r>
              <w:t>人工办理事项接单后4小时；只读查询与自动事件采集不适用</w:t>
            </w:r>
          </w:p>
        </w:tc>
      </w:tr>
      <w:tr>
        <w:tc>
          <w:tcPr>
            <w:tcW w:type="dxa" w:w="2353"/>
          </w:tcPr>
          <w:p>
            <w:r>
              <w:t>设备维护</w:t>
            </w:r>
          </w:p>
        </w:tc>
        <w:tc>
          <w:tcPr>
            <w:tcW w:type="dxa" w:w="2353"/>
          </w:tcPr>
          <w:p>
            <w:r>
              <w:t>设备管理员</w:t>
            </w:r>
          </w:p>
        </w:tc>
        <w:tc>
          <w:tcPr>
            <w:tcW w:type="dxa" w:w="2353"/>
          </w:tcPr>
          <w:p>
            <w:r>
              <w:t>复机由操作方和维护方双人验收；维修登记人不得独自完成复机验收</w:t>
            </w:r>
          </w:p>
        </w:tc>
        <w:tc>
          <w:tcPr>
            <w:tcW w:type="dxa" w:w="2353"/>
          </w:tcPr>
          <w:p>
            <w:r>
              <w:t>人工办理事项接单后10小时；只读查询与自动事件采集不适用</w:t>
            </w:r>
          </w:p>
        </w:tc>
      </w:tr>
      <w:tr>
        <w:tc>
          <w:tcPr>
            <w:tcW w:type="dxa" w:w="2353"/>
          </w:tcPr>
          <w:p>
            <w:r>
              <w:t>项目交付</w:t>
            </w:r>
          </w:p>
        </w:tc>
        <w:tc>
          <w:tcPr>
            <w:tcW w:type="dxa" w:w="2353"/>
          </w:tcPr>
          <w:p>
            <w:r>
              <w:t>项目经理</w:t>
            </w:r>
          </w:p>
        </w:tc>
        <w:tc>
          <w:tcPr>
            <w:tcW w:type="dxa" w:w="2353"/>
          </w:tcPr>
          <w:p>
            <w:r>
              <w:t>范围变更批准前不得修改已确认里程碑；变更后保留原基线和新基线</w:t>
            </w:r>
          </w:p>
        </w:tc>
        <w:tc>
          <w:tcPr>
            <w:tcW w:type="dxa" w:w="2353"/>
          </w:tcPr>
          <w:p>
            <w:r>
              <w:t>人工办理事项接单后72小时；只读查询与自动事件采集不适用</w:t>
            </w:r>
          </w:p>
        </w:tc>
      </w:tr>
      <w:tr>
        <w:tc>
          <w:tcPr>
            <w:tcW w:type="dxa" w:w="2353"/>
          </w:tcPr>
          <w:p>
            <w:r>
              <w:t>结算对账</w:t>
            </w:r>
          </w:p>
        </w:tc>
        <w:tc>
          <w:tcPr>
            <w:tcW w:type="dxa" w:w="2353"/>
          </w:tcPr>
          <w:p>
            <w:r>
              <w:t>结算专员</w:t>
            </w:r>
          </w:p>
        </w:tc>
        <w:tc>
          <w:tcPr>
            <w:tcW w:type="dxa" w:w="2353"/>
          </w:tcPr>
          <w:p>
            <w:r>
              <w:t>所有金额按分保存；跨币种分别汇总，未提供汇率不得折算为同一币种</w:t>
            </w:r>
          </w:p>
        </w:tc>
        <w:tc>
          <w:tcPr>
            <w:tcW w:type="dxa" w:w="2353"/>
          </w:tcPr>
          <w:p>
            <w:r>
              <w:t>人工办理事项接单后48小时；只读查询与自动事件采集不适用</w:t>
            </w:r>
          </w:p>
        </w:tc>
      </w:tr>
      <w:tr>
        <w:tc>
          <w:tcPr>
            <w:tcW w:type="dxa" w:w="2353"/>
          </w:tcPr>
          <w:p>
            <w:r>
              <w:t>审计追踪</w:t>
            </w:r>
          </w:p>
        </w:tc>
        <w:tc>
          <w:tcPr>
            <w:tcW w:type="dxa" w:w="2353"/>
          </w:tcPr>
          <w:p>
            <w:r>
              <w:t>内部审计员</w:t>
            </w:r>
          </w:p>
        </w:tc>
        <w:tc>
          <w:tcPr>
            <w:tcW w:type="dxa" w:w="2353"/>
          </w:tcPr>
          <w:p>
            <w:r>
              <w:t>审计事件只追加；业务撤销不删除历史事件，审计员无一般业务审批或状态修改权限</w:t>
            </w:r>
          </w:p>
        </w:tc>
        <w:tc>
          <w:tcPr>
            <w:tcW w:type="dxa" w:w="2353"/>
          </w:tcPr>
          <w:p>
            <w:r>
              <w:t>人工办理事项接单后24小时；只读查询与自动事件采集不适用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Folio 合成测试资料 · 不对应真实企业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