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{{document_title}}</w:t>
      </w:r>
    </w:p>
    <w:p>
      <w:r>
        <w:t>合成验收文档 · 按模板填写</w:t>
      </w:r>
    </w:p>
    <w:p>
      <w:r>
        <w:br w:type="page"/>
      </w:r>
    </w:p>
    <w:p>
      <w:pPr>
        <w:pStyle w:val="Heading1"/>
      </w:pPr>
      <w:r>
        <w:t>项目背景与业务目标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旧项目示例（不得沿用）：北辰旧项目示例的预算是 987654321 元，审批人为“示例负责人”。这些只是历史示例，不能作为本项目事实。</w:t>
      </w:r>
    </w:p>
    <w:p>
      <w:pPr>
        <w:pStyle w:val="Heading1"/>
      </w:pPr>
      <w:r>
        <w:t>业务范围与系统边界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角色、权限与岗位分离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端到端流程与单据状态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填单、附件与资料校验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费用制度、日期与版本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金额、外币与借款计算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审批、复核与例外处理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付款登记、核对与审计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页面原型与交互需求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报表与非功能需求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验收场景与待确认事项</w:t>
      </w:r>
    </w:p>
    <w:p>
      <w:r>
        <w:t>填写说明：不得新增子章节或修改目录；用段落和表格展开本章内容。从业务资料研究本章主题；缺少依据的参数明确待确认。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9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仅供合成验收使用 · 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Folio 合成模板 · TV01 · 文档标准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Arial" w:hAnsi="Arial" w:eastAsia="仿宋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