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{{document_title}}</w:t>
      </w:r>
    </w:p>
    <w:p>
      <w:r>
        <w:t>合成验收文档 · 按模板填写</w:t>
      </w:r>
    </w:p>
    <w:p>
      <w:r>
        <w:br w:type="page"/>
      </w:r>
    </w:p>
    <w:p>
      <w:pPr>
        <w:pStyle w:val="Heading1"/>
      </w:pPr>
      <w:r>
        <w:t>引言、术语与适用版本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r>
        <w:t>旧项目示例（不得沿用）：北辰旧项目示例的预算是 987654322 元，审批人为“示例负责人”。这些只是历史示例，不能作为本项目事实。</w:t>
      </w:r>
    </w:p>
    <w:p>
      <w:pPr>
        <w:pStyle w:val="Heading1"/>
      </w:pPr>
      <w:r>
        <w:t>业务范围与角色权限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领域模型与四组状态机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商品快照、报价与优惠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下单与库存预占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支付窗口与并发竞争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r>
        <w:t>填写说明：下列两张同列名表必须分别保留。第一张整理支付回调与重复消息；第二张整理超时关闭与支付并发。各表独立填写至少一条资料支持的场景，不能合并。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</w:trPr>
        <w:tc>
          <w:tcPr>
            <w:tcW w:type="dxa" w:w="2282"/>
          </w:tcPr>
          <w:p>
            <w:r>
              <w:t>场景编号</w:t>
            </w:r>
          </w:p>
        </w:tc>
        <w:tc>
          <w:tcPr>
            <w:tcW w:type="dxa" w:w="2282"/>
          </w:tcPr>
          <w:p>
            <w:r>
              <w:t>触发条件</w:t>
            </w:r>
          </w:p>
        </w:tc>
        <w:tc>
          <w:tcPr>
            <w:tcW w:type="dxa" w:w="2282"/>
          </w:tcPr>
          <w:p>
            <w:r>
              <w:t>预期处理</w:t>
            </w:r>
          </w:p>
        </w:tc>
        <w:tc>
          <w:tcPr>
            <w:tcW w:type="dxa" w:w="2282"/>
          </w:tcPr>
          <w:p>
            <w:r>
              <w:t>验收依据</w:t>
            </w:r>
          </w:p>
        </w:tc>
      </w:tr>
      <w:tr>
        <w:tc>
          <w:tcPr>
            <w:tcW w:type="dxa" w:w="2282"/>
          </w:tcPr>
          <w:p/>
        </w:tc>
        <w:tc>
          <w:tcPr>
            <w:tcW w:type="dxa" w:w="2282"/>
          </w:tcPr>
          <w:p/>
        </w:tc>
        <w:tc>
          <w:tcPr>
            <w:tcW w:type="dxa" w:w="2282"/>
          </w:tcPr>
          <w:p/>
        </w:tc>
        <w:tc>
          <w:tcPr>
            <w:tcW w:type="dxa" w:w="2282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rPr>
          <w:tblHeader w:val="true"/>
        </w:trPr>
        <w:tc>
          <w:tcPr>
            <w:tcW w:type="dxa" w:w="2282"/>
          </w:tcPr>
          <w:p>
            <w:r>
              <w:t>场景编号</w:t>
            </w:r>
          </w:p>
        </w:tc>
        <w:tc>
          <w:tcPr>
            <w:tcW w:type="dxa" w:w="2282"/>
          </w:tcPr>
          <w:p>
            <w:r>
              <w:t>触发条件</w:t>
            </w:r>
          </w:p>
        </w:tc>
        <w:tc>
          <w:tcPr>
            <w:tcW w:type="dxa" w:w="2282"/>
          </w:tcPr>
          <w:p>
            <w:r>
              <w:t>预期处理</w:t>
            </w:r>
          </w:p>
        </w:tc>
        <w:tc>
          <w:tcPr>
            <w:tcW w:type="dxa" w:w="2282"/>
          </w:tcPr>
          <w:p>
            <w:r>
              <w:t>验收依据</w:t>
            </w:r>
          </w:p>
        </w:tc>
      </w:tr>
      <w:tr>
        <w:tc>
          <w:tcPr>
            <w:tcW w:type="dxa" w:w="2282"/>
          </w:tcPr>
          <w:p/>
        </w:tc>
        <w:tc>
          <w:tcPr>
            <w:tcW w:type="dxa" w:w="2282"/>
          </w:tcPr>
          <w:p/>
        </w:tc>
        <w:tc>
          <w:tcPr>
            <w:tcW w:type="dxa" w:w="2282"/>
          </w:tcPr>
          <w:p/>
        </w:tc>
        <w:tc>
          <w:tcPr>
            <w:tcW w:type="dxa" w:w="2282"/>
          </w:tcPr>
          <w:p/>
        </w:tc>
      </w:tr>
    </w:tbl>
    <w:p>
      <w:pPr>
        <w:pStyle w:val="Heading1"/>
      </w:pPr>
      <w:r>
        <w:t>取消、履约与门店自提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退款、退货与额度控制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接口与错误语义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数据模型与事件契约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补偿、对账与可观测性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页面交互与敏感数据权限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非功能与运行验收</w:t>
      </w:r>
    </w:p>
    <w:p>
      <w:r>
        <w:t>填写说明：不得新增子章节或修改目录；用段落和表格展开本章内容。从业务资料研究本章主题；缺少依据的参数明确待确认。</w:t>
      </w:r>
    </w:p>
    <w:p>
      <w:pPr>
        <w:pStyle w:val="Heading1"/>
      </w:pPr>
      <w:r>
        <w:t>验收矩阵、追溯与待确认</w:t>
      </w:r>
    </w:p>
    <w:p>
      <w:r>
        <w:t>填写说明：不得新增子章节或修改目录；用段落和表格展开本章内容。从业务资料研究本章主题；缺少依据的参数明确待确认。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191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仅供合成验收使用 · 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Folio 合成模板 · TV02 · 文档标准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60" w:lineRule="auto"/>
    </w:pPr>
    <w:rPr>
      <w:rFonts w:ascii="Arial" w:hAnsi="Arial" w:eastAsia="仿宋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