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{{document_title}}</w:t>
      </w:r>
    </w:p>
    <w:p>
      <w:r>
        <w:t>合成验收文档 · 按模板填写</w:t>
      </w:r>
    </w:p>
    <w:p>
      <w:r>
        <w:br w:type="page"/>
      </w:r>
    </w:p>
    <w:p>
      <w:pPr>
        <w:pStyle w:val="Heading1"/>
      </w:pPr>
      <w:r>
        <w:t>管理摘要与结论</w:t>
      </w:r>
    </w:p>
    <w:p>
      <w:r>
        <w:t>填写说明：不得新增子章节或修改目录；用段落和表格展开本章内容。从业务资料研究本章主题；缺少依据的参数明确待确认。</w:t>
      </w:r>
    </w:p>
    <w:p>
      <w:r>
        <w:t>旧项目示例（不得沿用）：北辰旧项目示例的预算是 987654325 元，审批人为“示例负责人”。这些只是历史示例，不能作为本项目事实。</w:t>
      </w:r>
    </w:p>
    <w:p>
      <w:pPr>
        <w:pStyle w:val="Heading1"/>
      </w:pPr>
      <w:r>
        <w:t>业务背景与数据范围</w:t>
      </w:r>
    </w:p>
    <w:p>
      <w:r>
        <w:t>填写说明：不得新增子章节或修改目录；用段落和表格展开本章内容。从业务资料研究本章主题；缺少依据的参数明确待确认。</w:t>
      </w:r>
    </w:p>
    <w:p>
      <w:pPr>
        <w:pStyle w:val="Heading1"/>
      </w:pPr>
      <w:r>
        <w:t>数据质量与纳入排除规则</w:t>
      </w:r>
    </w:p>
    <w:p>
      <w:r>
        <w:t>填写说明：不得新增子章节或修改目录；用段落和表格展开本章内容。从业务资料研究本章主题；缺少依据的参数明确待确认。</w:t>
      </w:r>
    </w:p>
    <w:p>
      <w:pPr>
        <w:pStyle w:val="Heading1"/>
      </w:pPr>
      <w:r>
        <w:t>销售规模与SKU构成</w:t>
      </w:r>
    </w:p>
    <w:p>
      <w:r>
        <w:t>填写说明：不得新增子章节或修改目录；用段落和表格展开本章内容。从业务资料研究本章主题；缺少依据的参数明确待确认。</w:t>
      </w:r>
    </w:p>
    <w:p>
      <w:pPr>
        <w:pStyle w:val="Heading1"/>
      </w:pPr>
      <w:r>
        <w:t>退款影响与异常订单</w:t>
      </w:r>
    </w:p>
    <w:p>
      <w:r>
        <w:t>填写说明：不得新增子章节或修改目录；用段落和表格展开本章内容。从业务资料研究本章主题；缺少依据的参数明确待确认。</w:t>
      </w:r>
    </w:p>
    <w:p>
      <w:pPr>
        <w:pStyle w:val="Heading1"/>
      </w:pPr>
      <w:r>
        <w:t>仓别经营表现</w:t>
      </w:r>
    </w:p>
    <w:p>
      <w:r>
        <w:t>填写说明：不得新增子章节或修改目录；用段落和表格展开本章内容。从业务资料研究本章主题；缺少依据的参数明确待确认。</w:t>
      </w:r>
    </w:p>
    <w:p>
      <w:pPr>
        <w:pStyle w:val="Heading1"/>
      </w:pPr>
      <w:r>
        <w:t>成本毛利与结构分析</w:t>
      </w:r>
    </w:p>
    <w:p>
      <w:r>
        <w:t>填写说明：不得新增子章节或修改目录；用段落和表格展开本章内容。从业务资料研究本章主题；缺少依据的参数明确待确认。</w:t>
      </w:r>
    </w:p>
    <w:p>
      <w:pPr>
        <w:pStyle w:val="Heading1"/>
      </w:pPr>
      <w:r>
        <w:t>期末库存与在途诊断</w:t>
      </w:r>
    </w:p>
    <w:p>
      <w:r>
        <w:t>填写说明：不得新增子章节或修改目录；用段落和表格展开本章内容。从业务资料研究本章主题；缺少依据的参数明确待确认。</w:t>
      </w:r>
    </w:p>
    <w:p>
      <w:pPr>
        <w:pStyle w:val="Heading1"/>
      </w:pPr>
      <w:r>
        <w:t>补货模型与计算过程</w:t>
      </w:r>
    </w:p>
    <w:p>
      <w:r>
        <w:t>填写说明：不得新增子章节或修改目录；用段落和表格展开本章内容。从业务资料研究本章主题；缺少依据的参数明确待确认。</w:t>
      </w:r>
    </w:p>
    <w:p>
      <w:pPr>
        <w:pStyle w:val="Heading1"/>
      </w:pPr>
      <w:r>
        <w:t>SKU补货建议与执行清单</w:t>
      </w:r>
    </w:p>
    <w:p>
      <w:r>
        <w:t>填写说明：不得新增子章节或修改目录；用段落和表格展开本章内容。从业务资料研究本章主题；缺少依据的参数明确待确认。</w:t>
      </w:r>
    </w:p>
    <w:p>
      <w:r>
        <w:t>填写说明：保留两行分组表头；按真实工作簿计算各 SKU 建议数量及依据，不得把空白样式行当成已完成的数据记录。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2"/>
        <w:gridCol w:w="2282"/>
        <w:gridCol w:w="2282"/>
        <w:gridCol w:w="2282"/>
      </w:tblGrid>
      <w:tr>
        <w:trPr>
          <w:tblHeader w:val="true"/>
        </w:trPr>
        <w:tc>
          <w:tcPr>
            <w:tcW w:type="dxa" w:w="4564"/>
            <w:gridSpan w:val="2"/>
          </w:tcPr>
          <w:p>
            <w:r>
              <w:t>商品资料</w:t>
            </w:r>
          </w:p>
        </w:tc>
        <w:tc>
          <w:tcPr>
            <w:tcW w:type="dxa" w:w="4564"/>
            <w:gridSpan w:val="2"/>
          </w:tcPr>
          <w:p>
            <w:r>
              <w:t>补货结论</w:t>
            </w:r>
          </w:p>
        </w:tc>
      </w:tr>
      <w:tr>
        <w:trPr>
          <w:tblHeader w:val="true"/>
        </w:trPr>
        <w:tc>
          <w:tcPr>
            <w:tcW w:type="dxa" w:w="2282"/>
          </w:tcPr>
          <w:p>
            <w:r>
              <w:t>SKU</w:t>
            </w:r>
          </w:p>
        </w:tc>
        <w:tc>
          <w:tcPr>
            <w:tcW w:type="dxa" w:w="2282"/>
          </w:tcPr>
          <w:p>
            <w:r>
              <w:t>计量单位</w:t>
            </w:r>
          </w:p>
        </w:tc>
        <w:tc>
          <w:tcPr>
            <w:tcW w:type="dxa" w:w="2282"/>
          </w:tcPr>
          <w:p>
            <w:r>
              <w:t>建议数量</w:t>
            </w:r>
          </w:p>
        </w:tc>
        <w:tc>
          <w:tcPr>
            <w:tcW w:type="dxa" w:w="2282"/>
          </w:tcPr>
          <w:p>
            <w:r>
              <w:t>计算依据</w:t>
            </w:r>
          </w:p>
        </w:tc>
      </w:tr>
      <w:tr>
        <w:tc>
          <w:tcPr>
            <w:tcW w:type="dxa" w:w="2282"/>
          </w:tcPr>
          <w:p/>
        </w:tc>
        <w:tc>
          <w:tcPr>
            <w:tcW w:type="dxa" w:w="2282"/>
          </w:tcPr>
          <w:p/>
        </w:tc>
        <w:tc>
          <w:tcPr>
            <w:tcW w:type="dxa" w:w="2282"/>
          </w:tcPr>
          <w:p/>
        </w:tc>
        <w:tc>
          <w:tcPr>
            <w:tcW w:type="dxa" w:w="2282"/>
          </w:tcPr>
          <w:p/>
        </w:tc>
      </w:tr>
    </w:tbl>
    <w:p>
      <w:pPr>
        <w:pStyle w:val="Heading1"/>
      </w:pPr>
      <w:r>
        <w:t>风险情景与数据缺口</w:t>
      </w:r>
    </w:p>
    <w:p>
      <w:r>
        <w:t>填写说明：不得新增子章节或修改目录；用段落和表格展开本章内容。从业务资料研究本章主题；缺少依据的参数明确待确认。</w:t>
      </w:r>
    </w:p>
    <w:p>
      <w:pPr>
        <w:pStyle w:val="Heading1"/>
      </w:pPr>
      <w:r>
        <w:t>计算复核附录与指标字典</w:t>
      </w:r>
    </w:p>
    <w:p>
      <w:r>
        <w:t>填写说明：不得新增子章节或修改目录；用段落和表格展开本章内容。从业务资料研究本章主题；缺少依据的参数明确待确认。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361" w:right="1191" w:bottom="124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仅供合成验收使用 · 第 </w:t>
    </w:r>
    <w:fldSimple w:instr="PAGE">
      <w:r>
        <w:t>1</w:t>
      </w:r>
    </w:fldSimple>
    <w: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Folio 合成模板 · TV05 · 文档标准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360" w:lineRule="auto"/>
    </w:pPr>
    <w:rPr>
      <w:rFonts w:ascii="Arial" w:hAnsi="Arial" w:eastAsia="仿宋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黑体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黑体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黑体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黑体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