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{{document_title}}</w:t>
      </w:r>
    </w:p>
    <w:p>
      <w:r>
        <w:t>合成验收文档 · 按模板填写</w:t>
      </w:r>
    </w:p>
    <w:p>
      <w:r>
        <w:br w:type="page"/>
      </w:r>
    </w:p>
    <w:p>
      <w:pPr>
        <w:pStyle w:val="Heading1"/>
      </w:pPr>
      <w:r>
        <w:t>手册范围、读者与使用方式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r>
        <w:t>旧项目示例（不得沿用）：北辰旧项目示例的预算是 987654326 元，审批人为“示例负责人”。这些只是历史示例，不能作为本项目事实。</w:t>
      </w:r>
    </w:p>
    <w:p>
      <w:pPr>
        <w:pStyle w:val="Heading1"/>
      </w:pPr>
      <w:r>
        <w:t>系统架构与依赖关系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角色权限、值守与交接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环境访问与只读诊断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日常巡检与记录模板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指标告警与通知升级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事件分级与处置流程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任务与导出故障排查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变更发布与回滚规程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数据库、备份与恢复验证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r>
        <w:t>填写说明：分别列出 RTO、RPO、恢复验证状态及其项目依据；未获批准的目标和值保留待确认，不能用旧项目示例或通用经验填成已批准政策。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</w:trPr>
        <w:tc>
          <w:tcPr>
            <w:tcW w:type="dxa" w:w="3043"/>
          </w:tcPr>
          <w:p>
            <w:r>
              <w:t>参数或验证事项</w:t>
            </w:r>
          </w:p>
        </w:tc>
        <w:tc>
          <w:tcPr>
            <w:tcW w:type="dxa" w:w="3043"/>
          </w:tcPr>
          <w:p>
            <w:r>
              <w:t>已确认值或待确认</w:t>
            </w:r>
          </w:p>
        </w:tc>
        <w:tc>
          <w:tcPr>
            <w:tcW w:type="dxa" w:w="3043"/>
          </w:tcPr>
          <w:p>
            <w:r>
              <w:t>依据与核实方式</w:t>
            </w:r>
          </w:p>
        </w:tc>
      </w:tr>
      <w:tr>
        <w:tc>
          <w:tcPr>
            <w:tcW w:type="dxa" w:w="3043"/>
          </w:tcPr>
          <w:p/>
        </w:tc>
        <w:tc>
          <w:tcPr>
            <w:tcW w:type="dxa" w:w="3043"/>
          </w:tcPr>
          <w:p/>
        </w:tc>
        <w:tc>
          <w:tcPr>
            <w:tcW w:type="dxa" w:w="3043"/>
          </w:tcPr>
          <w:p/>
        </w:tc>
      </w:tr>
    </w:tbl>
    <w:p>
      <w:pPr>
        <w:pStyle w:val="Heading1"/>
      </w:pPr>
      <w:r>
        <w:t>附件与对象存储一致性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容量管理与阈值制定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演练方案与新人实操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待决事项、证据追踪与维护</w:t>
      </w:r>
    </w:p>
    <w:p>
      <w:r>
        <w:t>填写说明：不得新增子章节或修改目录；用段落和表格展开本章内容。从业务资料研究本章主题；缺少依据的参数明确待确认。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191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仅供合成验收使用 · 第 </w:t>
    </w:r>
    <w:fldSimple w:instr="PAGE">
      <w:r>
        <w:t>1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Folio 合成模板 · TV06 · 文档标准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60" w:lineRule="auto"/>
    </w:pPr>
    <w:rPr>
      <w:rFonts w:ascii="Arial" w:hAnsi="Arial" w:eastAsia="仿宋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