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600"/>
        <w:jc w:val="center"/>
      </w:pPr>
      <w:r>
        <w:rPr>
          <w:rFonts w:ascii="微软雅黑" w:hAnsi="微软雅黑" w:eastAsia="微软雅黑"/>
          <w:b w:val="0"/>
          <w:i w:val="0"/>
          <w:color w:val="6E7368"/>
          <w:sz w:val="21"/>
        </w:rPr>
        <w:t>演示原型 · 商务报价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1D6B44"/>
          <w:sz w:val="44"/>
        </w:rPr>
        <w:t>湖南农家乐数字供应链与引流服务平台</w:t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color w:val="23291F"/>
          <w:sz w:val="32"/>
        </w:rPr>
        <w:t>功能清单与报价方案</w:t>
      </w:r>
    </w:p>
    <w:p>
      <w:pPr>
        <w:spacing w:after="40" w:before="0"/>
        <w:jc w:val="center"/>
      </w:pPr>
      <w:r>
        <w:rPr>
          <w:rFonts w:ascii="微软雅黑" w:hAnsi="微软雅黑" w:eastAsia="微软雅黑"/>
          <w:b/>
          <w:i w:val="0"/>
          <w:color w:val="6E7368"/>
          <w:sz w:val="23"/>
        </w:rPr>
        <w:t>大中台 ＋ 小前台 ＋ 联盟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i w:val="0"/>
          <w:color w:val="6E7368"/>
          <w:sz w:val="21"/>
        </w:rPr>
        <w:t>甄选好物供应链中台  ＋  N 个农家乐小程序  ＋  农家乐联盟推客平台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牵头单位</w:t>
            </w:r>
          </w:p>
        </w:tc>
        <w:tc>
          <w:tcPr>
            <w:tcW w:type="dxa" w:w="623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湖南省电子商务协会</w:t>
            </w:r>
          </w:p>
        </w:tc>
      </w:tr>
      <w:tr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项目名称</w:t>
            </w:r>
          </w:p>
        </w:tc>
        <w:tc>
          <w:tcPr>
            <w:tcW w:type="dxa" w:w="623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湖南农家乐数字供应链与引流服务平台</w:t>
            </w:r>
          </w:p>
        </w:tc>
      </w:tr>
      <w:tr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方案日期</w:t>
            </w:r>
          </w:p>
        </w:tc>
        <w:tc>
          <w:tcPr>
            <w:tcW w:type="dxa" w:w="623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2026 年 6 月 24 日</w:t>
            </w:r>
          </w:p>
        </w:tc>
      </w:tr>
      <w:tr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报价有效期</w:t>
            </w:r>
          </w:p>
        </w:tc>
        <w:tc>
          <w:tcPr>
            <w:tcW w:type="dxa" w:w="623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自方案出具之日起 30 日内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一、项目概述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本平台围绕农家乐经营主体，构建集供应链集采、线上经营、联盟引流、直播带货、履约售后与数据服务于一体的数字化平台，采用「大中台 ＋ 小前台 ＋ 联盟」模式建设，为农家乐引流、为农家乐降本、为农产品拓销、为乡村消费赋能。</w:t>
      </w:r>
    </w:p>
    <w:p>
      <w:pPr>
        <w:spacing w:after="80" w:before="0"/>
      </w:pPr>
      <w:r>
        <w:rPr>
          <w:rFonts w:ascii="微软雅黑" w:hAnsi="微软雅黑" w:eastAsia="微软雅黑"/>
          <w:b/>
          <w:i w:val="0"/>
          <w:sz w:val="21"/>
        </w:rPr>
        <w:t>平台由三大端组成：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①  甄选好物供应链中台（管理后台）——平台核心基础设施，统一管理供应商、商品库、价格体系、订单履约、售后结算、门店与佣金。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②  农家乐独立小程序（移动端）——每家农家乐独立部署的线上门店，承接门店经营、商城、会员、店长选品上架与进货补货。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③  农家乐联盟推客平台（移动端）——面向消费者、推客、主播的流量入口，基于位置推荐、锁粉归因、直播带货与佣金追踪。</w:t>
      </w:r>
    </w:p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二、功能清单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（一）甄选好物供应链中台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794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8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5669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数据看板与经营分析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平台 GMV / 订单 / 入驻商户 / 供应商实时 KPI；近 7 日交易与订单趋势；品类销售占比；热销商品 TOP 榜；待办事项中心；报表导出。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供应商管理与资质审核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供应商邀请入驻、资质核验、审核 / 驳回；供销社渠道资源接入；合作状态与品类筛选管理。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商品库与统一选品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统一商品库与 SKU 管理；中台甄选与农家乐自有商品审核；集采价 / 建议零售价维护；上下架；覆盖农产品、预制菜、食材调料、酒水饮料、文旅伴手礼、民宿用品等多品类。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多维价格体系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集采价、阶梯价（按采购量分档）、区域价、会员价等多维策略配置；阶梯价示例与生效管理，帮助农家乐降低采购成本。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订单履约与物流配送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订单统一接单与供应商自动分配；仓配发货、运单录入、物流轨迹；六段履约流程可视；批量发货；支持小程序 / 直播 / 进货等多来源订单。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售后服务与结算分账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售后工单（破损补寄 / 退货退款 / 质量理赔）；T+1 自动结算分账（含供应商货款）；售后率统计与批量结算。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农家乐门店统一管理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 个农家乐门店与小程序统一管理；门店入驻、选品上架、经营数据；门店 GMV 与运营状态。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（二）农家乐独立小程序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794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8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5669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门店首页与展示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门店形象、招牌土菜、特色包厢、特色服务、营销公告、一键电话联系。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预约预订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包厢预订、套餐预订；日期 / 场次 / 人数选择；到店提醒；预订记录管理。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特产商城与购物车下单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商品分类筛选；购物车支持改数量 / 删除；储值支付；订单生成与状态跟踪；中台供 / 本店商品标识。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会员储值与积分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会员卡与等级；储值充值（余额实时增减）、积分体系、会员专属价。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身份权限与店长工作台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顾客 / 店员 / 店长三级身份切换；按权限显示经营专区菜单（顾客不可见经营功能）。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中台选品加价上架（店长）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店长从供应链中台甄选商品，自定义本店零售价加价上架，毛利与毛利率实时测算，上架后顾客即可在商城购买，价差即门店利润。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进货端订单全流程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进货车（改量 / 删除）；进货单提交；订单生命周期（已提交→中台接单→仓配发货→配送中→待收货→已完成）；进度时间线；确认收货；再次进货；进货数据统计。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分销推广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分享门店 / 商品赚佣金、推广海报、私域裂变。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（三）农家乐联盟推客平台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794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8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5669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16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附近农家乐与 LBS 推荐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定位与城市切换；地图与门店分布；按距离 / 好评 / 人气 / 直播 / 可预订筛选；附近门店列表与一键进店（自动携带推客分享参数）。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17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榜单与乡村旅游线路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人气榜 / 好评榜 / 直播榜；乡村旅游线路推荐与报名。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直播带货与预约提醒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正在直播列表与观看人数；直播预告与开播预约；直播成交由中台统一承接履约。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19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推客中心与钱包提现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推客等级、佣金钱包、提现（多到账方式）；推广素材、我的粉丝、佣金明细、推客排行。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锁粉归因与佣金分享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分享链接锁粉、订单归因、佣金追踪；热推好物一键分享赚佣金。</w:t>
            </w:r>
          </w:p>
        </w:tc>
      </w:tr>
    </w:tbl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三、报价明细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sz w:val="21"/>
        </w:rPr>
        <w:t>本项目采用「基础开发费 ＋ 功能模块」方式报价，含一套标准样板店小程序。金额单位：人民币元。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3.1  基础开发费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含：需求梳理与原型确认、整体 UI / UX 设计、前端通用组件与交互框架、账号与多角色权限体系、数据库与接口基础架构、三端联调、测试与上线部署、项目管理。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费用项</w:t>
            </w:r>
          </w:p>
        </w:tc>
        <w:tc>
          <w:tcPr>
            <w:tcW w:type="dxa" w:w="4819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平台基础开发费</w:t>
            </w:r>
          </w:p>
        </w:tc>
        <w:tc>
          <w:tcPr>
            <w:tcW w:type="dxa" w:w="481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项目通用底座 · 一次性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50,000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3.2  供应链中台功能模块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6803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268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数据看板与经营分析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供应商管理与资质审核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商品库与统一选品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多维价格体系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订单履约与物流配送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售后服务与结算分账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农家乐门店统一管理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8,000</w:t>
            </w:r>
          </w:p>
        </w:tc>
      </w:tr>
      <w:tr>
        <w:tc>
          <w:tcPr>
            <w:tcW w:type="dxa" w:w="6803"/>
            <w:shd w:val="clear" w:color="auto" w:fill="e7f1ea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  <w:tc>
          <w:tcPr>
            <w:tcW w:type="dxa" w:w="2268"/>
            <w:shd w:val="clear" w:color="auto" w:fill="e7f1ea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/>
                <w:color w:val="1D6B44"/>
                <w:sz w:val="20"/>
              </w:rPr>
              <w:t>70,000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3.3  农家乐小程序功能模块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6803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268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门店首页与展示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预约预订（包厢 / 套餐）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特产商城与购物车下单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会员储值与积分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身份权限与店长工作台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中台选品加价上架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进货端订单全流程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5,000</w:t>
            </w:r>
          </w:p>
        </w:tc>
      </w:tr>
      <w:tr>
        <w:tc>
          <w:tcPr>
            <w:tcW w:type="dxa" w:w="6803"/>
            <w:shd w:val="clear" w:color="auto" w:fill="e7f1ea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  <w:tc>
          <w:tcPr>
            <w:tcW w:type="dxa" w:w="2268"/>
            <w:shd w:val="clear" w:color="auto" w:fill="e7f1ea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/>
                <w:color w:val="1D6B44"/>
                <w:sz w:val="20"/>
              </w:rPr>
              <w:t>50,000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3.4  联盟推客平台功能模块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6803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268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附近农家乐与 LBS 推荐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榜单与乡村旅游线路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直播带货与预约提醒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推客中心与钱包提现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锁粉归因与佣金分享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4,000</w:t>
            </w:r>
          </w:p>
        </w:tc>
      </w:tr>
      <w:tr>
        <w:tc>
          <w:tcPr>
            <w:tcW w:type="dxa" w:w="6803"/>
            <w:shd w:val="clear" w:color="auto" w:fill="e7f1ea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  <w:tc>
          <w:tcPr>
            <w:tcW w:type="dxa" w:w="2268"/>
            <w:shd w:val="clear" w:color="auto" w:fill="e7f1ea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/>
                <w:color w:val="1D6B44"/>
                <w:sz w:val="20"/>
              </w:rPr>
              <w:t>30,000</w:t>
            </w:r>
          </w:p>
        </w:tc>
      </w:tr>
    </w:tbl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四、项目总报价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6803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费用项</w:t>
            </w:r>
          </w:p>
        </w:tc>
        <w:tc>
          <w:tcPr>
            <w:tcW w:type="dxa" w:w="2268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基础开发费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供应链中台功能模块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70,000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农家乐小程序功能模块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联盟推客平台功能模块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30,000</w:t>
            </w:r>
          </w:p>
        </w:tc>
      </w:tr>
      <w:tr>
        <w:tc>
          <w:tcPr>
            <w:tcW w:type="dxa" w:w="6803"/>
            <w:shd w:val="clear" w:color="auto" w:fill="e7f1ea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项目总金额（一次性）</w:t>
            </w:r>
          </w:p>
        </w:tc>
        <w:tc>
          <w:tcPr>
            <w:tcW w:type="dxa" w:w="2268"/>
            <w:shd w:val="clear" w:color="auto" w:fill="e7f1ea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/>
                <w:color w:val="1D6B44"/>
                <w:sz w:val="20"/>
              </w:rPr>
              <w:t>200,000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i w:val="0"/>
          <w:color w:val="6E7368"/>
          <w:sz w:val="19"/>
        </w:rPr>
        <w:t>注：上述总金额 20 万元为平台一次性建设费用，含供应链中台、一套标准样板店农家乐小程序、联盟推客平台的开发与上线。</w:t>
      </w:r>
    </w:p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五、其他费用与长期服务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989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计费方式</w:t>
            </w:r>
          </w:p>
        </w:tc>
        <w:tc>
          <w:tcPr>
            <w:tcW w:type="dxa" w:w="170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 / 费率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农家乐独立小程序部署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每新增一家独立部署上线（含上架配置与基础培训）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15,000 元 / 家</w:t>
            </w:r>
          </w:p>
        </w:tc>
      </w:tr>
      <w:tr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平台技术服务费</w:t>
            </w:r>
          </w:p>
        </w:tc>
        <w:tc>
          <w:tcPr>
            <w:tcW w:type="dxa" w:w="498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按平台整体交易流水抽取</w:t>
            </w:r>
          </w:p>
        </w:tc>
        <w:tc>
          <w:tcPr>
            <w:tcW w:type="dxa" w:w="1701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千分之五（5‰）</w:t>
            </w:r>
          </w:p>
        </w:tc>
      </w:tr>
    </w:tbl>
    <w:p>
      <w:pPr>
        <w:spacing w:after="40" w:before="80"/>
      </w:pPr>
      <w:r>
        <w:rPr>
          <w:rFonts w:ascii="微软雅黑" w:hAnsi="微软雅黑" w:eastAsia="微软雅黑"/>
          <w:b/>
          <w:i w:val="0"/>
          <w:sz w:val="21"/>
        </w:rPr>
        <w:t>说明：</w:t>
      </w:r>
    </w:p>
    <w:p>
      <w:pPr>
        <w:spacing w:after="60" w:before="0"/>
      </w:pPr>
      <w:r>
        <w:rPr>
          <w:rFonts w:ascii="微软雅黑" w:hAnsi="微软雅黑" w:eastAsia="微软雅黑"/>
          <w:b w:val="0"/>
          <w:i w:val="0"/>
          <w:sz w:val="21"/>
        </w:rPr>
        <w:t>1. 总金额 20 万元含一套标准样板店小程序；此后每新增一家农家乐独立部署小程序，按 1.5 万元 / 家收取（可批量优惠，详见合同）。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i w:val="0"/>
          <w:sz w:val="21"/>
        </w:rPr>
        <w:t>2. 平台技术服务费按平台整体交易流水的千分之五（5‰）计提，随平台流水按结算周期收取，用于平台运维、迭代与技术保障。</w:t>
      </w:r>
    </w:p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六、付款方式与项目周期（建议，可协商）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572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1417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比例</w:t>
            </w:r>
          </w:p>
        </w:tc>
        <w:tc>
          <w:tcPr>
            <w:tcW w:type="dxa" w:w="2268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首付款</w:t>
            </w:r>
          </w:p>
        </w:tc>
        <w:tc>
          <w:tcPr>
            <w:tcW w:type="dxa" w:w="357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合同签订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60,000</w:t>
            </w:r>
          </w:p>
        </w:tc>
      </w:tr>
      <w:tr>
        <w:tc>
          <w:tcPr>
            <w:tcW w:type="dxa" w:w="1814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开发款</w:t>
            </w:r>
          </w:p>
        </w:tc>
        <w:tc>
          <w:tcPr>
            <w:tcW w:type="dxa" w:w="3572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开发完成 / 验收前</w:t>
            </w:r>
          </w:p>
        </w:tc>
        <w:tc>
          <w:tcPr>
            <w:tcW w:type="dxa" w:w="1417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100,000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尾款</w:t>
            </w:r>
          </w:p>
        </w:tc>
        <w:tc>
          <w:tcPr>
            <w:tcW w:type="dxa" w:w="357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验收上线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40,000</w:t>
            </w:r>
          </w:p>
        </w:tc>
      </w:tr>
    </w:tbl>
    <w:p>
      <w:pPr>
        <w:spacing w:after="120" w:before="80"/>
      </w:pPr>
      <w:r>
        <w:rPr>
          <w:rFonts w:ascii="微软雅黑" w:hAnsi="微软雅黑" w:eastAsia="微软雅黑"/>
          <w:b w:val="0"/>
          <w:i w:val="0"/>
          <w:sz w:val="21"/>
        </w:rPr>
        <w:t>项目周期：预计 8 ～ 10 周完成基础版本（含供应链中台、样板店小程序、联盟推客平台）开发与上线，具体以双方排期为准。</w:t>
      </w:r>
    </w:p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七、报价说明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1. 本报价为软件开发与上线服务费用，不含服务器 / 域名 / SSL 证书、短信、直播推流（CDN）、地图 LBS API、微信小程序认证与支付报备等第三方平台费用，该类费用按实际产生据实结算或由甲方自行承担提供。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2. 交付物含三端系统及源代码部署、操作说明，并提供上线后 1 年免费质保（缺陷修复）；质保范围外的新增功能与迭代另行评估报价。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3. 每新增一家农家乐独立部署小程序收取 1.5 万元 / 家；平台技术服务费按整体交易流水千分之五计提。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4. 本方案为基于演示原型的预估报价，最终功能范围与金额以双方签订的正式合同及需求确认书为准。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5. 本报价有效期为方案出具之日起 30 日内。</w:t>
      </w:r>
    </w:p>
    <w:p>
      <w:pPr>
        <w:spacing w:after="360" w:before="0"/>
      </w:pPr>
      <w:r>
        <w:rPr>
          <w:rFonts w:ascii="微软雅黑" w:hAnsi="微软雅黑" w:eastAsia="微软雅黑"/>
          <w:b w:val="0"/>
          <w:i w:val="0"/>
          <w:sz w:val="21"/>
        </w:rPr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 w:val="0"/>
          <w:i w:val="0"/>
          <w:color w:val="6E7368"/>
          <w:sz w:val="19"/>
        </w:rPr>
        <w:t>（以下空白，签署见正式合同）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color w:val="2329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