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微软雅黑" w:hAnsi="微软雅黑" w:eastAsia="微软雅黑"/>
          <w:b/>
          <w:i w:val="0"/>
          <w:color w:val="3F6E1F"/>
          <w:sz w:val="60"/>
        </w:rPr>
        <w:t>五零时光全链路建设方案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777873"/>
          <w:sz w:val="28"/>
        </w:rPr>
        <w:t>小程序、运营后台、后端与支付分账一体化实施计划</w:t>
      </w:r>
    </w:p>
    <w:p>
      <w:pPr>
        <w:spacing w:before="800"/>
        <w:jc w:val="center"/>
      </w:pPr>
      <w:r>
        <w:rPr>
          <w:rFonts w:ascii="微软雅黑" w:hAnsi="微软雅黑" w:eastAsia="微软雅黑"/>
          <w:b/>
          <w:i w:val="0"/>
          <w:color w:val="53882C"/>
          <w:sz w:val="24"/>
        </w:rPr>
        <w:t>P0 于 2026-09-30 完成，争取 2026-10-01 上线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721"/>
            <w:tcMar>
              <w:top w:w="110" w:type="dxa"/>
              <w:start w:w="130" w:type="dxa"/>
              <w:bottom w:w="110" w:type="dxa"/>
              <w:end w:w="130" w:type="dxa"/>
            </w:tcMar>
            <w:shd w:fill="E9F1D9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3F6E1F"/>
                <w:sz w:val="21"/>
              </w:rPr>
              <w:t>文档版本</w:t>
            </w:r>
          </w:p>
        </w:tc>
        <w:tc>
          <w:tcPr>
            <w:tcW w:type="dxa" w:w="464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21"/>
              </w:rPr>
              <w:t>V1.0</w:t>
            </w:r>
          </w:p>
        </w:tc>
      </w:tr>
      <w:tr>
        <w:tc>
          <w:tcPr>
            <w:tcW w:type="dxa" w:w="2721"/>
            <w:tcMar>
              <w:top w:w="110" w:type="dxa"/>
              <w:start w:w="130" w:type="dxa"/>
              <w:bottom w:w="110" w:type="dxa"/>
              <w:end w:w="130" w:type="dxa"/>
            </w:tcMar>
            <w:shd w:fill="E9F1D9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3F6E1F"/>
                <w:sz w:val="21"/>
              </w:rPr>
              <w:t>项目周期</w:t>
            </w:r>
          </w:p>
        </w:tc>
        <w:tc>
          <w:tcPr>
            <w:tcW w:type="dxa" w:w="464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21"/>
              </w:rPr>
              <w:t>2026-09-16 至 2026-10-16</w:t>
            </w:r>
          </w:p>
        </w:tc>
      </w:tr>
      <w:tr>
        <w:tc>
          <w:tcPr>
            <w:tcW w:type="dxa" w:w="2721"/>
            <w:tcMar>
              <w:top w:w="110" w:type="dxa"/>
              <w:start w:w="130" w:type="dxa"/>
              <w:bottom w:w="110" w:type="dxa"/>
              <w:end w:w="130" w:type="dxa"/>
            </w:tcMar>
            <w:shd w:fill="E9F1D9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3F6E1F"/>
                <w:sz w:val="21"/>
              </w:rPr>
              <w:t>P0 发布</w:t>
            </w:r>
          </w:p>
        </w:tc>
        <w:tc>
          <w:tcPr>
            <w:tcW w:type="dxa" w:w="464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21"/>
              </w:rPr>
              <w:t>2026-10-01</w:t>
            </w:r>
          </w:p>
        </w:tc>
      </w:tr>
      <w:tr>
        <w:tc>
          <w:tcPr>
            <w:tcW w:type="dxa" w:w="2721"/>
            <w:tcMar>
              <w:top w:w="110" w:type="dxa"/>
              <w:start w:w="130" w:type="dxa"/>
              <w:bottom w:w="110" w:type="dxa"/>
              <w:end w:w="130" w:type="dxa"/>
            </w:tcMar>
            <w:shd w:fill="E9F1D9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3F6E1F"/>
                <w:sz w:val="21"/>
              </w:rPr>
              <w:t>文档状态</w:t>
            </w:r>
          </w:p>
        </w:tc>
        <w:tc>
          <w:tcPr>
            <w:tcW w:type="dxa" w:w="464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21"/>
              </w:rPr>
              <w:t>已确认，可执行</w:t>
            </w:r>
          </w:p>
        </w:tc>
      </w:tr>
      <w:tr>
        <w:tc>
          <w:tcPr>
            <w:tcW w:type="dxa" w:w="2721"/>
            <w:tcMar>
              <w:top w:w="110" w:type="dxa"/>
              <w:start w:w="130" w:type="dxa"/>
              <w:bottom w:w="110" w:type="dxa"/>
              <w:end w:w="130" w:type="dxa"/>
            </w:tcMar>
            <w:shd w:fill="E9F1D9"/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3F6E1F"/>
                <w:sz w:val="21"/>
              </w:rPr>
              <w:t>生成日期</w:t>
            </w:r>
          </w:p>
        </w:tc>
        <w:tc>
          <w:tcPr>
            <w:tcW w:type="dxa" w:w="464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21"/>
              </w:rPr>
              <w:t>2026-09-17</w:t>
            </w:r>
          </w:p>
        </w:tc>
      </w:tr>
    </w:tbl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141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修订说明</w:t>
            </w:r>
          </w:p>
        </w:tc>
        <w:tc>
          <w:tcPr>
            <w:tcW w:type="dxa" w:w="124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V1.0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2026-09-17</w:t>
            </w:r>
          </w:p>
        </w:tc>
        <w:tc>
          <w:tcPr>
            <w:tcW w:type="dxa" w:w="59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形成全链路实施方案；补充 10 月 1 日至 7 日逐日任务；将角色切换纳入 P0；提现、优惠券、储值充值、评论后置至 P2。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jc w:val="left"/>
      </w:pPr>
      <w:r>
        <w:rPr>
          <w:rFonts w:ascii="宋体" w:hAnsi="宋体" w:eastAsia="宋体"/>
          <w:b w:val="0"/>
          <w:i w:val="0"/>
          <w:color w:val="2F302D"/>
          <w:sz w:val="21"/>
        </w:rP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rPr>
          <w:rFonts w:ascii="宋体" w:hAnsi="宋体" w:eastAsia="宋体"/>
          <w:b w:val="0"/>
          <w:i w:val="0"/>
          <w:color w:val="2F302D"/>
          <w:sz w:val="21"/>
        </w:rPr>
        <w:t>本方案覆盖五零时光微信小程序、运营财务后台、Java Spring Boot 后端、三方支付分账适配、门店核销、五方收益台账以及门店、渠道、投资人、供应商角色工作台。目标是在一个月内完成从核心交易上线到经营角色扩展的完整建设。</w:t>
      </w:r>
    </w:p>
    <w:p>
      <w:pPr>
        <w:pStyle w:val="Heading2"/>
      </w:pPr>
      <w:r>
        <w:t>1.1 总体目标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color w:val="2F302D"/>
          <w:sz w:val="21"/>
        </w:rPr>
        <w:t>消费者闭环：</w:t>
      </w:r>
      <w:r>
        <w:rPr>
          <w:rFonts w:ascii="宋体" w:hAnsi="宋体" w:eastAsia="宋体"/>
          <w:b w:val="0"/>
          <w:i w:val="0"/>
          <w:color w:val="2F302D"/>
          <w:sz w:val="21"/>
        </w:rPr>
        <w:t>微信登录、选店、点单、下单、支付、核销、订单查询和订单详情。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color w:val="2F302D"/>
          <w:sz w:val="21"/>
        </w:rPr>
        <w:t>经营角色闭环：</w:t>
      </w:r>
      <w:r>
        <w:rPr>
          <w:rFonts w:ascii="宋体" w:hAnsi="宋体" w:eastAsia="宋体"/>
          <w:b w:val="0"/>
          <w:i w:val="0"/>
          <w:color w:val="2F302D"/>
          <w:sz w:val="21"/>
        </w:rPr>
        <w:t>同一微信账号可绑定多个角色，在消费者端与门店、渠道、投资人、供应商独立工作台之间切换。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color w:val="2F302D"/>
          <w:sz w:val="21"/>
        </w:rPr>
        <w:t>资金闭环：</w:t>
      </w:r>
      <w:r>
        <w:rPr>
          <w:rFonts w:ascii="宋体" w:hAnsi="宋体" w:eastAsia="宋体"/>
          <w:b w:val="0"/>
          <w:i w:val="0"/>
          <w:color w:val="2F302D"/>
          <w:sz w:val="21"/>
        </w:rPr>
        <w:t>平台、供应商、门店、渠道、投资人五方生成不可变分账快照，形成待结算、可结算和已结算台账。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color w:val="2F302D"/>
          <w:sz w:val="21"/>
        </w:rPr>
        <w:t>后台闭环：</w:t>
      </w:r>
      <w:r>
        <w:rPr>
          <w:rFonts w:ascii="宋体" w:hAnsi="宋体" w:eastAsia="宋体"/>
          <w:b w:val="0"/>
          <w:i w:val="0"/>
          <w:color w:val="2F302D"/>
          <w:sz w:val="21"/>
        </w:rPr>
        <w:t>主体、授权、商品、订单、支付、退款、核销、分账规则、台账、对账和审计统一管理。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color w:val="2F302D"/>
          <w:sz w:val="21"/>
        </w:rPr>
        <w:t>交付闭环：</w:t>
      </w:r>
      <w:r>
        <w:rPr>
          <w:rFonts w:ascii="宋体" w:hAnsi="宋体" w:eastAsia="宋体"/>
          <w:b w:val="0"/>
          <w:i w:val="0"/>
          <w:color w:val="2F302D"/>
          <w:sz w:val="21"/>
        </w:rPr>
        <w:t>10 月 1 日核心交易灰度上线，10 月 1 日至 7 日持续保障并推进角色工作台，10 月 16 日完成整体验收。</w:t>
      </w:r>
    </w:p>
    <w:p>
      <w:pPr>
        <w:pStyle w:val="Heading2"/>
      </w:pPr>
      <w:r>
        <w:t>1.2 总体时间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41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181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4309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核心目标</w:t>
            </w:r>
          </w:p>
        </w:tc>
        <w:tc>
          <w:tcPr>
            <w:tcW w:type="dxa" w:w="2835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阶段出口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09-16 至 09-30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核心交易、支付、核销、五方分账、角色切换和基础后台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具备 10 月 1 日灰度上线条件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上线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10-01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生产发布、全链路冒烟、发布值守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P0 主链路在灰度门店可用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上线保障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10-02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首日监控、问题修复、账务对账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首日账务对平，无阻塞问题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P1 第一批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10-03 至 10-07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四类角色工作台及其真实数据查询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角色工作台闭环过半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P1 完成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10-08 至 10-12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深度统计、账单、余额、对账和权限验收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P1 全部通过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10-13 至 10-16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提现、优惠券、储值充值、评论及增强功能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按开关状态完成整体验收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298"/>
            <w:shd w:fill="E9F1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3F6E1F"/>
                <w:sz w:val="21"/>
              </w:rPr>
              <w:t>时间口径：</w:t>
            </w:r>
            <w:r>
              <w:rPr>
                <w:rFonts w:ascii="宋体" w:hAnsi="宋体" w:eastAsia="宋体"/>
                <w:b w:val="0"/>
                <w:i w:val="0"/>
                <w:color w:val="2F302D"/>
                <w:sz w:val="21"/>
              </w:rPr>
              <w:t>总周期为 2026-09-16 至 2026-10-16；表中工期表示开发、联调和自测所需自然日，可以并行推进，不按人数或人日统计。10 月 1 日至 7 日已经纳入排期。</w:t>
            </w:r>
          </w:p>
        </w:tc>
      </w:tr>
    </w:tbl>
    <w:p>
      <w:pPr>
        <w:spacing w:after="0"/>
      </w:pPr>
    </w:p>
    <w:p>
      <w:pPr>
        <w:pStyle w:val="Heading2"/>
      </w:pPr>
      <w:r>
        <w:t>1.3 优先级结论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P0 必须保证真实交易、支付、核销、五方分账、角色切换和资金台账可用。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角色切换纳入 P0；四类角色深度经营功能从 10 月 3 日起持续完善。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提现、优惠券、储值充值和评论后置至 P2，不影响 10 月 1 日上线。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若 P2 发生资源冲突，顺延顺序为提现、优惠券、储值充值、评论、其他增强功能。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三方主体开户、签约和生产资质不计入代码功能工期；代码层使用统一适配器和 Mock 完成验收。</w:t>
      </w:r>
    </w:p>
    <w:p>
      <w:pPr>
        <w:pStyle w:val="Heading1"/>
      </w:pPr>
      <w:r>
        <w:t>二、现状与目标架构</w:t>
      </w:r>
    </w:p>
    <w:p>
      <w:pPr>
        <w:pStyle w:val="Heading2"/>
      </w:pPr>
      <w:r>
        <w:t>2.1 当前现状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小程序已有 19 个页面、5 个 Tab，具备首页、点单、会员、订单、我的、储值、优惠券、礼品卡、积分等 UI 与 Mock 数据。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当前小程序素材、门店选店、菜单规格等基础校验通过，但尚未接入真实 API、支付和后端业务。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当前管理端为 SoybeanAdmin/Vue3 脚手架，仅保留登录和示例首页，没有业务模块。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仓库没有独立业务后端、支付商户模型、分账规则、核销流水、提现和对账数据模型。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当前未提交的 UI、图片和选店相关改动必须保留，实施不得覆盖无关改动。</w:t>
      </w:r>
    </w:p>
    <w:p>
      <w:pPr>
        <w:pStyle w:val="Heading2"/>
      </w:pPr>
      <w:r>
        <w:t>2.2 目标工程结构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工程</w:t>
            </w:r>
          </w:p>
        </w:tc>
        <w:tc>
          <w:tcPr>
            <w:tcW w:type="dxa" w:w="4649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3969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技术方向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user-h5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消费者端、角色中心、四类角色工作台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微信小程序、Skyline、现有设计系统、Lucide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src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运营财务后台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Vue3、TypeScript、Naive UI、SoybeanAdmin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server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业务后端、支付分账适配、定时任务、对账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Spring Boot 3、MySQL 8、Redis、RabbitMQ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部署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生产环境和发布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Linux、Docker Compose、Nginx、HTTPS、云服务器</w:t>
            </w:r>
          </w:p>
        </w:tc>
      </w:tr>
    </w:tbl>
    <w:p>
      <w:pPr>
        <w:spacing w:after="0"/>
      </w:pPr>
    </w:p>
    <w:p>
      <w:pPr>
        <w:pStyle w:val="Heading2"/>
      </w:pPr>
      <w:r>
        <w:t>2.3 端到端核心流程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298"/>
            <w:shd w:fill="E9F1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3F6E1F"/>
                <w:sz w:val="21"/>
              </w:rPr>
              <w:t>消费者主链路：</w:t>
            </w:r>
            <w:r>
              <w:rPr>
                <w:rFonts w:ascii="宋体" w:hAnsi="宋体" w:eastAsia="宋体"/>
                <w:b w:val="0"/>
                <w:i w:val="0"/>
                <w:color w:val="2F302D"/>
                <w:sz w:val="21"/>
              </w:rPr>
              <w:t>微信登录 → 选择门店 → 点单 → 购物车 → 提交订单 → 三方支付 → 支付回调 → 门店核销 → 五方分账快照 → T+1 可结算台账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298"/>
            <w:shd w:fill="F7F7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2F302D"/>
                <w:sz w:val="21"/>
              </w:rPr>
              <w:t>角色主链路：</w:t>
            </w:r>
            <w:r>
              <w:rPr>
                <w:rFonts w:ascii="宋体" w:hAnsi="宋体" w:eastAsia="宋体"/>
                <w:b w:val="0"/>
                <w:i w:val="0"/>
                <w:color w:val="2F302D"/>
                <w:sz w:val="21"/>
              </w:rPr>
              <w:t>我的 → 角色中心 → 查看授权角色 → 切换角色 → 独立工作台 → 查询业务/资金数据 → 返回消费者端或切换其他角色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298"/>
            <w:shd w:fill="F7F7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2F302D"/>
                <w:sz w:val="21"/>
              </w:rPr>
              <w:t>后台主链路：</w:t>
            </w:r>
            <w:r>
              <w:rPr>
                <w:rFonts w:ascii="宋体" w:hAnsi="宋体" w:eastAsia="宋体"/>
                <w:b w:val="0"/>
                <w:i w:val="0"/>
                <w:color w:val="2F302D"/>
                <w:sz w:val="21"/>
              </w:rPr>
              <w:t>主体建档 → 角色授权 → 商品与分账规则 → 订单与支付 → 整单退款 → 核销 → 分账执行 → 台账与对账 → 审计存证</w:t>
            </w:r>
          </w:p>
        </w:tc>
      </w:tr>
    </w:tbl>
    <w:p>
      <w:pPr>
        <w:spacing w:after="0"/>
      </w:pPr>
    </w:p>
    <w:p>
      <w:pPr>
        <w:pStyle w:val="Heading1"/>
      </w:pPr>
      <w:r>
        <w:t>三、P0 功能与工期</w:t>
      </w:r>
    </w:p>
    <w:p>
      <w:r>
        <w:rPr>
          <w:rFonts w:ascii="宋体" w:hAnsi="宋体" w:eastAsia="宋体"/>
          <w:b w:val="0"/>
          <w:i w:val="0"/>
          <w:color w:val="2F302D"/>
          <w:sz w:val="21"/>
        </w:rPr>
        <w:t>P0 计划窗口为 2026-09-16 至 2026-09-30，核心目标是 2026-10-01 灰度上线。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4989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功能点</w:t>
            </w:r>
          </w:p>
        </w:tc>
        <w:tc>
          <w:tcPr>
            <w:tcW w:type="dxa" w:w="113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工期</w:t>
            </w:r>
          </w:p>
        </w:tc>
        <w:tc>
          <w:tcPr>
            <w:tcW w:type="dxa" w:w="4195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后端工程、数据库、Redis、任务和部署基础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2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服务、数据库、日志、健康检查和测试框架可运行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微信登录、用户、会话和手机号绑定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2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微信身份建立唯一系统用户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平台、供应商、门店、渠道、投资人主体及关联关系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五类主体和业务关系可维护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后台 RBAC、角色授权、数据范围和微信账号绑定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后台可绑定角色，权限由后端校验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i w:val="0"/>
                <w:color w:val="3F6E1F"/>
                <w:sz w:val="17"/>
              </w:rPr>
              <w:t>角色中心、角色列表、角色切换和独立工作台框架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用户可在消费者与四类角色工作台间切换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i w:val="0"/>
                <w:color w:val="3F6E1F"/>
                <w:sz w:val="17"/>
              </w:rPr>
              <w:t>角色会话、数据隔离和越权防护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2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未授权角色、跨主体和路由篡改均被拒绝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真实门店、定位、营业状态、菜单和商品规格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小程序使用真实门店、菜单和价格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购物车、门店隔离、规格编辑和金额试算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切换门店隔离购物车，试算金额正确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确认订单、提交订单、订单状态机和取餐码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下单锁定商品、门店和分账快照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支付下单、支付查询和状态处理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前端不直接修改订单支付状态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支付回调、验签、幂等和整单退款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重复回调不重复入账，未结算订单可退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订单取餐核销及通用核销框架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订单可扫码、输码核销，重复核销被拒绝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全局及商品分账规则、五方快照和金额拆分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五方比例合计 100%，金额可追溯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待结算、可结算、冻结和已结算台账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核销后 T+1 正确转可结算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三方支付、退款、分账适配层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支持 Mock 和真实厂商适配器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小程序 P0 接口接入和角色页面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4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点单、订单、核销、角色中心可用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运营后台 P0 页面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4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主体、授权、商品、订单、分账和台账可管理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全链路、权限、并发、幂等和异常测试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P0 验收用例全部通过</w:t>
            </w:r>
          </w:p>
        </w:tc>
      </w:tr>
      <w:t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生产配置、灰度、监控和回滚准备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2 天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 月 1 日具备发布条件</w:t>
            </w:r>
          </w:p>
        </w:tc>
      </w:tr>
    </w:tbl>
    <w:p>
      <w:pPr>
        <w:spacing w:after="0"/>
      </w:pPr>
    </w:p>
    <w:p>
      <w:pPr>
        <w:pStyle w:val="Heading2"/>
      </w:pPr>
      <w:r>
        <w:t>3.1 10 月 1 日 P0 验收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微信登录、选店、点单、下单、支付、订单查询和取餐核销可用。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角色中心可展示授权角色，角色切换和返回消费者端正常。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门店、渠道、投资人、供应商工作台基础框架可进入，数据相互隔离。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每个订单生成五方分账快照，金额总和等于实付金额。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支付回调、整单退款、核销和分账具备幂等及审计能力。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核销后 T+1 正确进入可结算余额。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优惠券、储值充值、提现和评论不进入 P0 验收。</w:t>
      </w:r>
    </w:p>
    <w:p>
      <w:pPr>
        <w:pStyle w:val="Heading1"/>
      </w:pPr>
      <w:r>
        <w:t>四、10 月 1 日至 7 日逐日任务</w:t>
      </w:r>
    </w:p>
    <w:p>
      <w:r>
        <w:rPr>
          <w:rFonts w:ascii="宋体" w:hAnsi="宋体" w:eastAsia="宋体"/>
          <w:b w:val="0"/>
          <w:i w:val="0"/>
          <w:color w:val="2F302D"/>
          <w:sz w:val="21"/>
        </w:rPr>
        <w:t>本节补充国庆期间任务，节假日不再空白。任务按照“先保障 P0 线上稳定，再推进 P1 第一批”执行。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4762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任务</w:t>
            </w:r>
          </w:p>
        </w:tc>
        <w:tc>
          <w:tcPr>
            <w:tcW w:type="dxa" w:w="1020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工期</w:t>
            </w:r>
          </w:p>
        </w:tc>
        <w:tc>
          <w:tcPr>
            <w:tcW w:type="dxa" w:w="3402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完成标准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10-01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生产发布、支付/核销/分账冒烟、角色切换验证、发布值守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P0 主链路在灰度门店可用，发现 P0 问题立即处理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10-02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首日监控、线上问题修复、订单/支付/核销/分账日对账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首日账务对平，无阻塞级问题遗留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10-03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角色工作台后端接口：门店概览、渠道归因、投资人、供应商基础查询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四类工作台接口返回真实授权数据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10-04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门店工作台页面、订单查询、核销记录、渠道扫码永久绑定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门店可查核销与收入，渠道首次扫码完成永久绑定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10-05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渠道工作台、投资人门店绑定、投资人收益明细和工作台页面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渠道可查归因订单，投资人可查绑定门店收益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10-06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供应商商品映射、销售明细、角色余额和资金流水展示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供应商可查销售和分账收入，各角色可查余额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10-07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人工归属审批、基础对账、权限回归和 P1 中检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P1 功能闭环过半，跨主体访问全部被拒绝</w:t>
            </w:r>
          </w:p>
        </w:tc>
      </w:tr>
    </w:tbl>
    <w:p>
      <w:pPr>
        <w:spacing w:after="0"/>
      </w:pPr>
    </w:p>
    <w:p>
      <w:pPr>
        <w:pStyle w:val="Heading2"/>
      </w:pPr>
      <w:r>
        <w:t>4.1 发布和保障原则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10 月 1 日只对指定灰度门店开放，支付、核销和分账必须逐笔核对。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10 月 2 日出现阻塞问题时优先回滚或关闭对应入口，不允许带问题扩大范围。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10 月 3 日至 7 日新增角色功能不得修改已上线订单和资金核心规则。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每日形成上线日志、异常清单、修复状态和次日前置条件。</w:t>
      </w:r>
    </w:p>
    <w:p>
      <w:pPr>
        <w:pStyle w:val="Heading1"/>
      </w:pPr>
      <w:r>
        <w:t>五、P1 角色工作台与经营能力</w:t>
      </w:r>
    </w:p>
    <w:p>
      <w:pPr>
        <w:pStyle w:val="Heading2"/>
      </w:pPr>
      <w:r>
        <w:t>5.1 P1 第一批：10 月 3 日至 10 月 7 日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门店工作台：经营概览、订单、核销记录和收入明细。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渠道工作台：扫码永久绑定、渠道用户、归因订单和佣金展示。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投资人工作台：绑定门店、经营数据、投资收益和账单。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供应商工作台：商品映射、销售明细和分账收入。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所有工作台只展示真实授权数据，后端按用户、角色、主体和数据范围校验。</w:t>
      </w:r>
    </w:p>
    <w:p>
      <w:pPr>
        <w:pStyle w:val="Heading2"/>
      </w:pPr>
      <w:r>
        <w:t>5.2 P1 完成：10 月 8 日至 10 月 12 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4762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任务</w:t>
            </w:r>
          </w:p>
        </w:tc>
        <w:tc>
          <w:tcPr>
            <w:tcW w:type="dxa" w:w="1020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工期</w:t>
            </w:r>
          </w:p>
        </w:tc>
        <w:tc>
          <w:tcPr>
            <w:tcW w:type="dxa" w:w="3402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完成标准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10-08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门店、渠道经营统计和账单明细完善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角色侧和后台数据一致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10-09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投资人、供应商经营统计和账单明细完善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投资回报和供应商收入可追溯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10-10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四类角色资金余额、冻结和流水增强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仅展示资金，不开放提现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10-11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支付、订单、分账、核销自动对账及异常池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可发现金额差异和状态不一致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10-12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P1 权限、数据隔离、审计、报表和整体验收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 天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P1 全部功能通过验收</w:t>
            </w:r>
          </w:p>
        </w:tc>
      </w:tr>
    </w:tbl>
    <w:p>
      <w:pPr>
        <w:spacing w:after="0"/>
      </w:pPr>
    </w:p>
    <w:p>
      <w:pPr>
        <w:pStyle w:val="Heading1"/>
      </w:pPr>
      <w:r>
        <w:t>六、P2 后置功能</w:t>
      </w:r>
    </w:p>
    <w:p>
      <w:r>
        <w:rPr>
          <w:rFonts w:ascii="宋体" w:hAnsi="宋体" w:eastAsia="宋体"/>
          <w:b w:val="0"/>
          <w:i w:val="0"/>
          <w:color w:val="2F302D"/>
          <w:sz w:val="21"/>
        </w:rPr>
        <w:t>这些功能不影响 10 月 1 日上线，安排在 10 月 13 日至 16 日；出现资源冲突时继续后移。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5102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功能点</w:t>
            </w:r>
          </w:p>
        </w:tc>
        <w:tc>
          <w:tcPr>
            <w:tcW w:type="dxa" w:w="113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工期</w:t>
            </w:r>
          </w:p>
        </w:tc>
        <w:tc>
          <w:tcPr>
            <w:tcW w:type="dxa" w:w="4082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提现申请、审核、出款、回调和失败解冻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5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完整提现闭环，排在 P0/P1 之后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优惠券活动、领取、锁券和随单核销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4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后台配置和订单优惠计算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储值套餐、充值支付、余额消费和核销结算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4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充值确认预收，核销消费时参与分账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礼品卡购买、领取、消费和核销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共用预收及消费核销模型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用户评论、评分和评价状态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2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不影响订单和分账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优惠券订阅、批量赠送和赠送记录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优惠券基础闭环后开发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开票申请和线下处理状态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2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不接税务系统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收货地址、客服和会员权益扩展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不影响主交易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活动报名、加盟合作和协议管理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2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后台可配置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供应商供货单、发货和收货记录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基础供货流程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渠道、投资人和供应商趋势报表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基于已有台账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监控告警、任务补偿、备份和恢复演练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稳定性增强</w:t>
            </w:r>
          </w:p>
        </w:tc>
      </w:tr>
      <w:t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全量回归、兼容性、性能测试和最终验收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3 天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 月 16 日整体验收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298"/>
            <w:shd w:fill="FFF4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2F302D"/>
                <w:sz w:val="21"/>
              </w:rPr>
              <w:t>P2 顺延顺序：</w:t>
            </w:r>
            <w:r>
              <w:rPr>
                <w:rFonts w:ascii="宋体" w:hAnsi="宋体" w:eastAsia="宋体"/>
                <w:b w:val="0"/>
                <w:i w:val="0"/>
                <w:color w:val="2F302D"/>
                <w:sz w:val="21"/>
              </w:rPr>
              <w:t>提现 → 优惠券 → 储值充值 → 评论 → 其他增强功能。P2 不得阻塞 P0/P1 的验收和线上稳定性。</w:t>
            </w:r>
          </w:p>
        </w:tc>
      </w:tr>
    </w:tbl>
    <w:p>
      <w:pPr>
        <w:spacing w:after="0"/>
      </w:pPr>
    </w:p>
    <w:p>
      <w:pPr>
        <w:pStyle w:val="Heading1"/>
      </w:pPr>
      <w:r>
        <w:t>七、角色设计与权限规则</w:t>
      </w:r>
    </w:p>
    <w:p>
      <w:pPr>
        <w:pStyle w:val="Heading2"/>
      </w:pPr>
      <w:r>
        <w:t>7.1 角色定义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业务身份</w:t>
            </w:r>
          </w:p>
        </w:tc>
        <w:tc>
          <w:tcPr>
            <w:tcW w:type="dxa" w:w="6123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核心工作台内容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消费者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普通微信用户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首页、点单、订单、会员、我的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门店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直营/加盟门店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经营概览、订单、四类核销、收入、余额、提现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渠道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推广渠道/合作方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渠道码、永久绑定用户、归因订单、佣金、余额、提现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投资人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门店投资方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投资门店、经营数据、投资分成、账单、余额、提现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供应商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商品供应方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关联商品、供货/销售明细、分账收入、余额、提现</w:t>
            </w:r>
          </w:p>
        </w:tc>
      </w:tr>
    </w:tbl>
    <w:p>
      <w:pPr>
        <w:spacing w:after="0"/>
      </w:pPr>
    </w:p>
    <w:p>
      <w:pPr>
        <w:pStyle w:val="Heading2"/>
      </w:pPr>
      <w:r>
        <w:t>7.2 角色切换 P0 规则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在消费者端“我的”增加角色中心。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角色中心只展示后台已授权的门店、渠道、投资人、供应商角色。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同一微信用户可绑定多个角色或多个主体。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切换角色后进入独立工作台，可返回消费者端或切换其他角色。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后端按“用户 + 角色 + 主体 + 数据范围”进行权限校验。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前端路由、页面参数和本地缓存不能作为权限依据。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管理员解除授权后，旧角色会话立即失效。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10 月 1 日验收角色切换和基础工作台框架，深度经营功能在 10 月 3 日至 12 日完成。</w:t>
      </w:r>
    </w:p>
    <w:p>
      <w:pPr>
        <w:pStyle w:val="Heading2"/>
      </w:pPr>
      <w:r>
        <w:t>7.3 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58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type="dxa" w:w="1361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消费者</w:t>
            </w:r>
          </w:p>
        </w:tc>
        <w:tc>
          <w:tcPr>
            <w:tcW w:type="dxa" w:w="141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门店</w:t>
            </w:r>
          </w:p>
        </w:tc>
        <w:tc>
          <w:tcPr>
            <w:tcW w:type="dxa" w:w="141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渠道</w:t>
            </w:r>
          </w:p>
        </w:tc>
        <w:tc>
          <w:tcPr>
            <w:tcW w:type="dxa" w:w="141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投资人</w:t>
            </w:r>
          </w:p>
        </w:tc>
        <w:tc>
          <w:tcPr>
            <w:tcW w:type="dxa" w:w="147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供应商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个人消费者订单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本人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本店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归因用户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绑定门店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关联商品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商品与菜单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查看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本店查看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查看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查看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关联商品查看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支付与退款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本人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本店查看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归因订单查看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绑定门店查看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关联订单查看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核销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出示凭证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执行/查看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归因记录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汇总查看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不参与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分账台账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不可见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本店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本渠道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本投资关系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本供应商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余额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不可见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本店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本渠道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本投资人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本供应商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提现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不可用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P2 开放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P2 开放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P2 开放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P2 开放</w:t>
            </w:r>
          </w:p>
        </w:tc>
      </w:tr>
    </w:tbl>
    <w:p>
      <w:pPr>
        <w:spacing w:after="0"/>
      </w:pPr>
    </w:p>
    <w:p>
      <w:pPr>
        <w:pStyle w:val="Heading1"/>
      </w:pPr>
      <w:r>
        <w:t>八、支付、核销与分账设计</w:t>
      </w:r>
    </w:p>
    <w:p>
      <w:pPr>
        <w:pStyle w:val="Heading2"/>
      </w:pPr>
      <w:r>
        <w:t>8.1 分账方和规则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分账方为平台、供应商、门店、渠道、投资人。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分账基数为用户实付全额，三方通道手续费由平台承担。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金额使用整数分，比例使用万分比，尾差归平台。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采用全局默认比例加商品自定义比例，五方合计必须为 100%。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商品规则未配置完整前不得上架或支付成功入账。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渠道首次扫码永久绑定，不允许消费者自行换绑；后台换绑必须审批留痕。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每家门店本期只绑定一个投资人，一个投资人可投资多家门店。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已支付订单调整归属或分账必须审批并生成新快照，不能直接修改历史台账。</w:t>
      </w:r>
    </w:p>
    <w:p>
      <w:pPr>
        <w:pStyle w:val="Heading2"/>
      </w:pPr>
      <w:r>
        <w:t>8.2 支付与退款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支付结果只以三方签名回调和主动查询为准，前端支付成功页不能直接改变订单状态。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商户订单号和支付单号唯一，重复回调不重复入账。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本期仅支持未核销、未结算订单整单退款；退款成功后取消未执行分账。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已核销、已结算或已分账订单不允许退款。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所有支付、退款接口支持幂等键和三方原始报文留痕。</w:t>
      </w:r>
    </w:p>
    <w:p>
      <w:pPr>
        <w:pStyle w:val="Heading2"/>
      </w:pPr>
      <w:r>
        <w:t>8.3 核销规则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核销类型预留订单、优惠券、礼品卡和储值四类；P0 正式开放订单取餐核销。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门店支持扫码、输入核销码和订单号查询。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重复核销必须被后端拒绝，并记录门店、设备、操作人、时间和结果。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礼品卡和储值购买时只记预收，实际消费核销时才触发分账。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优惠券随订单使用时，优惠承担金额从对应方分账中扣减。</w:t>
      </w:r>
    </w:p>
    <w:p>
      <w:pPr>
        <w:pStyle w:val="Heading2"/>
      </w:pPr>
      <w:r>
        <w:t>8.4 资金台账与提现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资金状态包括待结算、可结算、冻结、已结算。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订单核销后进入待结算，T+1 转可结算。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提现放在 P2：各角色申请、平台人工审核、三方出款、失败解冻。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提现状态包括已申请、审核中、已通过、出款中、已出款、驳回、出款失败。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本期不代扣税、不自动开票，系统只登记交易、分账和发票状态。</w:t>
      </w:r>
    </w:p>
    <w:p>
      <w:pPr>
        <w:pStyle w:val="Heading1"/>
      </w:pPr>
      <w:r>
        <w:t>九、接口与状态模型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领域</w:t>
            </w:r>
          </w:p>
        </w:tc>
        <w:tc>
          <w:tcPr>
            <w:tcW w:type="dxa" w:w="2551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接口前缀</w:t>
            </w:r>
          </w:p>
        </w:tc>
        <w:tc>
          <w:tcPr>
            <w:tcW w:type="dxa" w:w="5499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小程序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/api/v1/miniapp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登录、门店、菜单、购物车、订单、支付、核销、角色中心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运营后台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/api/v1/admin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主体、授权、商品、订单、退款、核销、分账、台账、对账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三方回调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/api/v1/callback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支付、退款、分账、提现回调及结果标准化</w:t>
            </w:r>
          </w:p>
        </w:tc>
      </w:tr>
    </w:tbl>
    <w:p>
      <w:pPr>
        <w:spacing w:after="0"/>
      </w:pPr>
    </w:p>
    <w:p>
      <w:pPr>
        <w:pStyle w:val="Heading2"/>
      </w:pPr>
      <w:r>
        <w:t>9.1 订单状态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298"/>
            <w:shd w:fill="E9F1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微软雅黑" w:hAnsi="微软雅黑" w:eastAsia="微软雅黑"/>
                <w:b/>
                <w:i w:val="0"/>
                <w:color w:val="3F6E1F"/>
                <w:sz w:val="21"/>
              </w:rPr>
              <w:t>主状态：</w:t>
            </w:r>
            <w:r>
              <w:rPr>
                <w:rFonts w:ascii="宋体" w:hAnsi="宋体" w:eastAsia="宋体"/>
                <w:b w:val="0"/>
                <w:i w:val="0"/>
                <w:color w:val="2F302D"/>
                <w:sz w:val="21"/>
              </w:rPr>
              <w:t>CREATED → PAYING → PAID → ACCEPTED → READY → VERIFIED → COMPLETED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i w:val="0"/>
          <w:color w:val="2F302D"/>
          <w:sz w:val="21"/>
        </w:rPr>
        <w:t>异常状态：CANCELLED、REFUNDING、REFUNDED。状态只能按合法路径流转，所有状态变化必须记录操作来源。</w:t>
      </w:r>
    </w:p>
    <w:p>
      <w:pPr>
        <w:pStyle w:val="Heading2"/>
      </w:pPr>
      <w:r>
        <w:t>9.2 其他核心状态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98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759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角色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CONSUMER、STORE、CHANNEL、INVESTOR、SUPPLIER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核销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待核销、核销成功、核销作废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分账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待执行、执行中、成功、失败、取消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提现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已申请、审核中、已通过、出款中、已出款、驳回、出款失败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资金余额</w:t>
            </w:r>
          </w:p>
        </w:tc>
        <w:tc>
          <w:tcPr>
            <w:tcW w:type="dxa" w:w="75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待结算、可结算、冻结、已结算</w:t>
            </w:r>
          </w:p>
        </w:tc>
      </w:tr>
    </w:tbl>
    <w:p>
      <w:pPr>
        <w:spacing w:after="0"/>
      </w:pPr>
    </w:p>
    <w:p>
      <w:pPr>
        <w:pStyle w:val="Heading2"/>
      </w:pPr>
      <w:r>
        <w:t>9.3 幂等与审计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所有写接口支持 Idempotency-Key。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支付、退款、分账、提现必须保存三方请求号、响应号、原始状态和标准化状态。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管理员修改角色、分账规则、订单归属、提现审核必须记录操作人、时间、前后值和原因。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支付和资金任务必须支持重试、补偿、断点续跑和人工重放。</w:t>
      </w:r>
    </w:p>
    <w:p>
      <w:pPr>
        <w:pStyle w:val="Heading1"/>
      </w:pPr>
      <w:r>
        <w:t>十、甘特式排期与里程碑</w:t>
      </w:r>
    </w:p>
    <w:p>
      <w:r>
        <w:rPr>
          <w:rFonts w:ascii="宋体" w:hAnsi="宋体" w:eastAsia="宋体"/>
          <w:b w:val="0"/>
          <w:i w:val="0"/>
          <w:color w:val="2F302D"/>
          <w:sz w:val="21"/>
        </w:rPr>
        <w:t>以下为压缩甘特视图，绿色表示建设或执行期，橙色表示上线保障期，浅绿色表示 P1，浅黄绿色表示 P2。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1587"/>
            <w:shd w:fill="53882C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1134"/>
            <w:shd w:fill="53882C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09/16-09/20</w:t>
            </w:r>
          </w:p>
        </w:tc>
        <w:tc>
          <w:tcPr>
            <w:tcW w:type="dxa" w:w="1134"/>
            <w:shd w:fill="53882C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09/21-09/25</w:t>
            </w:r>
          </w:p>
        </w:tc>
        <w:tc>
          <w:tcPr>
            <w:tcW w:type="dxa" w:w="1134"/>
            <w:shd w:fill="53882C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09/26-09/30</w:t>
            </w:r>
          </w:p>
        </w:tc>
        <w:tc>
          <w:tcPr>
            <w:tcW w:type="dxa" w:w="1134"/>
            <w:shd w:fill="53882C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10/01-10/02</w:t>
            </w:r>
          </w:p>
        </w:tc>
        <w:tc>
          <w:tcPr>
            <w:tcW w:type="dxa" w:w="1134"/>
            <w:shd w:fill="53882C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10/03-10/07</w:t>
            </w:r>
          </w:p>
        </w:tc>
        <w:tc>
          <w:tcPr>
            <w:tcW w:type="dxa" w:w="1134"/>
            <w:shd w:fill="53882C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10/08-10/12</w:t>
            </w:r>
          </w:p>
        </w:tc>
        <w:tc>
          <w:tcPr>
            <w:tcW w:type="dxa" w:w="1134"/>
            <w:shd w:fill="53882C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10/13-10/16</w:t>
            </w:r>
          </w:p>
        </w:tc>
      </w:tr>
      <w:tr>
        <w:tc>
          <w:tcPr>
            <w:tcW w:type="dxa" w:w="158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F302D"/>
                <w:sz w:val="17"/>
              </w:rPr>
              <w:t>P0 核心建设</w:t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  <w:shd w:fill="53882C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17"/>
              </w:rPr>
              <w:t>53882C</w:t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  <w:shd w:fill="53882C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17"/>
              </w:rPr>
              <w:t>53882C</w:t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  <w:shd w:fill="53882C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17"/>
              </w:rPr>
              <w:t>53882C</w:t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</w:tr>
      <w:tr>
        <w:tc>
          <w:tcPr>
            <w:tcW w:type="dxa" w:w="158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F302D"/>
                <w:sz w:val="17"/>
              </w:rPr>
              <w:t>上线与保障</w:t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  <w:shd w:fill="C65A1E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17"/>
              </w:rPr>
              <w:t>C65A1E</w:t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</w:tr>
      <w:tr>
        <w:tc>
          <w:tcPr>
            <w:tcW w:type="dxa" w:w="158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F302D"/>
                <w:sz w:val="17"/>
              </w:rPr>
              <w:t>P1 第一批</w:t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  <w:shd w:fill="B7D99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B7D99A</w:t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</w:tr>
      <w:tr>
        <w:tc>
          <w:tcPr>
            <w:tcW w:type="dxa" w:w="158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F302D"/>
                <w:sz w:val="17"/>
              </w:rPr>
              <w:t>P1 完成</w:t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  <w:shd w:fill="B7D99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B7D99A</w:t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</w:tr>
      <w:tr>
        <w:tc>
          <w:tcPr>
            <w:tcW w:type="dxa" w:w="1587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F302D"/>
                <w:sz w:val="17"/>
              </w:rPr>
              <w:t>P2 后置功能</w:t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</w:r>
          </w:p>
        </w:tc>
        <w:tc>
          <w:tcPr>
            <w:tcW w:type="dxa" w:w="1134"/>
            <w:tcMar>
              <w:top w:w="70" w:type="dxa"/>
              <w:start w:w="60" w:type="dxa"/>
              <w:bottom w:w="70" w:type="dxa"/>
              <w:end w:w="60" w:type="dxa"/>
            </w:tcMar>
            <w:shd w:fill="D9E8C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D9E8C8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15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里程碑</w:t>
            </w:r>
          </w:p>
        </w:tc>
        <w:tc>
          <w:tcPr>
            <w:tcW w:type="dxa" w:w="130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6123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判断标准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M0 方案冻结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09-16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范围、优先级、排期、接口原则确认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M1 核心业务开发完成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09-27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订单、支付、核销、分账和角色切换代码完成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M2 P0 验收完成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09-30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全链路测试通过，具备发布条件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M3 灰度上线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10-01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支付、核销、分账和角色切换冒烟通过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M4 P1 中检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10-07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四类角色工作台闭环过半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M5 P1 完成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10-12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角色工作台、统计、对账和权限验收通过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M6 整体验收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10-16</w:t>
            </w:r>
          </w:p>
        </w:tc>
        <w:tc>
          <w:tcPr>
            <w:tcW w:type="dxa" w:w="6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P2 功能按开关状态完成，整体回归通过</w:t>
            </w:r>
          </w:p>
        </w:tc>
      </w:tr>
    </w:tbl>
    <w:p>
      <w:pPr>
        <w:spacing w:after="0"/>
      </w:pPr>
    </w:p>
    <w:p>
      <w:pPr>
        <w:pStyle w:val="Heading1"/>
      </w:pPr>
      <w:r>
        <w:t>十一、测试与验收</w:t>
      </w:r>
    </w:p>
    <w:p>
      <w:pPr>
        <w:pStyle w:val="Heading2"/>
      </w:pPr>
      <w:r>
        <w:t>11.1 P0 验收场景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81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776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关键验证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登录与角色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微信登录、授权角色、切换角色、返回消费者端、未授权访问拦截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点单与下单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门店停业、商品下架、规格、价格、购物车隔离和金额试算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支付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成功、失败、超时、重复回调、金额不一致、乱序回调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整单退款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未结算可退，已核销/已结算不可退，分账同步取消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核销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扫码、输码、订单号查询、重复核销拦截、操作留痕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五方分账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比例校验、订单快照、尾差、渠道永久归因、单店单一投资人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资金台账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待结算、T+1 可结算、冻结、已结算、余额不重复累计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权限与审计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跨主体访问拒绝、角色令牌失效、敏感操作留痕</w:t>
            </w:r>
          </w:p>
        </w:tc>
      </w:tr>
    </w:tbl>
    <w:p>
      <w:pPr>
        <w:spacing w:after="0"/>
      </w:pPr>
    </w:p>
    <w:p>
      <w:pPr>
        <w:pStyle w:val="Heading2"/>
      </w:pPr>
      <w:r>
        <w:t>11.2 技术验收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金额统一使用整数分，比例统一使用万分比，数据库禁止浮点金额。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支付、分账、核销和提现相关接口具备签名验签、权限校验、幂等和审计日志。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定时任务支持重试、补偿、断点续跑和人工重放。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Redis 或数据库锁防止同一订单并发核销、分账和提现。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数据库每日备份，关键表可按订单号和流水号追溯。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小程序执行 npm run check；管理端完成类型检查、Lint 和生产构建；后端完成单元测试、集成测试和接口测试。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使用微信开发者工具完成真机支付、扫码进入、角色切换和核销验收。</w:t>
      </w:r>
    </w:p>
    <w:p>
      <w:pPr>
        <w:pStyle w:val="Heading1"/>
      </w:pPr>
      <w:r>
        <w:t>十二、风险与默认决策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041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事项</w:t>
            </w:r>
          </w:p>
        </w:tc>
        <w:tc>
          <w:tcPr>
            <w:tcW w:type="dxa" w:w="4592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默认决策或处理方式</w:t>
            </w:r>
          </w:p>
        </w:tc>
        <w:tc>
          <w:tcPr>
            <w:tcW w:type="dxa" w:w="2948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三方服务商未最终确定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先完成统一适配层和 Mock，厂商确定后接入真实沙箱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真实资金联调日期取决于厂商资料，不阻塞代码功能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主体开户和签约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企业和个体工商户自行完成开户，平台后台登记账户和状态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不计入本次代码功能工期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分账基数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用户实付全额，三方通道手续费由平台承担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平台成本单独核算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渠道归因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首次扫码后永久绑定，消费者不能自行换绑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渠道佣金归属确定性高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投资人关系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每家门店本期只绑定一个投资人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简化分账和收益确认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预收资金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储值和礼品卡购买时不分账，核销消费时才分账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避免未消费资金提前分配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退款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仅未核销、未结算订单整单退款，不做部分退款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降低资金冲正复杂度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税务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本期不代扣税、不自动开票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税务和开票线下处理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P2 资源冲突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按提现、优惠券、储值充值、评论顺序顺延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不影响 P0/P1 上线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现有脏改动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保留当前未提交的 UI、图片和选店改动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7"/>
              </w:rPr>
              <w:t>实施不得覆盖无关修改</w:t>
            </w:r>
          </w:p>
        </w:tc>
      </w:tr>
    </w:tbl>
    <w:p>
      <w:pPr>
        <w:spacing w:after="0"/>
      </w:pPr>
    </w:p>
    <w:p>
      <w:pPr>
        <w:pStyle w:val="Heading1"/>
      </w:pPr>
      <w:r>
        <w:t>十三、交付物与变更控制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本 Word 文档为方案基线，文件名为五零时光-全链路建设方案-一个月版.docx。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后续若增加或调整功能，必须同步更新功能清单、工期、依赖和验收标准。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P0 范围在 09-30 前冻结；新增 P0 需求必须减少或后移等量范围。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P1/P2 需求变更不得改变 P0 已上线的资金规则和历史订单数据。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color w:val="2F302D"/>
          <w:sz w:val="21"/>
        </w:rPr>
        <w:t>支付、分账、提现、退款相关固定规则调整必须经过审批并保留审计记录。</w:t>
      </w:r>
    </w:p>
    <w:p>
      <w:pPr>
        <w:pStyle w:val="Heading1"/>
      </w:pPr>
      <w:r>
        <w:t>十四、附录</w:t>
      </w:r>
    </w:p>
    <w:p>
      <w:pPr>
        <w:pStyle w:val="Heading2"/>
      </w:pPr>
      <w:r>
        <w:t>附录 A：后置功能开关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功能开关</w:t>
            </w:r>
          </w:p>
        </w:tc>
        <w:tc>
          <w:tcPr>
            <w:tcW w:type="dxa" w:w="158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默认状态</w:t>
            </w:r>
          </w:p>
        </w:tc>
        <w:tc>
          <w:tcPr>
            <w:tcW w:type="dxa" w:w="5613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开放条件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ENABLE_COUPON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关闭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优惠券活动、锁券、核销和优惠承担逻辑完成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ENABLE_STORED_VALUE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关闭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充值支付、余额账户、消费核销和预收台账完成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ENABLE_WITHDRAWAL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关闭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提现申请、审核、出款回调和失败解冻完成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ENABLE_REVIEW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关闭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评论提交、审核和订单评价状态完成</w:t>
            </w:r>
          </w:p>
        </w:tc>
      </w:tr>
    </w:tbl>
    <w:p>
      <w:pPr>
        <w:spacing w:after="0"/>
      </w:pPr>
    </w:p>
    <w:p>
      <w:pPr>
        <w:pStyle w:val="Heading2"/>
      </w:pPr>
      <w:r>
        <w:t>附录 B：关键决策记录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134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8447"/>
            <w:shd w:fill="53882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决策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D-01</w:t>
            </w:r>
          </w:p>
        </w:tc>
        <w:tc>
          <w:tcPr>
            <w:tcW w:type="dxa" w:w="84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使用三方持牌机构的支付和分账能力，本系统负责订单、台账、统计和审核。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D-02</w:t>
            </w:r>
          </w:p>
        </w:tc>
        <w:tc>
          <w:tcPr>
            <w:tcW w:type="dxa" w:w="84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P0 在 09-30 完成，10-01 灰度上线，10-01 至 10-07 纳入逐日任务。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D-03</w:t>
            </w:r>
          </w:p>
        </w:tc>
        <w:tc>
          <w:tcPr>
            <w:tcW w:type="dxa" w:w="84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角色切换纳入 P0，四类角色深度经营功能在 P1 完成。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D-04</w:t>
            </w:r>
          </w:p>
        </w:tc>
        <w:tc>
          <w:tcPr>
            <w:tcW w:type="dxa" w:w="84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提现、优惠券、储值充值、评论后置至 P2。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D-05</w:t>
            </w:r>
          </w:p>
        </w:tc>
        <w:tc>
          <w:tcPr>
            <w:tcW w:type="dxa" w:w="84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五方分账采用全局默认加商品自定义，比例合计 100%。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D-06</w:t>
            </w:r>
          </w:p>
        </w:tc>
        <w:tc>
          <w:tcPr>
            <w:tcW w:type="dxa" w:w="84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渠道首次扫码永久绑定，每家门店本期只绑定一个投资人。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D-07</w:t>
            </w:r>
          </w:p>
        </w:tc>
        <w:tc>
          <w:tcPr>
            <w:tcW w:type="dxa" w:w="84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仅支持未核销、未结算订单整单退款。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D-08</w:t>
            </w:r>
          </w:p>
        </w:tc>
        <w:tc>
          <w:tcPr>
            <w:tcW w:type="dxa" w:w="84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B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color w:val="2F302D"/>
                <w:sz w:val="18"/>
              </w:rPr>
              <w:t>本期不代扣税、不自动开票。</w:t>
            </w:r>
          </w:p>
        </w:tc>
      </w:tr>
    </w:tbl>
    <w:p>
      <w:pPr>
        <w:spacing w:after="0"/>
      </w:pPr>
    </w:p>
    <w:p>
      <w:pPr>
        <w:pStyle w:val="Heading2"/>
      </w:pPr>
      <w:r>
        <w:t>附录 C：P0 上线检查清单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2F302D"/>
          <w:sz w:val="20"/>
        </w:rPr>
        <w:t>数据库迁移和基础数据初始化完成。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2F302D"/>
          <w:sz w:val="20"/>
        </w:rPr>
        <w:t>微信登录、消费者会话和角色授权链路通过。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2F302D"/>
          <w:sz w:val="20"/>
        </w:rPr>
        <w:t>角色中心、四类角色工作台框架和越权拦截通过。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2F302D"/>
          <w:sz w:val="20"/>
        </w:rPr>
        <w:t>门店、商品、规格、价格和购物车全链路通过。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2F302D"/>
          <w:sz w:val="20"/>
        </w:rPr>
        <w:t>支付回调、整单退款、核销和五方分账幂等测试通过。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2F302D"/>
          <w:sz w:val="20"/>
        </w:rPr>
        <w:t>订单、支付、分账和核销每日对账数据一致。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2F302D"/>
          <w:sz w:val="20"/>
        </w:rPr>
        <w:t>后台主体、商品、订单、退款、核销、分账和台账可用。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2F302D"/>
          <w:sz w:val="20"/>
        </w:rPr>
        <w:t>监控、告警、日志、备份和回滚方案完成。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2F302D"/>
          <w:sz w:val="20"/>
        </w:rPr>
        <w:t>P0 功能开关配置正确，优惠券、储值、提现和评论默认关闭。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color w:val="2F302D"/>
          <w:sz w:val="20"/>
        </w:rPr>
        <w:t>灰度门店完成真实主链路冒烟，发布负责人确认。</w:t>
      </w:r>
    </w:p>
    <w:p>
      <w:pPr>
        <w:spacing w:before="360"/>
        <w:jc w:val="center"/>
      </w:pPr>
      <w:r>
        <w:rPr>
          <w:rFonts w:ascii="宋体" w:hAnsi="宋体" w:eastAsia="宋体"/>
          <w:b w:val="0"/>
          <w:i/>
          <w:color w:val="777873"/>
          <w:sz w:val="19"/>
        </w:rPr>
        <w:t>本方案为项目执行基线。功能和工期如需调整，应同步更新范围、依赖、验收标准与风险说明。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07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777873"/>
        <w:sz w:val="17"/>
      </w:rPr>
      <w:t xml:space="preserve">第 </w:t>
    </w:r>
    <w:r>
      <w:rPr>
        <w:rFonts w:ascii="宋体" w:hAnsi="宋体" w:eastAsia="宋体"/>
        <w:b w:val="0"/>
        <w:i w:val="0"/>
        <w:color w:val="777873"/>
        <w:sz w:val="17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7778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777873"/>
        <w:sz w:val="17"/>
      </w:rPr>
      <w:t>五零时光全链路建设方案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color w:val="2F30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F6E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302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F6E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3F6E1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微软雅黑" w:hAnsi="微软雅黑" w:eastAsia="微软雅黑"/>
      <w:b w:val="0"/>
      <w:i/>
      <w:iCs/>
      <w:color w:val="7778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宋体" w:hAnsi="宋体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宋体" w:hAnsi="宋体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五零时光全链路建设方案（一个月版）</dc:title>
  <dc:subject>小程序、运营后台、后端、支付分账与角色工作台实施方案</dc:subject>
  <dc:creator>Codex</dc:creator>
  <cp:keywords>五零时光, 小程序, 支付, 分账, 核销, 角色切换, 运营后台</cp:keywords>
  <dc:description>基于 2026-09-17 确认的范围生成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