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DD9947">
      <w:pPr>
        <w:numPr>
          <w:ilvl w:val="0"/>
          <w:numId w:val="1"/>
        </w:numPr>
        <w:ind w:left="420" w:leftChars="0" w:firstLineChars="0"/>
        <w:rPr>
          <w:rFonts w:ascii="宋体" w:hAnsi="宋体" w:eastAsia="宋体" w:cs="宋体"/>
          <w:b/>
          <w:bCs/>
          <w:sz w:val="28"/>
          <w:szCs w:val="28"/>
        </w:rPr>
      </w:pPr>
      <w:r>
        <w:rPr>
          <w:rFonts w:hint="eastAsia" w:ascii="宋体" w:hAnsi="宋体" w:eastAsia="宋体" w:cs="宋体"/>
          <w:b/>
          <w:bCs/>
          <w:sz w:val="28"/>
          <w:szCs w:val="28"/>
        </w:rPr>
        <w:t>波特的五力分析</w:t>
      </w:r>
    </w:p>
    <w:p w14:paraId="1F1CA9C5">
      <w:pPr>
        <w:pStyle w:val="13"/>
        <w:numPr>
          <w:ilvl w:val="0"/>
          <w:numId w:val="1"/>
        </w:numPr>
        <w:ind w:left="420" w:leftChars="0" w:firstLineChars="0"/>
      </w:pPr>
    </w:p>
    <w:p w14:paraId="0DF4E5D0">
      <w:pPr>
        <w:pStyle w:val="2"/>
        <w:numPr>
          <w:ilvl w:val="0"/>
          <w:numId w:val="1"/>
        </w:numPr>
        <w:ind w:left="420" w:leftChars="0" w:firstLineChars="0"/>
      </w:pPr>
      <w:r>
        <w:drawing>
          <wp:inline distT="0" distB="0" distL="114300" distR="114300">
            <wp:extent cx="4926965" cy="3089910"/>
            <wp:effectExtent l="0" t="0" r="0" b="0"/>
            <wp:docPr id="25" name="ECB019B1-382A-4266-B25C-5B523AA43C14-1" descr="C:/Users/冯柯南/AppData/Local/Temp/wps.GxGyJp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1" descr="C:/Users/冯柯南/AppData/Local/Temp/wps.GxGyJpwps"/>
                    <pic:cNvPicPr>
                      <a:picLocks noChangeAspect="1"/>
                    </pic:cNvPicPr>
                  </pic:nvPicPr>
                  <pic:blipFill>
                    <a:blip r:embed="rId4"/>
                    <a:stretch>
                      <a:fillRect/>
                    </a:stretch>
                  </pic:blipFill>
                  <pic:spPr>
                    <a:xfrm>
                      <a:off x="0" y="0"/>
                      <a:ext cx="4926965" cy="3089910"/>
                    </a:xfrm>
                    <a:prstGeom prst="rect">
                      <a:avLst/>
                    </a:prstGeom>
                  </pic:spPr>
                </pic:pic>
              </a:graphicData>
            </a:graphic>
          </wp:inline>
        </w:drawing>
      </w:r>
    </w:p>
    <w:p w14:paraId="27F6A0A2">
      <w:pPr>
        <w:rPr>
          <w:rFonts w:ascii="宋体" w:hAnsi="宋体" w:eastAsia="宋体" w:cs="宋体"/>
          <w:b/>
          <w:bCs/>
          <w:sz w:val="28"/>
          <w:szCs w:val="28"/>
        </w:rPr>
      </w:pPr>
    </w:p>
    <w:p w14:paraId="6A54BD5E">
      <w:pPr>
        <w:rPr>
          <w:sz w:val="24"/>
        </w:rPr>
      </w:pPr>
      <w:r>
        <w:drawing>
          <wp:inline distT="0" distB="0" distL="114300" distR="114300">
            <wp:extent cx="3479800" cy="2731135"/>
            <wp:effectExtent l="0" t="0" r="10160" b="12065"/>
            <wp:docPr id="5" name="图片 2"/>
            <wp:cNvGraphicFramePr/>
            <a:graphic xmlns:a="http://schemas.openxmlformats.org/drawingml/2006/main">
              <a:graphicData uri="http://schemas.openxmlformats.org/drawingml/2006/picture">
                <pic:pic xmlns:pic="http://schemas.openxmlformats.org/drawingml/2006/picture">
                  <pic:nvPicPr>
                    <pic:cNvPr id="5" name="图片 2"/>
                    <pic:cNvPicPr/>
                  </pic:nvPicPr>
                  <pic:blipFill>
                    <a:blip r:embed="rId5"/>
                    <a:stretch>
                      <a:fillRect/>
                    </a:stretch>
                  </pic:blipFill>
                  <pic:spPr>
                    <a:xfrm>
                      <a:off x="0" y="0"/>
                      <a:ext cx="3479800" cy="2731135"/>
                    </a:xfrm>
                    <a:prstGeom prst="rect">
                      <a:avLst/>
                    </a:prstGeom>
                  </pic:spPr>
                </pic:pic>
              </a:graphicData>
            </a:graphic>
          </wp:inline>
        </w:drawing>
      </w:r>
      <w:r>
        <w:rPr>
          <w:rFonts w:hint="eastAsia"/>
          <w:sz w:val="24"/>
        </w:rPr>
        <w:t>与此同时，行业集中度也开</w:t>
      </w:r>
    </w:p>
    <w:p w14:paraId="6948D166">
      <w:pPr>
        <w:rPr>
          <w:b/>
          <w:bCs/>
          <w:sz w:val="24"/>
        </w:rPr>
      </w:pPr>
      <w:r>
        <w:rPr>
          <w:rFonts w:hint="eastAsia"/>
          <w:b/>
          <w:bCs/>
          <w:sz w:val="24"/>
        </w:rPr>
        <w:t>4.1政策壁垒-资金获取劣势</w:t>
      </w:r>
    </w:p>
    <w:p w14:paraId="18C25281">
      <w:pPr>
        <w:rPr>
          <w:sz w:val="24"/>
        </w:rPr>
      </w:pPr>
      <w:r>
        <w:rPr>
          <w:rFonts w:hint="eastAsia"/>
          <w:sz w:val="24"/>
        </w:rPr>
        <w:t>2014至2018年期间，房企国内贷款总额大致呈波动趋势。15、18年均处于下跌状态，分别同比跌落4.84%和4.40%。16、17年处于上升状态，17年达到五年来的历史新高，同比上升了17.34%。另外，房企国内贷款均值的波动趋势与之相同。15、18年分别同比回落4.42%和6.46%。16、17年分别同比上升5.09%和15.86%。由于房地产调控政策一松一紧的特点，上阶段融资宽松，下阶段必然收紧。国内融资环境不佳，银行资金成本提高后，多数房企会开启海外发债融资通道。整体而言，潜在进入者的资金获取劣势随政策松紧而变化。近日，随着头部房企被住建部约谈企业财务去杠杆事宜，未来通过银行贷款获取资金的要求会越来越高。</w:t>
      </w:r>
    </w:p>
    <w:p w14:paraId="5DF22292">
      <w:pPr>
        <w:rPr>
          <w:b/>
          <w:bCs/>
          <w:sz w:val="24"/>
        </w:rPr>
      </w:pPr>
      <w:r>
        <w:rPr>
          <w:rFonts w:hint="eastAsia"/>
          <w:b/>
          <w:bCs/>
          <w:sz w:val="24"/>
        </w:rPr>
        <w:t>4.2政策壁垒-土地获取劣势</w:t>
      </w:r>
    </w:p>
    <w:p w14:paraId="1904D310">
      <w:pPr>
        <w:rPr>
          <w:sz w:val="24"/>
        </w:rPr>
      </w:pPr>
      <w:r>
        <w:rPr>
          <w:rFonts w:hint="eastAsia"/>
          <w:sz w:val="24"/>
        </w:rPr>
        <w:t>2014至2018年期间，房企土地购置总面积与平均面积同样均呈波动状，15、16年土地购置面积持续下降，且15年的跌幅尤为明显，同比下跌31.67%。其中的重要原因是房地产市场供需关系逆转，为缓解供需关系，政府减缓土地供应。17、18年处于平稳上升，但仍未追平2014年的土地购置面积。总体来说，潜在进入者的土地获取劣势同样随政策松紧上下波动，2016年购置面积最小，劣势最大；2014年购置面积最大，劣势最小。</w:t>
      </w:r>
    </w:p>
    <w:p w14:paraId="44AF180D">
      <w:pPr>
        <w:rPr>
          <w:b/>
          <w:bCs/>
          <w:sz w:val="24"/>
        </w:rPr>
      </w:pPr>
      <w:r>
        <w:rPr>
          <w:rFonts w:hint="eastAsia"/>
          <w:b/>
          <w:bCs/>
          <w:sz w:val="24"/>
        </w:rPr>
        <w:t>4.3规模经济壁垒-投资规模劣势</w:t>
      </w:r>
    </w:p>
    <w:p w14:paraId="45D459B2">
      <w:pPr>
        <w:rPr>
          <w:sz w:val="24"/>
        </w:rPr>
      </w:pPr>
      <w:r>
        <w:rPr>
          <w:rFonts w:hint="eastAsia"/>
          <w:sz w:val="24"/>
        </w:rPr>
        <w:t>2014至2018年期间，房企本年完成投资总额及平均额均呈持续上升趋势，并从2016年起，上升幅度加大。15至年18的投资总额增长率分别为0.99%、6.88%、7.04%及9.44%；投资平均额增长率分别为1.82%、5.17%、6.00%及7.17%。</w:t>
      </w:r>
      <w:r>
        <w:drawing>
          <wp:inline distT="0" distB="0" distL="114300" distR="114300">
            <wp:extent cx="4287520" cy="2768600"/>
            <wp:effectExtent l="0" t="0" r="10160" b="5080"/>
            <wp:docPr id="6" name="图片 2"/>
            <wp:cNvGraphicFramePr/>
            <a:graphic xmlns:a="http://schemas.openxmlformats.org/drawingml/2006/main">
              <a:graphicData uri="http://schemas.openxmlformats.org/drawingml/2006/picture">
                <pic:pic xmlns:pic="http://schemas.openxmlformats.org/drawingml/2006/picture">
                  <pic:nvPicPr>
                    <pic:cNvPr id="6" name="图片 2"/>
                    <pic:cNvPicPr/>
                  </pic:nvPicPr>
                  <pic:blipFill>
                    <a:blip r:embed="rId6"/>
                    <a:stretch>
                      <a:fillRect/>
                    </a:stretch>
                  </pic:blipFill>
                  <pic:spPr>
                    <a:xfrm>
                      <a:off x="0" y="0"/>
                      <a:ext cx="4287520" cy="2768600"/>
                    </a:xfrm>
                    <a:prstGeom prst="rect">
                      <a:avLst/>
                    </a:prstGeom>
                  </pic:spPr>
                </pic:pic>
              </a:graphicData>
            </a:graphic>
          </wp:inline>
        </w:drawing>
      </w:r>
      <w:r>
        <w:rPr>
          <w:rFonts w:hint="eastAsia"/>
          <w:sz w:val="24"/>
        </w:rPr>
        <w:t>总体来说，房企逐年增加的投资规模使得潜在进入者的劣势逐渐放大，规模经济壁垒逐渐升高。</w:t>
      </w:r>
    </w:p>
    <w:p w14:paraId="3C66767F">
      <w:pPr>
        <w:rPr>
          <w:b/>
          <w:bCs/>
          <w:sz w:val="24"/>
        </w:rPr>
      </w:pPr>
      <w:r>
        <w:rPr>
          <w:rFonts w:hint="eastAsia"/>
          <w:b/>
          <w:bCs/>
          <w:sz w:val="24"/>
        </w:rPr>
        <w:t>4.4规模经济壁垒-总资产劣势</w:t>
      </w:r>
    </w:p>
    <w:p w14:paraId="024F72C7">
      <w:pPr>
        <w:rPr>
          <w:sz w:val="24"/>
        </w:rPr>
      </w:pPr>
      <w:r>
        <w:rPr>
          <w:rFonts w:hint="eastAsia"/>
          <w:sz w:val="24"/>
        </w:rPr>
        <w:t>2014至2018期间，房企总资产分别以每年10.67%、13.36%、15.42%及18.07%的增长率扩张。房企平均总资产也分别以每年11.58%、11.55%、14.28%及15.61%增长率增长。同时，18年的增长速度加快至118%，相比17年、16年及15年分别加快3%、5%及8%。总体而言，潜在进入者的总资产劣势逐步放大，规模经济壁垒逐年抬高。</w:t>
      </w:r>
    </w:p>
    <w:p w14:paraId="1BBE2826">
      <w:pPr>
        <w:rPr>
          <w:b/>
          <w:bCs/>
          <w:sz w:val="24"/>
        </w:rPr>
      </w:pPr>
      <w:r>
        <w:rPr>
          <w:rFonts w:hint="eastAsia"/>
          <w:b/>
          <w:bCs/>
          <w:sz w:val="24"/>
        </w:rPr>
        <w:t>5、替代品的威胁</w:t>
      </w:r>
    </w:p>
    <w:p w14:paraId="1FDB3591">
      <w:pPr>
        <w:rPr>
          <w:sz w:val="24"/>
        </w:rPr>
      </w:pPr>
      <w:r>
        <w:rPr>
          <w:rFonts w:hint="eastAsia"/>
          <w:sz w:val="24"/>
        </w:rPr>
        <w:t>随着我国城镇化率不断提高，大量农民涌入城镇，城镇中低收入家庭的住房问题成为我国现阶段社会的主要问题之一。为此，国家建设保障性住房为住房困难家庭提供限定标准、限定价格/租金的住房。一般由廉租住房、经济适用住房、政策性租赁住房、定向安置房等构成。保障性住房作为普通商品房的替代品，对其构成的威胁较小。由于我国中低收入人群之庞大，根据统计局统计，2019年中低收入家庭户达到40%，中低收入人口占6.1亿人（包括无就业、无收入的人口，如老人、儿童、学生等被赡养人口），我国现有的保障性住房数量仍不及需求量。不过，自2019年以来，住房及城乡建设部已部署在13个城市开展完善住房保障系试点工作，重点是大力发展政策性租赁租房，未来保障性住房数量会持续增加。</w:t>
      </w:r>
    </w:p>
    <w:p w14:paraId="31390932">
      <w:pPr>
        <w:rPr>
          <w:rFonts w:ascii="宋体" w:hAnsi="宋体" w:eastAsia="宋体" w:cs="宋体"/>
          <w:b/>
          <w:bCs/>
          <w:sz w:val="28"/>
          <w:szCs w:val="28"/>
        </w:rPr>
      </w:pPr>
      <w:r>
        <w:rPr>
          <w:rFonts w:hint="eastAsia" w:ascii="宋体" w:hAnsi="宋体" w:eastAsia="宋体" w:cs="宋体"/>
          <w:b/>
          <w:bCs/>
          <w:sz w:val="28"/>
          <w:szCs w:val="28"/>
        </w:rPr>
        <w:t>二、PEST分析</w:t>
      </w:r>
    </w:p>
    <w:p w14:paraId="7E8E63BC">
      <w:pPr>
        <w:rPr>
          <w:rFonts w:ascii="宋体" w:hAnsi="宋体" w:eastAsia="宋体" w:cs="宋体"/>
          <w:b/>
          <w:bCs/>
          <w:sz w:val="24"/>
        </w:rPr>
      </w:pPr>
      <w:r>
        <w:rPr>
          <w:rFonts w:hint="eastAsia" w:ascii="宋体" w:hAnsi="宋体" w:eastAsia="宋体" w:cs="宋体"/>
          <w:b/>
          <w:bCs/>
          <w:sz w:val="24"/>
        </w:rPr>
        <w:t>P:</w:t>
      </w:r>
    </w:p>
    <w:p w14:paraId="607D4349">
      <w:pPr>
        <w:numPr>
          <w:ilvl w:val="0"/>
          <w:numId w:val="2"/>
        </w:numPr>
        <w:rPr>
          <w:rFonts w:ascii="宋体" w:hAnsi="宋体" w:eastAsia="宋体" w:cs="宋体"/>
          <w:sz w:val="24"/>
        </w:rPr>
      </w:pPr>
      <w:r>
        <w:rPr>
          <w:rFonts w:hint="eastAsia" w:ascii="宋体" w:hAnsi="宋体" w:eastAsia="宋体" w:cs="宋体"/>
          <w:b/>
          <w:bCs/>
          <w:sz w:val="24"/>
        </w:rPr>
        <w:t>房住不炒，未来房地产行业发展的总基调。</w:t>
      </w:r>
      <w:r>
        <w:rPr>
          <w:rFonts w:hint="eastAsia" w:ascii="宋体" w:hAnsi="宋体" w:eastAsia="宋体" w:cs="宋体"/>
          <w:sz w:val="24"/>
        </w:rPr>
        <w:t>自2016年中央经济工作会议首次提出“房住不炒”以来，2018年两会上提及了“房住不炒”“落实地方主体责任”“长效机制”“租购并举”等关键词， 2020年两会又重提“房住不炒”，强调因城施策，2021年“房住不炒”第三次出现在全国两会政府工作报告中，并在“十四五”规划中强调“房住不炒”定位，强化城市政府主体责任，落实稳地价、稳房 价、稳预期的长期调控目标，加快建立多主体供给、多渠道保障、租购并举的住房制度”。在大方向不变的前提下，我国政府也对不同地区的政策进行适当调整，建立了更为长效的房地产机制。</w:t>
      </w:r>
    </w:p>
    <w:p w14:paraId="478BB792">
      <w:pPr>
        <w:numPr>
          <w:ilvl w:val="0"/>
          <w:numId w:val="2"/>
        </w:numPr>
        <w:rPr>
          <w:rFonts w:ascii="宋体" w:hAnsi="宋体" w:eastAsia="宋体" w:cs="宋体"/>
          <w:sz w:val="24"/>
        </w:rPr>
      </w:pPr>
      <w:r>
        <w:rPr>
          <w:rFonts w:hint="eastAsia" w:ascii="宋体" w:hAnsi="宋体" w:eastAsia="宋体" w:cs="宋体"/>
          <w:b/>
          <w:bCs/>
          <w:sz w:val="24"/>
        </w:rPr>
        <w:t>房地产去金融化，防范金融风险降杠杆。</w:t>
      </w:r>
      <w:r>
        <w:rPr>
          <w:rFonts w:hint="eastAsia" w:ascii="宋体" w:hAnsi="宋体" w:eastAsia="宋体" w:cs="宋体"/>
          <w:sz w:val="24"/>
        </w:rPr>
        <w:t>近期银保监会主席郭树清强调：“我国房地产相关贷款占银行业贷款的39％，还有大量债券、信托等资金进入房地产行业。房地产是现阶段我国金融风险方面最大的灰犀牛”，引发市场对金融风险的高度关注。</w:t>
      </w:r>
      <w:r>
        <w:rPr>
          <w:rFonts w:hint="eastAsia" w:ascii="宋体" w:hAnsi="宋体" w:eastAsia="宋体" w:cs="宋体"/>
          <w:color w:val="000000" w:themeColor="text1"/>
          <w:sz w:val="24"/>
          <w14:textFill>
            <w14:solidFill>
              <w14:schemeClr w14:val="tx1"/>
            </w14:solidFill>
          </w14:textFill>
        </w:rPr>
        <w:t>附加了金融属性的房地产市场，类似于股市、汇市、债市，具有收益性、流动性和风险性，但因长达二十年的房地产市场普涨行情，房地产市场的风险被普遍忽视，巨额资金被裹挟进了房地产市场，但又没有形成类似股市、汇市的风险管控和对冲机制，房地产金融化不断违背金融风险和收益相匹配的基本原则，最终使得房地产市场的发展越来越依赖推高房价，市场泡沫被加速扩大。</w:t>
      </w:r>
      <w:r>
        <w:rPr>
          <w:rFonts w:hint="eastAsia" w:ascii="宋体" w:hAnsi="宋体" w:eastAsia="宋体" w:cs="宋体"/>
          <w:sz w:val="24"/>
        </w:rPr>
        <w:t>从2020年开始，政府加大调控力度，控制资金流入房地产市场，降低房地产市场资金杠杆率，促进房地产行业去金融属性，全面遏制房地产行业泡沫扩大。</w:t>
      </w:r>
    </w:p>
    <w:p w14:paraId="34ED5281">
      <w:pPr>
        <w:numPr>
          <w:ilvl w:val="0"/>
          <w:numId w:val="2"/>
        </w:numPr>
        <w:rPr>
          <w:rFonts w:ascii="宋体" w:hAnsi="宋体" w:eastAsia="宋体" w:cs="宋体"/>
          <w:sz w:val="24"/>
        </w:rPr>
      </w:pPr>
      <w:r>
        <w:rPr>
          <w:rFonts w:hint="eastAsia" w:ascii="宋体" w:hAnsi="宋体" w:eastAsia="宋体" w:cs="宋体"/>
          <w:b/>
          <w:bCs/>
          <w:sz w:val="24"/>
        </w:rPr>
        <w:t>出台房产税，有利于遏制投机、缩小贫富差距。</w:t>
      </w:r>
      <w:r>
        <w:rPr>
          <w:rFonts w:hint="eastAsia" w:ascii="宋体" w:hAnsi="宋体" w:eastAsia="宋体" w:cs="宋体"/>
          <w:sz w:val="24"/>
        </w:rPr>
        <w:t>2018年，在新华社受权发布的十三届全国人大常委会立法规划（共116件）中，房地产税被列入到第一类项目，即条件比较成熟、任期内拟提请审议的法律草案（69件）中。2019年政府工作报告指出，“健全地方税体系，稳步推进房地产税立法”。与2018年相比，从“稳妥推进”变成了“稳步推进”。而且房产税属于“直接税”，税负不能转嫁。其首要任务是取代对土地财政的依赖，增加存量房持有成本。在存量住宅市场，目前持有环节基本是零税费，持有成本不高，不少人买房是为了投资变现，房产成了保值增值的理财投资产品。</w:t>
      </w:r>
    </w:p>
    <w:p w14:paraId="532EF279">
      <w:pPr>
        <w:numPr>
          <w:ilvl w:val="0"/>
          <w:numId w:val="2"/>
        </w:numPr>
        <w:rPr>
          <w:rFonts w:ascii="宋体" w:hAnsi="宋体" w:eastAsia="宋体" w:cs="宋体"/>
          <w:sz w:val="24"/>
        </w:rPr>
      </w:pPr>
      <w:r>
        <w:rPr>
          <w:rFonts w:hint="eastAsia" w:ascii="宋体" w:hAnsi="宋体" w:eastAsia="宋体" w:cs="宋体"/>
          <w:b/>
          <w:bCs/>
          <w:sz w:val="24"/>
        </w:rPr>
        <w:t>土地供应“两集中”，从供给端限制房价。</w:t>
      </w:r>
      <w:r>
        <w:rPr>
          <w:rFonts w:hint="eastAsia" w:ascii="宋体" w:hAnsi="宋体" w:eastAsia="宋体" w:cs="宋体"/>
          <w:sz w:val="24"/>
        </w:rPr>
        <w:t>商品房销售价格主要由土地成本、开发建设安装成 本、房地产相关税费、财务成本、营销成本、企业利润等六部分构成。根据中国指数研究院的调查 数据，这六大部分在房价中的占比约为35％、25％、12％、10％、10％、8％，其中土地成本可以说是房价 高低的关键因素。2021年4月，经济日报发表时评，“摁住地价，房价就难脱缰”，如果房价是“面 包”，那么地价就是“面粉”，面粉涨价，面包岂有不涨的道理嘲。2021年自然资源部实施住宅供地 “两集中”的新政策，4个一线城市和18个二线城市共22个重点城市，要对住宅用地集中公告、集中 供应，全年最多集中供地三次。通过公布土地合理上限价格、大幅增加住宅供地量的方式，从供给 端降低“面粉”的价格，从而影响“面包”——房价的起伏。</w:t>
      </w:r>
    </w:p>
    <w:p w14:paraId="6A001744">
      <w:pPr>
        <w:rPr>
          <w:rFonts w:ascii="宋体" w:hAnsi="宋体" w:eastAsia="宋体" w:cs="宋体"/>
          <w:color w:val="C00000"/>
          <w:sz w:val="24"/>
        </w:rPr>
      </w:pPr>
      <w:r>
        <w:rPr>
          <w:rFonts w:hint="eastAsia" w:ascii="宋体" w:hAnsi="宋体" w:eastAsia="宋体" w:cs="宋体"/>
          <w:color w:val="C00000"/>
          <w:sz w:val="24"/>
        </w:rPr>
        <w:t>通过房地产行业政策可以发现，受国家调控手段和方向的改变，房地产市场是从回归理性，长远、平稳发展的方向发展的。因此由于受资金实力、管理能力的制约，拿地成本增加、开发周期延长、现金流紧张，很多房地产企业都面临严峻的生存压力。</w:t>
      </w:r>
    </w:p>
    <w:p w14:paraId="64E29F86">
      <w:pPr>
        <w:rPr>
          <w:rFonts w:ascii="宋体" w:hAnsi="宋体" w:eastAsia="宋体" w:cs="宋体"/>
          <w:b/>
          <w:bCs/>
          <w:sz w:val="24"/>
        </w:rPr>
      </w:pPr>
      <w:r>
        <w:rPr>
          <w:rFonts w:hint="eastAsia" w:ascii="宋体" w:hAnsi="宋体" w:eastAsia="宋体" w:cs="宋体"/>
          <w:b/>
          <w:bCs/>
          <w:sz w:val="24"/>
        </w:rPr>
        <w:t>E:</w:t>
      </w:r>
    </w:p>
    <w:p w14:paraId="3A690097">
      <w:pPr>
        <w:rPr>
          <w:rFonts w:ascii="宋体" w:hAnsi="宋体" w:eastAsia="宋体" w:cs="宋体"/>
          <w:sz w:val="24"/>
        </w:rPr>
      </w:pPr>
      <w:r>
        <w:rPr>
          <w:rFonts w:hint="eastAsia" w:ascii="宋体" w:hAnsi="宋体" w:eastAsia="宋体" w:cs="宋体"/>
          <w:sz w:val="24"/>
        </w:rPr>
        <w:t xml:space="preserve">从上个世纪七十年代末开始， 我国经济实现了数十年的高速增长，国内生产总值从1978年的第十名跃至2020年世界第二，有力地带动了全球经济发展。在此期间，房地产市场一方面受益于我国经济形势而取得巨大突破；另一方面也强有力地带动了钢材、水泥、家电等众多行业的发展，提升了我国城镇化水平，提供了大量的工作岗位，为 国家经济增长做出不可磨灭的贡献。2020年，中国国内生产总值101．16万亿元，首次登上百万亿台阶，其中房地产业贡献率为7．34％。 2011年以后，国内经济运行平稳，GDP增长率较前些年略有下降。为实现经济持续发展，一切以GDP为导向的发展模式逐渐被抛弃，取而代之的是强调经济结构的调整和发展质量的提高。十四五规划明确提出淡化经济总量和增速，将质量和结构调整放在更重要的位置；通过加大科研投入打造高端装备制造业，摆脱因技术原因而受制于人的局面；提出“国内大循环”的概念，构建消费大市场，通过改变收入分配方式增加居民收入、提高消费能力，通过完善社保体系免除后顾之忧，提升消费对经济增长的贡献度。 </w:t>
      </w:r>
    </w:p>
    <w:p w14:paraId="4208AE2E">
      <w:pPr>
        <w:ind w:firstLine="480" w:firstLineChars="200"/>
        <w:rPr>
          <w:rFonts w:ascii="宋体" w:hAnsi="宋体" w:eastAsia="宋体" w:cs="宋体"/>
          <w:color w:val="C00000"/>
          <w:sz w:val="24"/>
        </w:rPr>
      </w:pPr>
      <w:r>
        <w:rPr>
          <w:rFonts w:hint="eastAsia" w:ascii="宋体" w:hAnsi="宋体" w:eastAsia="宋体" w:cs="宋体"/>
          <w:color w:val="C00000"/>
          <w:sz w:val="24"/>
        </w:rPr>
        <w:t>通过以上分析不难看出，房地产市场的发展与国家经济走势高度关联。我国宏观经济的很大一部分来自房地产行业经济，说明了房地产行业经济发展也应该满足宏观经济发展的整体趋势。但是复杂多变的经济形势为房地产带来的风险仍然存在，房地产企业面临的生存环境可能更加恶劣。</w:t>
      </w:r>
    </w:p>
    <w:p w14:paraId="5B7AF9D9">
      <w:pPr>
        <w:rPr>
          <w:rFonts w:ascii="宋体" w:hAnsi="宋体" w:eastAsia="宋体" w:cs="宋体"/>
          <w:b/>
          <w:bCs/>
          <w:sz w:val="24"/>
        </w:rPr>
      </w:pPr>
      <w:r>
        <w:rPr>
          <w:rFonts w:hint="eastAsia" w:ascii="宋体" w:hAnsi="宋体" w:eastAsia="宋体" w:cs="宋体"/>
          <w:b/>
          <w:bCs/>
          <w:sz w:val="24"/>
        </w:rPr>
        <w:t>S：</w:t>
      </w:r>
    </w:p>
    <w:p w14:paraId="084A770E">
      <w:pPr>
        <w:rPr>
          <w:rFonts w:ascii="宋体" w:hAnsi="宋体" w:eastAsia="宋体" w:cs="宋体"/>
          <w:sz w:val="24"/>
        </w:rPr>
      </w:pPr>
      <w:r>
        <w:rPr>
          <w:rFonts w:hint="eastAsia" w:ascii="宋体" w:hAnsi="宋体" w:eastAsia="宋体" w:cs="宋体"/>
          <w:b/>
          <w:bCs/>
          <w:sz w:val="24"/>
        </w:rPr>
        <w:t>1、社会心理：</w:t>
      </w:r>
      <w:r>
        <w:rPr>
          <w:rFonts w:hint="eastAsia" w:ascii="宋体" w:hAnsi="宋体" w:eastAsia="宋体" w:cs="宋体"/>
          <w:sz w:val="24"/>
        </w:rPr>
        <w:t xml:space="preserve">一方面，自古以来中国人就对房子、土地特别热衷，房产 可以带给国人独一无二的安全感，因此拥有一套自己的房产是中国人的普遍追 求并认为理所应当。目前，中国每50户社会住房家庭户数中就有超过45户居 住在自己拥有产权的住房内，该比例位居世界第一。另一方面，由于我国资本 市场建设起步较晚且尚有诸多亟需完善的地方，居民投资理念不完善、投资方 20 万方数据式单一，而房地产因为在过去三十年间价格暴涨而成为受百姓追捧的最佳投资标的。 </w:t>
      </w:r>
    </w:p>
    <w:p w14:paraId="44FB4625">
      <w:pPr>
        <w:rPr>
          <w:rFonts w:ascii="宋体" w:hAnsi="宋体" w:eastAsia="宋体" w:cs="宋体"/>
          <w:sz w:val="24"/>
        </w:rPr>
      </w:pPr>
      <w:r>
        <w:rPr>
          <w:rFonts w:hint="eastAsia" w:ascii="宋体" w:hAnsi="宋体" w:eastAsia="宋体" w:cs="宋体"/>
          <w:b/>
          <w:bCs/>
          <w:sz w:val="24"/>
        </w:rPr>
        <w:t>2、城镇化</w:t>
      </w:r>
      <w:r>
        <w:rPr>
          <w:rFonts w:hint="eastAsia" w:ascii="宋体" w:hAnsi="宋体" w:eastAsia="宋体" w:cs="宋体"/>
          <w:sz w:val="24"/>
        </w:rPr>
        <w:t>：房地产行业与城镇化的相互影响。首先，房地产市场化改革以后，我国的城镇化水平迅速提升。相关数据显示，2019年中国城镇化率达到 60％，较1978年增加42．1％，城镇常住人口增加6.4亿人。其次，对比西方发达国家，我国城镇化水平尚有提高的空间，这势必会持续带动更多的人口流动，即使城镇化速度放缓，仍将为整个行业带来相当大的市场空间。</w:t>
      </w:r>
    </w:p>
    <w:p w14:paraId="276C4979">
      <w:pPr>
        <w:rPr>
          <w:rFonts w:ascii="宋体" w:hAnsi="宋体" w:eastAsia="宋体" w:cs="宋体"/>
          <w:sz w:val="24"/>
        </w:rPr>
      </w:pPr>
      <w:r>
        <w:rPr>
          <w:rFonts w:hint="eastAsia" w:ascii="宋体" w:hAnsi="宋体" w:eastAsia="宋体" w:cs="宋体"/>
          <w:b/>
          <w:bCs/>
          <w:sz w:val="24"/>
        </w:rPr>
        <w:t>3、生活方式的改变：</w:t>
      </w:r>
      <w:r>
        <w:rPr>
          <w:rFonts w:hint="eastAsia" w:ascii="宋体" w:hAnsi="宋体" w:eastAsia="宋体" w:cs="宋体"/>
          <w:sz w:val="24"/>
        </w:rPr>
        <w:t>随着时代的发展和新技术的应用，人们工作和休闲方式的发生变化，在家办公成为可能，特别是疫情期间，居家办公、上学成为常态，因此对住宅的通信设施提出更高要求；另外随着科技的发展和意识的增强，绿色、环保、节能、智能化的住宅产品将会收到更多的重视和青睐。</w:t>
      </w:r>
    </w:p>
    <w:p w14:paraId="4A9E4CFA">
      <w:pPr>
        <w:rPr>
          <w:rFonts w:ascii="宋体" w:hAnsi="宋体" w:eastAsia="宋体" w:cs="宋体"/>
          <w:sz w:val="24"/>
        </w:rPr>
      </w:pPr>
      <w:r>
        <w:rPr>
          <w:rFonts w:hint="eastAsia" w:ascii="宋体" w:hAnsi="宋体" w:eastAsia="宋体" w:cs="宋体"/>
          <w:sz w:val="24"/>
        </w:rPr>
        <w:t>通过从社会因素分析不难看出，房地产行业很大程度上也会受到以上三方面的影响。</w:t>
      </w:r>
    </w:p>
    <w:p w14:paraId="6D1F60AB">
      <w:pPr>
        <w:rPr>
          <w:rFonts w:ascii="宋体" w:hAnsi="宋体" w:eastAsia="宋体" w:cs="宋体"/>
          <w:b/>
          <w:bCs/>
          <w:sz w:val="24"/>
        </w:rPr>
      </w:pPr>
      <w:r>
        <w:rPr>
          <w:rFonts w:hint="eastAsia" w:ascii="宋体" w:hAnsi="宋体" w:eastAsia="宋体" w:cs="宋体"/>
          <w:b/>
          <w:bCs/>
          <w:sz w:val="24"/>
        </w:rPr>
        <w:t>T:</w:t>
      </w:r>
    </w:p>
    <w:p w14:paraId="6DD3E1C5">
      <w:pPr>
        <w:rPr>
          <w:rFonts w:ascii="宋体" w:hAnsi="宋体" w:eastAsia="宋体" w:cs="宋体"/>
          <w:sz w:val="24"/>
        </w:rPr>
      </w:pPr>
      <w:r>
        <w:rPr>
          <w:rFonts w:hint="eastAsia" w:ascii="宋体" w:hAnsi="宋体" w:eastAsia="宋体" w:cs="宋体"/>
          <w:b/>
          <w:bCs/>
          <w:sz w:val="24"/>
        </w:rPr>
        <w:t>1</w:t>
      </w:r>
      <w:r>
        <w:rPr>
          <w:rFonts w:hint="eastAsia" w:ascii="宋体" w:hAnsi="宋体" w:eastAsia="宋体" w:cs="宋体"/>
          <w:sz w:val="24"/>
        </w:rPr>
        <w:t>、</w:t>
      </w:r>
      <w:r>
        <w:rPr>
          <w:rFonts w:hint="eastAsia" w:ascii="宋体" w:hAnsi="宋体" w:eastAsia="宋体" w:cs="宋体"/>
          <w:b/>
          <w:bCs/>
          <w:sz w:val="24"/>
        </w:rPr>
        <w:t>新能源的推广：</w:t>
      </w:r>
      <w:r>
        <w:rPr>
          <w:rFonts w:hint="eastAsia" w:ascii="宋体" w:hAnsi="宋体" w:eastAsia="宋体" w:cs="宋体"/>
          <w:sz w:val="24"/>
        </w:rPr>
        <w:t>新材料使用越来越广泛和普遍，房屋性能提升；清洁能源的适用则大大改善居住环境，较大幅度的提升消费者的居住舒适度和满意度提高。</w:t>
      </w:r>
    </w:p>
    <w:p w14:paraId="73DD5AAA">
      <w:pPr>
        <w:rPr>
          <w:rFonts w:ascii="宋体" w:hAnsi="宋体" w:eastAsia="宋体" w:cs="宋体"/>
          <w:sz w:val="24"/>
        </w:rPr>
      </w:pPr>
      <w:r>
        <w:rPr>
          <w:rFonts w:hint="eastAsia" w:ascii="宋体" w:hAnsi="宋体" w:eastAsia="宋体" w:cs="宋体"/>
          <w:b/>
          <w:bCs/>
          <w:sz w:val="24"/>
        </w:rPr>
        <w:t>2、智能化服务：</w:t>
      </w:r>
      <w:r>
        <w:rPr>
          <w:rFonts w:hint="eastAsia" w:ascii="宋体" w:hAnsi="宋体" w:eastAsia="宋体" w:cs="宋体"/>
          <w:sz w:val="24"/>
        </w:rPr>
        <w:t xml:space="preserve">信息技术的运用使得智能化楼宇的出现成为可能，通过各类新技术的应用和整合各种软硬件设备，房地产产品的科技含量更高，业主也能够享受到更为便利的信息化服务。 </w:t>
      </w:r>
    </w:p>
    <w:p w14:paraId="1F17FDAC">
      <w:pPr>
        <w:rPr>
          <w:rFonts w:ascii="宋体" w:hAnsi="宋体" w:eastAsia="宋体" w:cs="宋体"/>
          <w:sz w:val="24"/>
        </w:rPr>
      </w:pPr>
      <w:r>
        <w:rPr>
          <w:rFonts w:hint="eastAsia" w:ascii="宋体" w:hAnsi="宋体" w:eastAsia="宋体" w:cs="宋体"/>
          <w:b/>
          <w:bCs/>
          <w:sz w:val="24"/>
        </w:rPr>
        <w:t>3、新销售模式：</w:t>
      </w:r>
      <w:r>
        <w:rPr>
          <w:rFonts w:hint="eastAsia" w:ascii="宋体" w:hAnsi="宋体" w:eastAsia="宋体" w:cs="宋体"/>
          <w:sz w:val="24"/>
        </w:rPr>
        <w:t>改变了传统销售模式，运用短视频、自媒体、VR虚拟成像等手段多渠道、多维度的将房源信息呈现在互联网上，提升房地产信息的呈现能力和客户体验。</w:t>
      </w:r>
    </w:p>
    <w:p w14:paraId="7ED8872A">
      <w:pPr>
        <w:rPr>
          <w:rFonts w:ascii="宋体" w:hAnsi="宋体" w:eastAsia="宋体" w:cs="宋体"/>
          <w:color w:val="C00000"/>
          <w:sz w:val="24"/>
        </w:rPr>
      </w:pPr>
      <w:r>
        <w:rPr>
          <w:rFonts w:hint="eastAsia" w:ascii="宋体" w:hAnsi="宋体" w:eastAsia="宋体" w:cs="宋体"/>
          <w:color w:val="C00000"/>
          <w:sz w:val="24"/>
        </w:rPr>
        <w:t xml:space="preserve">受益于技术创新与信息化革命，与房地产相关新型建筑材料、新型信息传播方式和渠道等层出不穷，不但提高了产品的品质、满足消费者更加多元化和个性化的需求，并为房地产开发、销售模式的创新提供更多选择。 </w:t>
      </w:r>
    </w:p>
    <w:p w14:paraId="4B787C40">
      <w:pPr>
        <w:rPr>
          <w:rFonts w:ascii="宋体" w:hAnsi="宋体" w:eastAsia="宋体" w:cs="宋体"/>
          <w:color w:val="C00000"/>
          <w:sz w:val="24"/>
        </w:rPr>
      </w:pPr>
      <w:r>
        <w:rPr>
          <w:rFonts w:hint="eastAsia" w:ascii="宋体" w:hAnsi="宋体" w:eastAsia="宋体" w:cs="宋体"/>
          <w:color w:val="C00000"/>
          <w:sz w:val="24"/>
        </w:rPr>
        <w:t>从宏观角度出发的建议——基于PEST的分析</w:t>
      </w:r>
    </w:p>
    <w:p w14:paraId="6D423393">
      <w:pPr>
        <w:rPr>
          <w:rFonts w:ascii="宋体" w:hAnsi="宋体" w:eastAsia="宋体" w:cs="宋体"/>
          <w:sz w:val="24"/>
        </w:rPr>
      </w:pPr>
      <w:r>
        <w:rPr>
          <w:rFonts w:ascii="宋体" w:hAnsi="宋体" w:eastAsia="宋体" w:cs="宋体"/>
          <w:sz w:val="24"/>
        </w:rPr>
        <w:t>政策是房地产行业的指向标，房地产行业必须严格执行，新的政策发布需要房地产企业时刻关注。因此，恒大</w:t>
      </w:r>
      <w:r>
        <w:rPr>
          <w:rFonts w:hint="eastAsia" w:ascii="宋体" w:hAnsi="宋体" w:eastAsia="宋体" w:cs="宋体"/>
          <w:sz w:val="24"/>
        </w:rPr>
        <w:t>集团</w:t>
      </w:r>
      <w:r>
        <w:rPr>
          <w:rFonts w:ascii="宋体" w:hAnsi="宋体" w:eastAsia="宋体" w:cs="宋体"/>
          <w:sz w:val="24"/>
        </w:rPr>
        <w:t>可以下设政策分析委员会，对于政策的改变，及时地展开会议进行探讨，分析政</w:t>
      </w:r>
      <w:r>
        <w:rPr>
          <w:rFonts w:hint="eastAsia" w:ascii="宋体" w:hAnsi="宋体" w:eastAsia="宋体" w:cs="宋体"/>
          <w:sz w:val="24"/>
        </w:rPr>
        <w:t>策变化带来的影响是有利还是有害，并研究如何迎合政策变化的同时增加利润。</w:t>
      </w:r>
    </w:p>
    <w:p w14:paraId="2F7C2904">
      <w:pPr>
        <w:rPr>
          <w:rFonts w:ascii="宋体" w:hAnsi="宋体" w:eastAsia="宋体" w:cs="宋体"/>
          <w:sz w:val="24"/>
        </w:rPr>
      </w:pPr>
      <w:r>
        <w:rPr>
          <w:rFonts w:hint="eastAsia" w:ascii="宋体" w:hAnsi="宋体" w:eastAsia="宋体" w:cs="宋体"/>
          <w:sz w:val="24"/>
        </w:rPr>
        <w:t>2016年底中央经济工作会议后提出“房住不炒”，有关部门相应调整房地政策，住房从金融属性为主开始向居住属性为主转移。我建议恒大集团应该促进与地方性政府部门的关系，树立良</w:t>
      </w:r>
      <w:r>
        <w:rPr>
          <w:rFonts w:ascii="宋体" w:hAnsi="宋体" w:eastAsia="宋体" w:cs="宋体"/>
          <w:sz w:val="24"/>
        </w:rPr>
        <w:t>好的企业形象</w:t>
      </w:r>
      <w:r>
        <w:rPr>
          <w:rFonts w:hint="eastAsia" w:ascii="宋体" w:hAnsi="宋体" w:eastAsia="宋体" w:cs="宋体"/>
          <w:sz w:val="24"/>
        </w:rPr>
        <w:t>。应该</w:t>
      </w:r>
      <w:r>
        <w:rPr>
          <w:rFonts w:ascii="宋体" w:hAnsi="宋体" w:eastAsia="宋体" w:cs="宋体"/>
          <w:sz w:val="24"/>
        </w:rPr>
        <w:t>及时调整企业的经营方向</w:t>
      </w:r>
      <w:r>
        <w:rPr>
          <w:rFonts w:hint="eastAsia" w:ascii="宋体" w:hAnsi="宋体" w:eastAsia="宋体" w:cs="宋体"/>
          <w:sz w:val="24"/>
        </w:rPr>
        <w:t>，不能因为房价的上涨，一味盲目地扩张工程，拖欠款项，导致现金流不足，从而造成违约风险。</w:t>
      </w:r>
      <w:r>
        <mc:AlternateContent>
          <mc:Choice Requires="wpg">
            <w:drawing>
              <wp:inline distT="0" distB="0" distL="114300" distR="114300">
                <wp:extent cx="6096635" cy="3239135"/>
                <wp:effectExtent l="6985" t="0" r="0" b="0"/>
                <wp:docPr id="49" name="组合 49" descr="KSO_WM_BEAUTIFY_FLAG=#wm#&amp;KSO_WM_TEMPLATE_CATEGORY=wpsdiag&amp;KSO_WM_TEMPLATE_INDEX=&amp;KSO_WM_UNIT_ID=wpsdiag20163287_1*n*1&amp;KSO_WM_UNIT_TYPE=n"/>
                <wp:cNvGraphicFramePr/>
                <a:graphic xmlns:a="http://schemas.openxmlformats.org/drawingml/2006/main">
                  <a:graphicData uri="http://schemas.microsoft.com/office/word/2010/wordprocessingGroup">
                    <wpg:wgp>
                      <wpg:cNvGrpSpPr/>
                      <wpg:grpSpPr>
                        <a:xfrm>
                          <a:off x="0" y="0"/>
                          <a:ext cx="6096635" cy="3239135"/>
                          <a:chOff x="5081" y="1157"/>
                          <a:chExt cx="5931" cy="3157"/>
                        </a:xfrm>
                      </wpg:grpSpPr>
                      <wps:wsp>
                        <wps:cNvPr id="11" name="椭圆 7"/>
                        <wps:cNvSpPr/>
                        <wps:spPr>
                          <a:xfrm>
                            <a:off x="8493" y="1230"/>
                            <a:ext cx="528" cy="527"/>
                          </a:xfrm>
                          <a:prstGeom prst="ellipse">
                            <a:avLst/>
                          </a:prstGeom>
                          <a:solidFill>
                            <a:schemeClr val="accent1"/>
                          </a:solidFill>
                          <a:ln w="12700" cap="flat" cmpd="sng" algn="ctr">
                            <a:solidFill>
                              <a:schemeClr val="accent1"/>
                            </a:solidFill>
                            <a:prstDash val="solid"/>
                            <a:miter lim="800000"/>
                          </a:ln>
                          <a:effectLst/>
                        </wps:spPr>
                        <wps:txbx>
                          <w:txbxContent>
                            <w:p w14:paraId="7749A8C8">
                              <w:pPr>
                                <w:jc w:val="center"/>
                                <w:rPr>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P</w:t>
                              </w:r>
                            </w:p>
                          </w:txbxContent>
                        </wps:txbx>
                        <wps:bodyPr rtlCol="0" anchor="ctr"/>
                      </wps:wsp>
                      <wps:wsp>
                        <wps:cNvPr id="12" name="椭圆 8" descr="KSO_WM_UNIT_INDEX=1_5&amp;KSO_WM_UNIT_TYPE=n_i&amp;KSO_WM_UNIT_ID=wpsdiag20163287_1*n_i*1_5&amp;KSO_WM_UNIT_LAYERLEVEL=1_1&amp;KSO_WM_UNIT_CLEAR=1&amp;KSO_WM_TAG_VERSION=1.0&amp;KSO_WM_BEAUTIFY_FLAG=#wm#&amp;KSO_WM_TEMPLATE_CATEGORY=wpsdiag&amp;KSO_WM_TEMPLATE_INDEX=20163287&amp;KSO_WM_SLIDE_ITEM_CNT=4&amp;KSO_WM_UNIT_FILL_TYPE=1&amp;KSO_WM_UNIT_FILL_FORE_SCHEMECOLOR_INDEX=6&amp;KSO_WM_UNIT_FILL_BACK_SCHEMECOLOR_INDEX=0&amp;KSO_WM_UNIT_LINE_FILL_TYPE=1&amp;KSO_WM_UNIT_LINE_FORE_SCHEMECOLOR_INDEX=6&amp;KSO_WM_UNIT_LINE_BACK_SCHEMECOLOR_INDEX=0"/>
                        <wps:cNvSpPr/>
                        <wps:spPr>
                          <a:xfrm>
                            <a:off x="8495" y="2218"/>
                            <a:ext cx="527" cy="527"/>
                          </a:xfrm>
                          <a:prstGeom prst="ellipse">
                            <a:avLst/>
                          </a:prstGeom>
                          <a:solidFill>
                            <a:srgbClr val="F6AB32"/>
                          </a:solidFill>
                          <a:ln w="12700" cap="flat" cmpd="sng" algn="ctr">
                            <a:solidFill>
                              <a:srgbClr val="F6AB32"/>
                            </a:solidFill>
                            <a:prstDash val="solid"/>
                            <a:miter lim="800000"/>
                          </a:ln>
                          <a:effectLst/>
                        </wps:spPr>
                        <wps:txbx>
                          <w:txbxContent>
                            <w:p w14:paraId="18FDE822">
                              <w:pPr>
                                <w:jc w:val="center"/>
                                <w:rPr>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E</w:t>
                              </w:r>
                            </w:p>
                          </w:txbxContent>
                        </wps:txbx>
                        <wps:bodyPr rtlCol="0" anchor="ctr"/>
                      </wps:wsp>
                      <wps:wsp>
                        <wps:cNvPr id="40" name="椭圆 9"/>
                        <wps:cNvSpPr/>
                        <wps:spPr>
                          <a:xfrm>
                            <a:off x="8497" y="3064"/>
                            <a:ext cx="527" cy="527"/>
                          </a:xfrm>
                          <a:prstGeom prst="ellipse">
                            <a:avLst/>
                          </a:prstGeom>
                          <a:solidFill>
                            <a:schemeClr val="accent4"/>
                          </a:solidFill>
                          <a:ln w="12700" cap="flat" cmpd="sng" algn="ctr">
                            <a:solidFill>
                              <a:schemeClr val="accent4"/>
                            </a:solidFill>
                            <a:prstDash val="solid"/>
                            <a:miter lim="800000"/>
                          </a:ln>
                          <a:effectLst/>
                        </wps:spPr>
                        <wps:txbx>
                          <w:txbxContent>
                            <w:p w14:paraId="1264AE7B">
                              <w:pPr>
                                <w:jc w:val="center"/>
                                <w:rPr>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S</w:t>
                              </w:r>
                            </w:p>
                          </w:txbxContent>
                        </wps:txbx>
                        <wps:bodyPr rtlCol="0" anchor="ctr"/>
                      </wps:wsp>
                      <wps:wsp>
                        <wps:cNvPr id="41" name="椭圆 10"/>
                        <wps:cNvSpPr/>
                        <wps:spPr>
                          <a:xfrm>
                            <a:off x="8510" y="3685"/>
                            <a:ext cx="527" cy="527"/>
                          </a:xfrm>
                          <a:prstGeom prst="ellipse">
                            <a:avLst/>
                          </a:prstGeom>
                          <a:solidFill>
                            <a:schemeClr val="accent3"/>
                          </a:solidFill>
                          <a:ln w="12700" cap="flat" cmpd="sng" algn="ctr">
                            <a:solidFill>
                              <a:schemeClr val="accent3"/>
                            </a:solidFill>
                            <a:prstDash val="solid"/>
                            <a:miter lim="800000"/>
                          </a:ln>
                          <a:effectLst/>
                        </wps:spPr>
                        <wps:txbx>
                          <w:txbxContent>
                            <w:p w14:paraId="5CBE3C6A">
                              <w:pPr>
                                <w:jc w:val="center"/>
                                <w:rPr>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T</w:t>
                              </w:r>
                            </w:p>
                          </w:txbxContent>
                        </wps:txbx>
                        <wps:bodyPr rtlCol="0" anchor="ctr"/>
                      </wps:wsp>
                      <wpg:grpSp>
                        <wpg:cNvPr id="50" name="组合 26" descr="KSO_WM_TAG_VERSION=1.0&amp;KSO_WM_BEAUTIFY_FLAG=#wm#&amp;KSO_WM_UNIT_TYPE=i&amp;KSO_WM_UNIT_ID=wpsdiag20163287_1*i*1&amp;KSO_WM_TEMPLATE_CATEGORY=wpsdiag&amp;KSO_WM_TEMPLATE_INDEX=20163287"/>
                        <wpg:cNvGrpSpPr/>
                        <wpg:grpSpPr>
                          <a:xfrm>
                            <a:off x="5081" y="1157"/>
                            <a:ext cx="5931" cy="3157"/>
                            <a:chOff x="0" y="-36677"/>
                            <a:chExt cx="3765780" cy="2005008"/>
                          </a:xfrm>
                        </wpg:grpSpPr>
                        <wps:wsp>
                          <wps:cNvPr id="43" name="任意多边形: 形状 2" descr="KSO_WM_UNIT_INDEX=1_1&amp;KSO_WM_UNIT_TYPE=n_i&amp;KSO_WM_UNIT_ID=wpsdiag20163287_1*n_i*1_1&amp;KSO_WM_UNIT_LAYERLEVEL=1_1&amp;KSO_WM_UNIT_CLEAR=1&amp;KSO_WM_TAG_VERSION=1.0&amp;KSO_WM_BEAUTIFY_FLAG=#wm#&amp;KSO_WM_TEMPLATE_CATEGORY=wpsdiag&amp;KSO_WM_TEMPLATE_INDEX=20163287&amp;KSO_WM_SLIDE_ITEM_CNT=4&amp;KSO_WM_DIAGRAM_GROUP_CODE=n1_1&amp;KSO_WM_UNIT_FILL_TYPE=1&amp;KSO_WM_UNIT_FILL_FORE_SCHEMECOLOR_INDEX=5&amp;KSO_WM_UNIT_FILL_BACK_SCHEMECOLOR_INDEX=0&amp;KSO_WM_UNIT_LINE_FILL_TYPE=1&amp;KSO_WM_UNIT_LINE_FORE_SCHEMECOLOR_INDEX=5&amp;KSO_WM_UNIT_LINE_BACK_SCHEMECOLOR_INDEX=0"/>
                          <wps:cNvSpPr/>
                          <wps:spPr>
                            <a:xfrm>
                              <a:off x="2956" y="26427"/>
                              <a:ext cx="845467" cy="845747"/>
                            </a:xfrm>
                            <a:custGeom>
                              <a:avLst/>
                              <a:gdLst>
                                <a:gd name="connsiteX0" fmla="*/ 1954661 w 1954661"/>
                                <a:gd name="connsiteY0" fmla="*/ 0 h 1955712"/>
                                <a:gd name="connsiteX1" fmla="*/ 1954661 w 1954661"/>
                                <a:gd name="connsiteY1" fmla="*/ 873579 h 1955712"/>
                                <a:gd name="connsiteX2" fmla="*/ 1903881 w 1954661"/>
                                <a:gd name="connsiteY2" fmla="*/ 881329 h 1955712"/>
                                <a:gd name="connsiteX3" fmla="*/ 875574 w 1954661"/>
                                <a:gd name="connsiteY3" fmla="*/ 1935672 h 1955712"/>
                                <a:gd name="connsiteX4" fmla="*/ 872901 w 1954661"/>
                                <a:gd name="connsiteY4" fmla="*/ 1955712 h 1955712"/>
                                <a:gd name="connsiteX5" fmla="*/ 0 w 1954661"/>
                                <a:gd name="connsiteY5" fmla="*/ 1955712 h 1955712"/>
                                <a:gd name="connsiteX6" fmla="*/ 28600 w 1954661"/>
                                <a:gd name="connsiteY6" fmla="*/ 1755703 h 1955712"/>
                                <a:gd name="connsiteX7" fmla="*/ 1945818 w 1954661"/>
                                <a:gd name="connsiteY7" fmla="*/ 446 h 19557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954661" h="1955712">
                                  <a:moveTo>
                                    <a:pt x="1954661" y="0"/>
                                  </a:moveTo>
                                  <a:lnTo>
                                    <a:pt x="1954661" y="873579"/>
                                  </a:lnTo>
                                  <a:lnTo>
                                    <a:pt x="1903881" y="881329"/>
                                  </a:lnTo>
                                  <a:cubicBezTo>
                                    <a:pt x="1380139" y="988502"/>
                                    <a:pt x="969940" y="1407380"/>
                                    <a:pt x="875574" y="1935672"/>
                                  </a:cubicBezTo>
                                  <a:lnTo>
                                    <a:pt x="872901" y="1955712"/>
                                  </a:lnTo>
                                  <a:lnTo>
                                    <a:pt x="0" y="1955712"/>
                                  </a:lnTo>
                                  <a:lnTo>
                                    <a:pt x="28600" y="1755703"/>
                                  </a:lnTo>
                                  <a:cubicBezTo>
                                    <a:pt x="207741" y="820749"/>
                                    <a:pt x="984393" y="98084"/>
                                    <a:pt x="1945818" y="446"/>
                                  </a:cubicBezTo>
                                  <a:close/>
                                </a:path>
                              </a:pathLst>
                            </a:custGeom>
                            <a:solidFill>
                              <a:srgbClr val="A9D18E"/>
                            </a:solidFill>
                            <a:ln w="12700" cap="flat" cmpd="sng" algn="ctr">
                              <a:solidFill>
                                <a:srgbClr val="A9D18E"/>
                              </a:solidFill>
                              <a:prstDash val="solid"/>
                              <a:miter lim="800000"/>
                            </a:ln>
                            <a:effectLst/>
                          </wps:spPr>
                          <wps:bodyPr rtlCol="0" anchor="ctr"/>
                        </wps:wsp>
                        <wps:wsp>
                          <wps:cNvPr id="44" name="任意多边形: 形状 3" descr="KSO_WM_UNIT_INDEX=1_2&amp;KSO_WM_UNIT_TYPE=n_i&amp;KSO_WM_UNIT_ID=wpsdiag20163287_1*n_i*1_2&amp;KSO_WM_UNIT_LAYERLEVEL=1_1&amp;KSO_WM_UNIT_CLEAR=1&amp;KSO_WM_TAG_VERSION=1.0&amp;KSO_WM_BEAUTIFY_FLAG=#wm#&amp;KSO_WM_TEMPLATE_CATEGORY=wpsdiag&amp;KSO_WM_TEMPLATE_INDEX=20163287&amp;KSO_WM_SLIDE_ITEM_CNT=4&amp;KSO_WM_DIAGRAM_GROUP_CODE=n1_1&amp;KSO_WM_UNIT_FILL_TYPE=1&amp;KSO_WM_UNIT_FILL_FORE_SCHEMECOLOR_INDEX=6&amp;KSO_WM_UNIT_FILL_BACK_SCHEMECOLOR_INDEX=0&amp;KSO_WM_UNIT_LINE_FILL_TYPE=1&amp;KSO_WM_UNIT_LINE_FORE_SCHEMECOLOR_INDEX=6&amp;KSO_WM_UNIT_LINE_BACK_SCHEMECOLOR_INDEX=0"/>
                          <wps:cNvSpPr/>
                          <wps:spPr>
                            <a:xfrm rot="5400000">
                              <a:off x="1026058" y="26717"/>
                              <a:ext cx="845230" cy="845774"/>
                            </a:xfrm>
                            <a:custGeom>
                              <a:avLst/>
                              <a:gdLst>
                                <a:gd name="connsiteX0" fmla="*/ 1954661 w 1954661"/>
                                <a:gd name="connsiteY0" fmla="*/ 0 h 1955712"/>
                                <a:gd name="connsiteX1" fmla="*/ 1954661 w 1954661"/>
                                <a:gd name="connsiteY1" fmla="*/ 873579 h 1955712"/>
                                <a:gd name="connsiteX2" fmla="*/ 1903881 w 1954661"/>
                                <a:gd name="connsiteY2" fmla="*/ 881329 h 1955712"/>
                                <a:gd name="connsiteX3" fmla="*/ 875574 w 1954661"/>
                                <a:gd name="connsiteY3" fmla="*/ 1935672 h 1955712"/>
                                <a:gd name="connsiteX4" fmla="*/ 872901 w 1954661"/>
                                <a:gd name="connsiteY4" fmla="*/ 1955712 h 1955712"/>
                                <a:gd name="connsiteX5" fmla="*/ 0 w 1954661"/>
                                <a:gd name="connsiteY5" fmla="*/ 1955712 h 1955712"/>
                                <a:gd name="connsiteX6" fmla="*/ 28600 w 1954661"/>
                                <a:gd name="connsiteY6" fmla="*/ 1755703 h 1955712"/>
                                <a:gd name="connsiteX7" fmla="*/ 1945818 w 1954661"/>
                                <a:gd name="connsiteY7" fmla="*/ 446 h 19557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954661" h="1955712">
                                  <a:moveTo>
                                    <a:pt x="1954661" y="0"/>
                                  </a:moveTo>
                                  <a:lnTo>
                                    <a:pt x="1954661" y="873579"/>
                                  </a:lnTo>
                                  <a:lnTo>
                                    <a:pt x="1903881" y="881329"/>
                                  </a:lnTo>
                                  <a:cubicBezTo>
                                    <a:pt x="1380139" y="988502"/>
                                    <a:pt x="969940" y="1407380"/>
                                    <a:pt x="875574" y="1935672"/>
                                  </a:cubicBezTo>
                                  <a:lnTo>
                                    <a:pt x="872901" y="1955712"/>
                                  </a:lnTo>
                                  <a:lnTo>
                                    <a:pt x="0" y="1955712"/>
                                  </a:lnTo>
                                  <a:lnTo>
                                    <a:pt x="28600" y="1755703"/>
                                  </a:lnTo>
                                  <a:cubicBezTo>
                                    <a:pt x="207741" y="820749"/>
                                    <a:pt x="984393" y="98084"/>
                                    <a:pt x="1945818" y="446"/>
                                  </a:cubicBezTo>
                                  <a:close/>
                                </a:path>
                              </a:pathLst>
                            </a:custGeom>
                            <a:solidFill>
                              <a:srgbClr val="F6AB32"/>
                            </a:solidFill>
                            <a:ln w="12700" cap="flat" cmpd="sng" algn="ctr">
                              <a:solidFill>
                                <a:srgbClr val="F6AB32"/>
                              </a:solidFill>
                              <a:prstDash val="solid"/>
                              <a:miter lim="800000"/>
                            </a:ln>
                            <a:effectLst/>
                          </wps:spPr>
                          <wps:bodyPr rtlCol="0" anchor="ctr"/>
                        </wps:wsp>
                        <wps:wsp>
                          <wps:cNvPr id="13" name="任意多边形: 形状 5" descr="KSO_WM_UNIT_INDEX=1_3&amp;KSO_WM_UNIT_TYPE=n_i&amp;KSO_WM_UNIT_ID=wpsdiag20163287_1*n_i*1_3&amp;KSO_WM_UNIT_LAYERLEVEL=1_1&amp;KSO_WM_UNIT_CLEAR=1&amp;KSO_WM_TAG_VERSION=1.0&amp;KSO_WM_BEAUTIFY_FLAG=#wm#&amp;KSO_WM_TEMPLATE_CATEGORY=wpsdiag&amp;KSO_WM_TEMPLATE_INDEX=20163287&amp;KSO_WM_SLIDE_ITEM_CNT=4&amp;KSO_WM_DIAGRAM_GROUP_CODE=n1_1&amp;KSO_WM_UNIT_FILL_TYPE=1&amp;KSO_WM_UNIT_FILL_FORE_SCHEMECOLOR_INDEX=7&amp;KSO_WM_UNIT_FILL_BACK_SCHEMECOLOR_INDEX=0&amp;KSO_WM_UNIT_LINE_FILL_TYPE=1&amp;KSO_WM_UNIT_LINE_FORE_SCHEMECOLOR_INDEX=7&amp;KSO_WM_UNIT_LINE_BACK_SCHEMECOLOR_INDEX=0"/>
                          <wps:cNvSpPr/>
                          <wps:spPr>
                            <a:xfrm rot="10800000">
                              <a:off x="1033638" y="1051824"/>
                              <a:ext cx="845467" cy="845747"/>
                            </a:xfrm>
                            <a:custGeom>
                              <a:avLst/>
                              <a:gdLst>
                                <a:gd name="connsiteX0" fmla="*/ 1954661 w 1954661"/>
                                <a:gd name="connsiteY0" fmla="*/ 0 h 1955712"/>
                                <a:gd name="connsiteX1" fmla="*/ 1954661 w 1954661"/>
                                <a:gd name="connsiteY1" fmla="*/ 873579 h 1955712"/>
                                <a:gd name="connsiteX2" fmla="*/ 1903881 w 1954661"/>
                                <a:gd name="connsiteY2" fmla="*/ 881329 h 1955712"/>
                                <a:gd name="connsiteX3" fmla="*/ 875574 w 1954661"/>
                                <a:gd name="connsiteY3" fmla="*/ 1935672 h 1955712"/>
                                <a:gd name="connsiteX4" fmla="*/ 872901 w 1954661"/>
                                <a:gd name="connsiteY4" fmla="*/ 1955712 h 1955712"/>
                                <a:gd name="connsiteX5" fmla="*/ 0 w 1954661"/>
                                <a:gd name="connsiteY5" fmla="*/ 1955712 h 1955712"/>
                                <a:gd name="connsiteX6" fmla="*/ 28600 w 1954661"/>
                                <a:gd name="connsiteY6" fmla="*/ 1755703 h 1955712"/>
                                <a:gd name="connsiteX7" fmla="*/ 1945818 w 1954661"/>
                                <a:gd name="connsiteY7" fmla="*/ 446 h 19557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954661" h="1955712">
                                  <a:moveTo>
                                    <a:pt x="1954661" y="0"/>
                                  </a:moveTo>
                                  <a:lnTo>
                                    <a:pt x="1954661" y="873579"/>
                                  </a:lnTo>
                                  <a:lnTo>
                                    <a:pt x="1903881" y="881329"/>
                                  </a:lnTo>
                                  <a:cubicBezTo>
                                    <a:pt x="1380139" y="988502"/>
                                    <a:pt x="969940" y="1407380"/>
                                    <a:pt x="875574" y="1935672"/>
                                  </a:cubicBezTo>
                                  <a:lnTo>
                                    <a:pt x="872901" y="1955712"/>
                                  </a:lnTo>
                                  <a:lnTo>
                                    <a:pt x="0" y="1955712"/>
                                  </a:lnTo>
                                  <a:lnTo>
                                    <a:pt x="28600" y="1755703"/>
                                  </a:lnTo>
                                  <a:cubicBezTo>
                                    <a:pt x="207741" y="820749"/>
                                    <a:pt x="984393" y="98084"/>
                                    <a:pt x="1945818" y="446"/>
                                  </a:cubicBezTo>
                                  <a:close/>
                                </a:path>
                              </a:pathLst>
                            </a:custGeom>
                            <a:solidFill>
                              <a:srgbClr val="3E535F"/>
                            </a:solidFill>
                            <a:ln w="12700" cap="flat" cmpd="sng" algn="ctr">
                              <a:solidFill>
                                <a:srgbClr val="3E535F"/>
                              </a:solidFill>
                              <a:prstDash val="solid"/>
                              <a:miter lim="800000"/>
                            </a:ln>
                            <a:effectLst/>
                          </wps:spPr>
                          <wps:bodyPr rtlCol="0" anchor="ctr"/>
                        </wps:wsp>
                        <wps:wsp>
                          <wps:cNvPr id="14" name="任意多边形: 形状 6" descr="KSO_WM_UNIT_INDEX=1_4&amp;KSO_WM_UNIT_TYPE=n_i&amp;KSO_WM_UNIT_ID=wpsdiag20163287_1*n_i*1_4&amp;KSO_WM_UNIT_LAYERLEVEL=1_1&amp;KSO_WM_UNIT_CLEAR=1&amp;KSO_WM_TAG_VERSION=1.0&amp;KSO_WM_BEAUTIFY_FLAG=#wm#&amp;KSO_WM_TEMPLATE_CATEGORY=wpsdiag&amp;KSO_WM_TEMPLATE_INDEX=20163287&amp;KSO_WM_SLIDE_ITEM_CNT=4&amp;KSO_WM_DIAGRAM_GROUP_CODE=n1_1&amp;KSO_WM_UNIT_FILL_TYPE=1&amp;KSO_WM_UNIT_FILL_FORE_SCHEMECOLOR_INDEX=8&amp;KSO_WM_UNIT_FILL_BACK_SCHEMECOLOR_INDEX=0&amp;KSO_WM_UNIT_LINE_FILL_TYPE=1&amp;KSO_WM_UNIT_LINE_FORE_SCHEMECOLOR_INDEX=8&amp;KSO_WM_UNIT_LINE_BACK_SCHEMECOLOR_INDEX=0"/>
                          <wps:cNvSpPr/>
                          <wps:spPr>
                            <a:xfrm rot="16200000">
                              <a:off x="314" y="1054466"/>
                              <a:ext cx="845293" cy="845921"/>
                            </a:xfrm>
                            <a:custGeom>
                              <a:avLst/>
                              <a:gdLst>
                                <a:gd name="connsiteX0" fmla="*/ 1954661 w 1954661"/>
                                <a:gd name="connsiteY0" fmla="*/ 0 h 1955712"/>
                                <a:gd name="connsiteX1" fmla="*/ 1954661 w 1954661"/>
                                <a:gd name="connsiteY1" fmla="*/ 873579 h 1955712"/>
                                <a:gd name="connsiteX2" fmla="*/ 1903881 w 1954661"/>
                                <a:gd name="connsiteY2" fmla="*/ 881329 h 1955712"/>
                                <a:gd name="connsiteX3" fmla="*/ 875574 w 1954661"/>
                                <a:gd name="connsiteY3" fmla="*/ 1935672 h 1955712"/>
                                <a:gd name="connsiteX4" fmla="*/ 872901 w 1954661"/>
                                <a:gd name="connsiteY4" fmla="*/ 1955712 h 1955712"/>
                                <a:gd name="connsiteX5" fmla="*/ 0 w 1954661"/>
                                <a:gd name="connsiteY5" fmla="*/ 1955712 h 1955712"/>
                                <a:gd name="connsiteX6" fmla="*/ 28600 w 1954661"/>
                                <a:gd name="connsiteY6" fmla="*/ 1755703 h 1955712"/>
                                <a:gd name="connsiteX7" fmla="*/ 1945818 w 1954661"/>
                                <a:gd name="connsiteY7" fmla="*/ 446 h 19557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954661" h="1955712">
                                  <a:moveTo>
                                    <a:pt x="1954661" y="0"/>
                                  </a:moveTo>
                                  <a:lnTo>
                                    <a:pt x="1954661" y="873579"/>
                                  </a:lnTo>
                                  <a:lnTo>
                                    <a:pt x="1903881" y="881329"/>
                                  </a:lnTo>
                                  <a:cubicBezTo>
                                    <a:pt x="1380139" y="988502"/>
                                    <a:pt x="969940" y="1407380"/>
                                    <a:pt x="875574" y="1935672"/>
                                  </a:cubicBezTo>
                                  <a:lnTo>
                                    <a:pt x="872901" y="1955712"/>
                                  </a:lnTo>
                                  <a:lnTo>
                                    <a:pt x="0" y="1955712"/>
                                  </a:lnTo>
                                  <a:lnTo>
                                    <a:pt x="28600" y="1755703"/>
                                  </a:lnTo>
                                  <a:cubicBezTo>
                                    <a:pt x="207741" y="820749"/>
                                    <a:pt x="984393" y="98084"/>
                                    <a:pt x="1945818" y="446"/>
                                  </a:cubicBezTo>
                                  <a:close/>
                                </a:path>
                              </a:pathLst>
                            </a:custGeom>
                            <a:solidFill>
                              <a:srgbClr val="E94B37"/>
                            </a:solidFill>
                            <a:ln w="12700" cap="flat" cmpd="sng" algn="ctr">
                              <a:solidFill>
                                <a:srgbClr val="E94B37"/>
                              </a:solidFill>
                              <a:prstDash val="solid"/>
                              <a:miter lim="800000"/>
                            </a:ln>
                            <a:effectLst/>
                          </wps:spPr>
                          <wps:bodyPr rtlCol="0" anchor="ctr"/>
                        </wps:wsp>
                        <wps:wsp>
                          <wps:cNvPr id="19" name="矩形 19" descr="KSO_WM_UNIT_INDEX=1_1_1&amp;KSO_WM_UNIT_TYPE=n_h_a&amp;KSO_WM_UNIT_ID=wpsdiag20163287_1*n_h_a*1_1_1&amp;KSO_WM_UNIT_LAYERLEVEL=1_1_1&amp;KSO_WM_UNIT_HIGHLIGHT=0&amp;KSO_WM_UNIT_CLEAR=0&amp;KSO_WM_UNIT_COMPATIBLE=0&amp;KSO_WM_UNIT_PRESET_TEXT=添加标题&amp;KSO_WM_UNIT_VALUE=4&amp;KSO_WM_TAG_VERSION=1.0&amp;KSO_WM_BEAUTIFY_FLAG=#wm#&amp;KSO_WM_TEMPLATE_CATEGORY=wpsdiag&amp;KSO_WM_TEMPLATE_INDEX=20163287&amp;KSO_WM_SLIDE_ITEM_CNT=4&amp;KSO_WM_DIAGRAM_GROUP_CODE=n1_1&amp;KSO_WM_UNIT_TEXT_FILL_TYPE=1&amp;KSO_WM_UNIT_TEXT_FILL_FORE_SCHEMECOLOR_INDEX=13"/>
                          <wps:cNvSpPr/>
                          <wps:spPr>
                            <a:xfrm>
                              <a:off x="487931" y="824277"/>
                              <a:ext cx="827638" cy="300259"/>
                            </a:xfrm>
                            <a:prstGeom prst="rect">
                              <a:avLst/>
                            </a:prstGeom>
                            <a:noFill/>
                          </wps:spPr>
                          <wps:txbx>
                            <w:txbxContent>
                              <w:p w14:paraId="396562BF">
                                <w:pPr>
                                  <w:pStyle w:val="6"/>
                                  <w:snapToGrid w:val="0"/>
                                  <w:spacing w:beforeAutospacing="0" w:afterAutospacing="0" w:line="192" w:lineRule="auto"/>
                                  <w:jc w:val="center"/>
                                  <w:rPr>
                                    <w:rFonts w:ascii="宋体" w:hAnsi="宋体" w:eastAsia="宋体" w:cs="宋体"/>
                                    <w:color w:val="000000"/>
                                    <w:sz w:val="28"/>
                                    <w:szCs w:val="28"/>
                                  </w:rPr>
                                </w:pPr>
                                <w:r>
                                  <w:rPr>
                                    <w:rFonts w:hint="eastAsia" w:ascii="宋体" w:hAnsi="宋体" w:eastAsia="宋体" w:cs="宋体"/>
                                    <w:b/>
                                    <w:bCs/>
                                    <w:color w:val="000000"/>
                                    <w:kern w:val="24"/>
                                    <w:sz w:val="28"/>
                                    <w:szCs w:val="28"/>
                                  </w:rPr>
                                  <w:t>恒大</w:t>
                                </w:r>
                              </w:p>
                            </w:txbxContent>
                          </wps:txbx>
                          <wps:bodyPr wrap="square" rtlCol="0">
                            <a:noAutofit/>
                          </wps:bodyPr>
                        </wps:wsp>
                        <wps:wsp>
                          <wps:cNvPr id="20" name="矩形 20" descr="KSO_WM_UNIT_INDEX=1_1_1&amp;KSO_WM_UNIT_TYPE=n_h_f&amp;KSO_WM_UNIT_ID=wpsdiag20163287_1*n_h_f*1_1_1&amp;KSO_WM_UNIT_LAYERLEVEL=1_1_1&amp;KSO_WM_UNIT_HIGHLIGHT=0&amp;KSO_WM_UNIT_CLEAR=0&amp;KSO_WM_UNIT_COMPATIBLE=0&amp;KSO_WM_UNIT_PRESET_TEXT=请在此处编辑文本请在此处编辑文本&amp;KSO_WM_UNIT_VALUE=24&amp;KSO_WM_TAG_VERSION=1.0&amp;KSO_WM_BEAUTIFY_FLAG=#wm#&amp;KSO_WM_TEMPLATE_CATEGORY=wpsdiag&amp;KSO_WM_TEMPLATE_INDEX=20163287&amp;KSO_WM_SLIDE_ITEM_CNT=4&amp;KSO_WM_DIAGRAM_GROUP_CODE=n1_1&amp;KSO_WM_UNIT_TEXT_FILL_TYPE=1&amp;KSO_WM_UNIT_TEXT_FILL_FORE_SCHEMECOLOR_INDEX=13"/>
                          <wps:cNvSpPr/>
                          <wps:spPr>
                            <a:xfrm>
                              <a:off x="404658" y="940827"/>
                              <a:ext cx="1184910" cy="405130"/>
                            </a:xfrm>
                            <a:prstGeom prst="rect">
                              <a:avLst/>
                            </a:prstGeom>
                            <a:noFill/>
                          </wps:spPr>
                          <wps:txbx>
                            <w:txbxContent>
                              <w:p w14:paraId="5E2AAE78">
                                <w:pPr>
                                  <w:pStyle w:val="6"/>
                                  <w:snapToGrid w:val="0"/>
                                  <w:spacing w:beforeAutospacing="0" w:afterAutospacing="0" w:line="192" w:lineRule="auto"/>
                                  <w:rPr>
                                    <w:rFonts w:ascii="微软雅黑" w:hAnsi="微软雅黑" w:eastAsia="微软雅黑"/>
                                    <w:color w:val="000000"/>
                                  </w:rPr>
                                </w:pPr>
                              </w:p>
                            </w:txbxContent>
                          </wps:txbx>
                          <wps:bodyPr wrap="square" rtlCol="0">
                            <a:noAutofit/>
                          </wps:bodyPr>
                        </wps:wsp>
                        <wps:wsp>
                          <wps:cNvPr id="21" name="矩形 21" descr="KSO_WM_UNIT_INDEX=1_2_1&amp;KSO_WM_UNIT_TYPE=n_h_f&amp;KSO_WM_UNIT_ID=wpsdiag20163287_1*n_h_f*1_2_1&amp;KSO_WM_UNIT_LAYERLEVEL=1_1_1&amp;KSO_WM_UNIT_HIGHLIGHT=0&amp;KSO_WM_UNIT_CLEAR=0&amp;KSO_WM_UNIT_COMPATIBLE=0&amp;KSO_WM_UNIT_PRESET_TEXT=请在此处编辑文本请在此处编辑文本&amp;KSO_WM_UNIT_VALUE=24&amp;KSO_WM_TAG_VERSION=1.0&amp;KSO_WM_BEAUTIFY_FLAG=#wm#&amp;KSO_WM_TEMPLATE_CATEGORY=wpsdiag&amp;KSO_WM_TEMPLATE_INDEX=20163287&amp;KSO_WM_SLIDE_ITEM_CNT=4&amp;KSO_WM_DIAGRAM_GROUP_CODE=n1_1&amp;KSO_WM_UNIT_TEXT_FILL_TYPE=1&amp;KSO_WM_UNIT_TEXT_FILL_FORE_SCHEMECOLOR_INDEX=13"/>
                          <wps:cNvSpPr/>
                          <wps:spPr>
                            <a:xfrm>
                              <a:off x="2557484" y="-36677"/>
                              <a:ext cx="1184880" cy="697060"/>
                            </a:xfrm>
                            <a:prstGeom prst="rect">
                              <a:avLst/>
                            </a:prstGeom>
                            <a:noFill/>
                          </wps:spPr>
                          <wps:txbx>
                            <w:txbxContent>
                              <w:p w14:paraId="0F7D6282">
                                <w:pPr>
                                  <w:pStyle w:val="6"/>
                                  <w:numPr>
                                    <w:ilvl w:val="0"/>
                                    <w:numId w:val="3"/>
                                  </w:numPr>
                                  <w:snapToGrid w:val="0"/>
                                  <w:spacing w:beforeAutospacing="0" w:afterAutospacing="0" w:line="192" w:lineRule="auto"/>
                                  <w:rPr>
                                    <w:rFonts w:ascii="宋体" w:hAnsi="宋体" w:eastAsia="宋体" w:cs="宋体"/>
                                    <w:sz w:val="18"/>
                                    <w:szCs w:val="18"/>
                                  </w:rPr>
                                </w:pPr>
                                <w:r>
                                  <w:rPr>
                                    <w:rFonts w:hint="eastAsia" w:ascii="宋体" w:hAnsi="宋体" w:eastAsia="宋体" w:cs="宋体"/>
                                    <w:sz w:val="18"/>
                                    <w:szCs w:val="18"/>
                                  </w:rPr>
                                  <w:t>房住不炒，未来房地产行业发展的总基调</w:t>
                                </w:r>
                              </w:p>
                              <w:p w14:paraId="33DA048B">
                                <w:pPr>
                                  <w:pStyle w:val="6"/>
                                  <w:numPr>
                                    <w:ilvl w:val="0"/>
                                    <w:numId w:val="3"/>
                                  </w:numPr>
                                  <w:snapToGrid w:val="0"/>
                                  <w:spacing w:beforeAutospacing="0" w:afterAutospacing="0" w:line="192" w:lineRule="auto"/>
                                  <w:rPr>
                                    <w:rFonts w:ascii="宋体" w:hAnsi="宋体" w:eastAsia="宋体" w:cs="宋体"/>
                                    <w:sz w:val="18"/>
                                    <w:szCs w:val="18"/>
                                  </w:rPr>
                                </w:pPr>
                                <w:r>
                                  <w:rPr>
                                    <w:rFonts w:hint="eastAsia" w:ascii="宋体" w:hAnsi="宋体" w:eastAsia="宋体" w:cs="宋体"/>
                                    <w:sz w:val="18"/>
                                    <w:szCs w:val="18"/>
                                  </w:rPr>
                                  <w:t>房地产去金融化，防范金融风险降杠杆</w:t>
                                </w:r>
                              </w:p>
                              <w:p w14:paraId="5FE0BC8E">
                                <w:pPr>
                                  <w:pStyle w:val="6"/>
                                  <w:numPr>
                                    <w:ilvl w:val="0"/>
                                    <w:numId w:val="3"/>
                                  </w:numPr>
                                  <w:snapToGrid w:val="0"/>
                                  <w:spacing w:beforeAutospacing="0" w:afterAutospacing="0" w:line="192" w:lineRule="auto"/>
                                  <w:rPr>
                                    <w:rFonts w:ascii="宋体" w:hAnsi="宋体" w:eastAsia="宋体" w:cs="宋体"/>
                                    <w:sz w:val="18"/>
                                    <w:szCs w:val="18"/>
                                  </w:rPr>
                                </w:pPr>
                                <w:r>
                                  <w:rPr>
                                    <w:rFonts w:hint="eastAsia" w:ascii="宋体" w:hAnsi="宋体" w:eastAsia="宋体" w:cs="宋体"/>
                                    <w:sz w:val="18"/>
                                    <w:szCs w:val="18"/>
                                  </w:rPr>
                                  <w:t>出台房产税，有利于遏制投机、缩小贫富差距</w:t>
                                </w:r>
                              </w:p>
                              <w:p w14:paraId="2FC1DE81">
                                <w:pPr>
                                  <w:pStyle w:val="6"/>
                                  <w:numPr>
                                    <w:ilvl w:val="0"/>
                                    <w:numId w:val="3"/>
                                  </w:numPr>
                                  <w:snapToGrid w:val="0"/>
                                  <w:spacing w:beforeAutospacing="0" w:afterAutospacing="0" w:line="192" w:lineRule="auto"/>
                                  <w:rPr>
                                    <w:rFonts w:ascii="宋体" w:hAnsi="宋体" w:eastAsia="宋体" w:cs="宋体"/>
                                    <w:sz w:val="18"/>
                                    <w:szCs w:val="18"/>
                                  </w:rPr>
                                </w:pPr>
                                <w:r>
                                  <w:rPr>
                                    <w:rFonts w:hint="eastAsia" w:ascii="宋体" w:hAnsi="宋体" w:eastAsia="宋体" w:cs="宋体"/>
                                    <w:sz w:val="18"/>
                                    <w:szCs w:val="18"/>
                                  </w:rPr>
                                  <w:t>土地供应“两集中”，从供给端限制房价</w:t>
                                </w:r>
                              </w:p>
                              <w:p w14:paraId="0716CBF5">
                                <w:pPr>
                                  <w:pStyle w:val="6"/>
                                  <w:snapToGrid w:val="0"/>
                                  <w:spacing w:beforeAutospacing="0" w:afterAutospacing="0" w:line="192" w:lineRule="auto"/>
                                  <w:rPr>
                                    <w:rFonts w:ascii="宋体" w:hAnsi="宋体" w:eastAsia="宋体" w:cs="宋体"/>
                                    <w:sz w:val="15"/>
                                    <w:szCs w:val="15"/>
                                  </w:rPr>
                                </w:pPr>
                              </w:p>
                            </w:txbxContent>
                          </wps:txbx>
                          <wps:bodyPr wrap="square" rtlCol="0">
                            <a:noAutofit/>
                          </wps:bodyPr>
                        </wps:wsp>
                        <wps:wsp>
                          <wps:cNvPr id="22" name="矩形 22" descr="KSO_WM_UNIT_INDEX=1_2_2&amp;KSO_WM_UNIT_TYPE=n_h_f&amp;KSO_WM_UNIT_ID=wpsdiag20163287_1*n_h_f*1_2_2&amp;KSO_WM_UNIT_LAYERLEVEL=1_1_1&amp;KSO_WM_UNIT_HIGHLIGHT=0&amp;KSO_WM_UNIT_CLEAR=0&amp;KSO_WM_UNIT_COMPATIBLE=0&amp;KSO_WM_UNIT_PRESET_TEXT=请在此处编辑文本请在此处编辑文本&amp;KSO_WM_UNIT_VALUE=24&amp;KSO_WM_TAG_VERSION=1.0&amp;KSO_WM_BEAUTIFY_FLAG=#wm#&amp;KSO_WM_TEMPLATE_CATEGORY=wpsdiag&amp;KSO_WM_TEMPLATE_INDEX=20163287&amp;KSO_WM_SLIDE_ITEM_CNT=4&amp;KSO_WM_DIAGRAM_GROUP_CODE=n1_1&amp;KSO_WM_UNIT_TEXT_FILL_TYPE=1&amp;KSO_WM_UNIT_TEXT_FILL_FORE_SCHEMECOLOR_INDEX=13"/>
                          <wps:cNvSpPr/>
                          <wps:spPr>
                            <a:xfrm>
                              <a:off x="2525188" y="565716"/>
                              <a:ext cx="1240592" cy="715265"/>
                            </a:xfrm>
                            <a:prstGeom prst="rect">
                              <a:avLst/>
                            </a:prstGeom>
                            <a:noFill/>
                          </wps:spPr>
                          <wps:txbx>
                            <w:txbxContent>
                              <w:p w14:paraId="19E515F1">
                                <w:pPr>
                                  <w:rPr>
                                    <w:rFonts w:ascii="宋体" w:hAnsi="宋体" w:eastAsia="宋体" w:cs="宋体"/>
                                    <w:kern w:val="0"/>
                                    <w:sz w:val="18"/>
                                    <w:szCs w:val="18"/>
                                    <w:lang w:bidi="ar"/>
                                  </w:rPr>
                                </w:pPr>
                                <w:r>
                                  <w:rPr>
                                    <w:rFonts w:hint="eastAsia" w:ascii="宋体" w:hAnsi="宋体" w:eastAsia="宋体" w:cs="宋体"/>
                                    <w:kern w:val="0"/>
                                    <w:sz w:val="18"/>
                                    <w:szCs w:val="18"/>
                                    <w:lang w:bidi="ar"/>
                                  </w:rPr>
                                  <w:t>房地产市场的发展与国家经济走势高度关联。我国宏观经济的很大一部分来自房地产行业经济，说明了房地产行业经济发展也应该满足宏观经济发展的整体趋势。</w:t>
                                </w:r>
                              </w:p>
                            </w:txbxContent>
                          </wps:txbx>
                          <wps:bodyPr wrap="square" rtlCol="0">
                            <a:noAutofit/>
                          </wps:bodyPr>
                        </wps:wsp>
                        <wps:wsp>
                          <wps:cNvPr id="23" name="矩形 23" descr="KSO_WM_UNIT_INDEX=1_2_3&amp;KSO_WM_UNIT_TYPE=n_h_f&amp;KSO_WM_UNIT_ID=wpsdiag20163287_1*n_h_f*1_2_3&amp;KSO_WM_UNIT_LAYERLEVEL=1_1_1&amp;KSO_WM_UNIT_HIGHLIGHT=0&amp;KSO_WM_UNIT_CLEAR=0&amp;KSO_WM_UNIT_COMPATIBLE=0&amp;KSO_WM_UNIT_PRESET_TEXT=请在此处编辑文本请在此处编辑文本&amp;KSO_WM_UNIT_VALUE=24&amp;KSO_WM_TAG_VERSION=1.0&amp;KSO_WM_BEAUTIFY_FLAG=#wm#&amp;KSO_WM_TEMPLATE_CATEGORY=wpsdiag&amp;KSO_WM_TEMPLATE_INDEX=20163287&amp;KSO_WM_SLIDE_ITEM_CNT=4&amp;KSO_WM_DIAGRAM_GROUP_CODE=n1_1&amp;KSO_WM_UNIT_TEXT_FILL_TYPE=1&amp;KSO_WM_UNIT_TEXT_FILL_FORE_SCHEMECOLOR_INDEX=13"/>
                          <wps:cNvSpPr/>
                          <wps:spPr>
                            <a:xfrm>
                              <a:off x="2565558" y="1192026"/>
                              <a:ext cx="1184880" cy="405387"/>
                            </a:xfrm>
                            <a:prstGeom prst="rect">
                              <a:avLst/>
                            </a:prstGeom>
                            <a:noFill/>
                          </wps:spPr>
                          <wps:txbx>
                            <w:txbxContent>
                              <w:p w14:paraId="6776F26A">
                                <w:pPr>
                                  <w:numPr>
                                    <w:ilvl w:val="0"/>
                                    <w:numId w:val="3"/>
                                  </w:numPr>
                                  <w:rPr>
                                    <w:rFonts w:ascii="宋体" w:hAnsi="宋体" w:eastAsia="宋体" w:cs="宋体"/>
                                    <w:kern w:val="0"/>
                                    <w:sz w:val="18"/>
                                    <w:szCs w:val="18"/>
                                    <w:lang w:bidi="ar"/>
                                  </w:rPr>
                                </w:pPr>
                                <w:r>
                                  <w:rPr>
                                    <w:rFonts w:hint="eastAsia" w:ascii="宋体" w:hAnsi="宋体" w:eastAsia="宋体" w:cs="宋体"/>
                                    <w:kern w:val="0"/>
                                    <w:sz w:val="18"/>
                                    <w:szCs w:val="18"/>
                                    <w:lang w:bidi="ar"/>
                                  </w:rPr>
                                  <w:t>社会心理</w:t>
                                </w:r>
                              </w:p>
                              <w:p w14:paraId="7F9F162B">
                                <w:pPr>
                                  <w:numPr>
                                    <w:ilvl w:val="0"/>
                                    <w:numId w:val="3"/>
                                  </w:numPr>
                                  <w:rPr>
                                    <w:rFonts w:ascii="宋体" w:hAnsi="宋体" w:eastAsia="宋体" w:cs="宋体"/>
                                    <w:kern w:val="0"/>
                                    <w:sz w:val="18"/>
                                    <w:szCs w:val="18"/>
                                    <w:lang w:bidi="ar"/>
                                  </w:rPr>
                                </w:pPr>
                                <w:r>
                                  <w:rPr>
                                    <w:rFonts w:hint="eastAsia" w:ascii="宋体" w:hAnsi="宋体" w:eastAsia="宋体" w:cs="宋体"/>
                                    <w:kern w:val="0"/>
                                    <w:sz w:val="18"/>
                                    <w:szCs w:val="18"/>
                                    <w:lang w:bidi="ar"/>
                                  </w:rPr>
                                  <w:t>城镇化</w:t>
                                </w:r>
                              </w:p>
                              <w:p w14:paraId="7D49B423">
                                <w:pPr>
                                  <w:numPr>
                                    <w:ilvl w:val="0"/>
                                    <w:numId w:val="3"/>
                                  </w:numPr>
                                  <w:rPr>
                                    <w:rFonts w:ascii="宋体" w:hAnsi="宋体" w:eastAsia="宋体" w:cs="宋体"/>
                                    <w:kern w:val="0"/>
                                    <w:sz w:val="18"/>
                                    <w:szCs w:val="18"/>
                                    <w:lang w:bidi="ar"/>
                                  </w:rPr>
                                </w:pPr>
                                <w:r>
                                  <w:rPr>
                                    <w:rFonts w:hint="eastAsia" w:ascii="宋体" w:hAnsi="宋体" w:eastAsia="宋体" w:cs="宋体"/>
                                    <w:kern w:val="0"/>
                                    <w:sz w:val="18"/>
                                    <w:szCs w:val="18"/>
                                    <w:lang w:bidi="ar"/>
                                  </w:rPr>
                                  <w:t>生活方式的改变</w:t>
                                </w:r>
                              </w:p>
                            </w:txbxContent>
                          </wps:txbx>
                          <wps:bodyPr wrap="square" rtlCol="0">
                            <a:noAutofit/>
                          </wps:bodyPr>
                        </wps:wsp>
                        <wps:wsp>
                          <wps:cNvPr id="24" name="矩形 24" descr="KSO_WM_UNIT_INDEX=1_2_4&amp;KSO_WM_UNIT_TYPE=n_h_f&amp;KSO_WM_UNIT_ID=wpsdiag20163287_1*n_h_f*1_2_4&amp;KSO_WM_UNIT_LAYERLEVEL=1_1_1&amp;KSO_WM_UNIT_HIGHLIGHT=0&amp;KSO_WM_UNIT_CLEAR=0&amp;KSO_WM_UNIT_COMPATIBLE=0&amp;KSO_WM_UNIT_PRESET_TEXT=请在此处编辑文本请在此处编辑文本&amp;KSO_WM_UNIT_VALUE=24&amp;KSO_WM_TAG_VERSION=1.0&amp;KSO_WM_BEAUTIFY_FLAG=#wm#&amp;KSO_WM_TEMPLATE_CATEGORY=wpsdiag&amp;KSO_WM_TEMPLATE_INDEX=20163287&amp;KSO_WM_SLIDE_ITEM_CNT=4&amp;KSO_WM_DIAGRAM_GROUP_CODE=n1_1&amp;KSO_WM_UNIT_TEXT_FILL_TYPE=1&amp;KSO_WM_UNIT_TEXT_FILL_FORE_SCHEMECOLOR_INDEX=13"/>
                          <wps:cNvSpPr/>
                          <wps:spPr>
                            <a:xfrm>
                              <a:off x="2572825" y="1563365"/>
                              <a:ext cx="1184880" cy="404966"/>
                            </a:xfrm>
                            <a:prstGeom prst="rect">
                              <a:avLst/>
                            </a:prstGeom>
                            <a:noFill/>
                          </wps:spPr>
                          <wps:txbx>
                            <w:txbxContent>
                              <w:p w14:paraId="62EF6FC8">
                                <w:pPr>
                                  <w:numPr>
                                    <w:ilvl w:val="0"/>
                                    <w:numId w:val="3"/>
                                  </w:numPr>
                                  <w:rPr>
                                    <w:sz w:val="18"/>
                                    <w:szCs w:val="18"/>
                                  </w:rPr>
                                </w:pPr>
                                <w:r>
                                  <w:rPr>
                                    <w:rFonts w:hint="eastAsia" w:ascii="宋体" w:hAnsi="宋体" w:eastAsia="宋体" w:cs="宋体"/>
                                    <w:sz w:val="18"/>
                                    <w:szCs w:val="18"/>
                                  </w:rPr>
                                  <w:t>新能源的推广</w:t>
                                </w:r>
                              </w:p>
                              <w:p w14:paraId="511A8AD4">
                                <w:pPr>
                                  <w:numPr>
                                    <w:ilvl w:val="0"/>
                                    <w:numId w:val="3"/>
                                  </w:numPr>
                                  <w:rPr>
                                    <w:sz w:val="18"/>
                                    <w:szCs w:val="18"/>
                                  </w:rPr>
                                </w:pPr>
                                <w:r>
                                  <w:rPr>
                                    <w:rFonts w:hint="eastAsia" w:ascii="宋体" w:hAnsi="宋体" w:eastAsia="宋体" w:cs="宋体"/>
                                    <w:sz w:val="18"/>
                                    <w:szCs w:val="18"/>
                                  </w:rPr>
                                  <w:t>智能化服务</w:t>
                                </w:r>
                              </w:p>
                              <w:p w14:paraId="03FA275C">
                                <w:pPr>
                                  <w:numPr>
                                    <w:ilvl w:val="0"/>
                                    <w:numId w:val="3"/>
                                  </w:numPr>
                                  <w:rPr>
                                    <w:sz w:val="18"/>
                                    <w:szCs w:val="18"/>
                                  </w:rPr>
                                </w:pPr>
                                <w:r>
                                  <w:rPr>
                                    <w:rFonts w:hint="eastAsia"/>
                                    <w:sz w:val="18"/>
                                    <w:szCs w:val="18"/>
                                  </w:rPr>
                                  <w:t>新销售模式</w:t>
                                </w:r>
                              </w:p>
                            </w:txbxContent>
                          </wps:txbx>
                          <wps:bodyPr wrap="square" rtlCol="0">
                            <a:noAutofit/>
                          </wps:bodyPr>
                        </wps:wsp>
                      </wpg:grpSp>
                      <wps:wsp>
                        <wps:cNvPr id="15" name="矩形 11"/>
                        <wps:cNvSpPr/>
                        <wps:spPr>
                          <a:xfrm>
                            <a:off x="5432" y="1616"/>
                            <a:ext cx="572" cy="665"/>
                          </a:xfrm>
                          <a:prstGeom prst="rect">
                            <a:avLst/>
                          </a:prstGeom>
                          <a:noFill/>
                        </wps:spPr>
                        <wps:txbx>
                          <w:txbxContent>
                            <w:p w14:paraId="15DD1E95">
                              <w:pPr>
                                <w:pStyle w:val="6"/>
                                <w:snapToGrid w:val="0"/>
                                <w:spacing w:beforeAutospacing="0" w:afterAutospacing="0" w:line="192" w:lineRule="auto"/>
                                <w:rPr>
                                  <w:rFonts w:ascii="微软雅黑" w:hAnsi="微软雅黑" w:eastAsia="微软雅黑"/>
                                </w:rPr>
                              </w:pPr>
                              <w:r>
                                <w:rPr>
                                  <w:rFonts w:hint="eastAsia" w:ascii="微软雅黑" w:hAnsi="微软雅黑" w:eastAsia="微软雅黑" w:cstheme="minorBidi"/>
                                  <w:b/>
                                  <w:bCs/>
                                  <w:color w:val="FFFFFF" w:themeColor="background1"/>
                                  <w:kern w:val="24"/>
                                  <w:sz w:val="38"/>
                                  <w:szCs w:val="38"/>
                                  <w14:textFill>
                                    <w14:solidFill>
                                      <w14:schemeClr w14:val="bg1"/>
                                    </w14:solidFill>
                                  </w14:textFill>
                                </w:rPr>
                                <w:t>P</w:t>
                              </w:r>
                            </w:p>
                          </w:txbxContent>
                        </wps:txbx>
                        <wps:bodyPr wrap="square" rtlCol="0">
                          <a:noAutofit/>
                        </wps:bodyPr>
                      </wps:wsp>
                      <wps:wsp>
                        <wps:cNvPr id="16" name="矩形 12"/>
                        <wps:cNvSpPr/>
                        <wps:spPr>
                          <a:xfrm>
                            <a:off x="7095" y="1655"/>
                            <a:ext cx="572" cy="665"/>
                          </a:xfrm>
                          <a:prstGeom prst="rect">
                            <a:avLst/>
                          </a:prstGeom>
                          <a:noFill/>
                        </wps:spPr>
                        <wps:txbx>
                          <w:txbxContent>
                            <w:p w14:paraId="65B8966B">
                              <w:pPr>
                                <w:pStyle w:val="6"/>
                                <w:snapToGrid w:val="0"/>
                                <w:spacing w:beforeAutospacing="0" w:afterAutospacing="0" w:line="192" w:lineRule="auto"/>
                                <w:rPr>
                                  <w:rFonts w:ascii="微软雅黑" w:hAnsi="微软雅黑" w:eastAsia="微软雅黑"/>
                                </w:rPr>
                              </w:pPr>
                              <w:r>
                                <w:rPr>
                                  <w:rFonts w:hint="eastAsia" w:ascii="微软雅黑" w:hAnsi="微软雅黑" w:eastAsia="微软雅黑" w:cstheme="minorBidi"/>
                                  <w:b/>
                                  <w:bCs/>
                                  <w:color w:val="FFFFFF" w:themeColor="background1"/>
                                  <w:kern w:val="24"/>
                                  <w:sz w:val="38"/>
                                  <w:szCs w:val="38"/>
                                  <w14:textFill>
                                    <w14:solidFill>
                                      <w14:schemeClr w14:val="bg1"/>
                                    </w14:solidFill>
                                  </w14:textFill>
                                </w:rPr>
                                <w:t>E</w:t>
                              </w:r>
                            </w:p>
                          </w:txbxContent>
                        </wps:txbx>
                        <wps:bodyPr wrap="square" rtlCol="0">
                          <a:noAutofit/>
                        </wps:bodyPr>
                      </wps:wsp>
                      <wps:wsp>
                        <wps:cNvPr id="17" name="矩形 13"/>
                        <wps:cNvSpPr/>
                        <wps:spPr>
                          <a:xfrm>
                            <a:off x="5419" y="3299"/>
                            <a:ext cx="572" cy="665"/>
                          </a:xfrm>
                          <a:prstGeom prst="rect">
                            <a:avLst/>
                          </a:prstGeom>
                          <a:noFill/>
                        </wps:spPr>
                        <wps:txbx>
                          <w:txbxContent>
                            <w:p w14:paraId="47018448">
                              <w:pPr>
                                <w:pStyle w:val="6"/>
                                <w:snapToGrid w:val="0"/>
                                <w:spacing w:beforeAutospacing="0" w:afterAutospacing="0" w:line="192" w:lineRule="auto"/>
                                <w:rPr>
                                  <w:rFonts w:ascii="微软雅黑" w:hAnsi="微软雅黑" w:eastAsia="微软雅黑"/>
                                </w:rPr>
                              </w:pPr>
                              <w:r>
                                <w:rPr>
                                  <w:rFonts w:hint="eastAsia" w:ascii="微软雅黑" w:hAnsi="微软雅黑" w:eastAsia="微软雅黑" w:cstheme="minorBidi"/>
                                  <w:b/>
                                  <w:bCs/>
                                  <w:color w:val="FFFFFF" w:themeColor="background1"/>
                                  <w:kern w:val="24"/>
                                  <w:sz w:val="38"/>
                                  <w:szCs w:val="38"/>
                                  <w14:textFill>
                                    <w14:solidFill>
                                      <w14:schemeClr w14:val="bg1"/>
                                    </w14:solidFill>
                                  </w14:textFill>
                                </w:rPr>
                                <w:t>S</w:t>
                              </w:r>
                            </w:p>
                          </w:txbxContent>
                        </wps:txbx>
                        <wps:bodyPr wrap="square" rtlCol="0">
                          <a:noAutofit/>
                        </wps:bodyPr>
                      </wps:wsp>
                      <wps:wsp>
                        <wps:cNvPr id="18" name="矩形 14"/>
                        <wps:cNvSpPr/>
                        <wps:spPr>
                          <a:xfrm>
                            <a:off x="7167" y="3299"/>
                            <a:ext cx="571" cy="665"/>
                          </a:xfrm>
                          <a:prstGeom prst="rect">
                            <a:avLst/>
                          </a:prstGeom>
                          <a:noFill/>
                        </wps:spPr>
                        <wps:txbx>
                          <w:txbxContent>
                            <w:p w14:paraId="64E9A0E4">
                              <w:pPr>
                                <w:pStyle w:val="6"/>
                                <w:snapToGrid w:val="0"/>
                                <w:spacing w:beforeAutospacing="0" w:afterAutospacing="0" w:line="192" w:lineRule="auto"/>
                                <w:rPr>
                                  <w:rFonts w:ascii="微软雅黑" w:hAnsi="微软雅黑" w:eastAsia="微软雅黑"/>
                                </w:rPr>
                              </w:pPr>
                              <w:r>
                                <w:rPr>
                                  <w:rFonts w:hint="eastAsia" w:ascii="微软雅黑" w:hAnsi="微软雅黑" w:eastAsia="微软雅黑" w:cstheme="minorBidi"/>
                                  <w:b/>
                                  <w:bCs/>
                                  <w:color w:val="FFFFFF" w:themeColor="background1"/>
                                  <w:kern w:val="24"/>
                                  <w:sz w:val="38"/>
                                  <w:szCs w:val="38"/>
                                  <w14:textFill>
                                    <w14:solidFill>
                                      <w14:schemeClr w14:val="bg1"/>
                                    </w14:solidFill>
                                  </w14:textFill>
                                </w:rPr>
                                <w:t>T</w:t>
                              </w:r>
                            </w:p>
                          </w:txbxContent>
                        </wps:txbx>
                        <wps:bodyPr wrap="square" rtlCol="0">
                          <a:noAutofit/>
                        </wps:bodyPr>
                      </wps:wsp>
                    </wpg:wgp>
                  </a:graphicData>
                </a:graphic>
              </wp:inline>
            </w:drawing>
          </mc:Choice>
          <mc:Fallback>
            <w:pict>
              <v:group id="_x0000_s1026" o:spid="_x0000_s1026" o:spt="203" alt="KSO_WM_BEAUTIFY_FLAG=#wm#&amp;KSO_WM_TEMPLATE_CATEGORY=wpsdiag&amp;KSO_WM_TEMPLATE_INDEX=&amp;KSO_WM_UNIT_ID=wpsdiag20163287_1*n*1&amp;KSO_WM_UNIT_TYPE=n" style="height:255.05pt;width:480.05pt;" coordorigin="5081,1157" coordsize="5931,3157" o:gfxdata="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">
                <o:lock v:ext="edit" aspectratio="f"/>
                <v:shape id="椭圆 7" o:spid="_x0000_s1026" o:spt="3" type="#_x0000_t3" style="position:absolute;left:8493;top:1230;height:527;width:528;v-text-anchor:middle;" fillcolor="#5B9BD5 [3204]" filled="t" stroked="t" coordsize="21600,21600" o:gfxdata="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b1NK7sAAADb&#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14:paraId="7749A8C8">
                        <w:pPr>
                          <w:jc w:val="center"/>
                          <w:rPr>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P</w:t>
                        </w:r>
                      </w:p>
                    </w:txbxContent>
                  </v:textbox>
                </v:shape>
                <v:shape id="椭圆 8" o:spid="_x0000_s1026" o:spt="3" alt="KSO_WM_UNIT_INDEX=1_5&amp;KSO_WM_UNIT_TYPE=n_i&amp;KSO_WM_UNIT_ID=wpsdiag20163287_1*n_i*1_5&amp;KSO_WM_UNIT_LAYERLEVEL=1_1&amp;KSO_WM_UNIT_CLEAR=1&amp;KSO_WM_TAG_VERSION=1.0&amp;KSO_WM_BEAUTIFY_FLAG=#wm#&amp;KSO_WM_TEMPLATE_CATEGORY=wpsdiag&amp;KSO_WM_TEMPLATE_INDEX=20163287&amp;KSO_WM_SLIDE_ITEM_CNT=4&amp;KSO_WM_UNIT_FILL_TYPE=1&amp;KSO_WM_UNIT_FILL_FORE_SCHEMECOLOR_INDEX=6&amp;KSO_WM_UNIT_FILL_BACK_SCHEMECOLOR_INDEX=0&amp;KSO_WM_UNIT_LINE_FILL_TYPE=1&amp;KSO_WM_UNIT_LINE_FORE_SCHEMECOLOR_INDEX=6&amp;KSO_WM_UNIT_LINE_BACK_SCHEMECOLOR_INDEX=0" type="#_x0000_t3" style="position:absolute;left:8495;top:2218;height:527;width:527;v-text-anchor:middle;" fillcolor="#F6AB32" filled="t" stroked="t" coordsize="21600,21600" o:gfxdata="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Yu8e5AAAA2wAA&#10;AA8AAAAAAAAAAQAgAAAAIgAAAGRycy9kb3ducmV2LnhtbFBLAQIUABQAAAAIAIdO4kAzLwWeOwAA&#10;ADkAAAAQAAAAAAAAAAEAIAAAAAgBAABkcnMvc2hhcGV4bWwueG1sUEsFBgAAAAAGAAYAWwEAALID&#10;AAAAAA==&#10;">
                  <v:fill on="t" focussize="0,0"/>
                  <v:stroke weight="1pt" color="#F6AB32" miterlimit="8" joinstyle="miter"/>
                  <v:imagedata o:title=""/>
                  <o:lock v:ext="edit" aspectratio="f"/>
                  <v:textbox>
                    <w:txbxContent>
                      <w:p w14:paraId="18FDE822">
                        <w:pPr>
                          <w:jc w:val="center"/>
                          <w:rPr>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E</w:t>
                        </w:r>
                      </w:p>
                    </w:txbxContent>
                  </v:textbox>
                </v:shape>
                <v:shape id="椭圆 9" o:spid="_x0000_s1026" o:spt="3" type="#_x0000_t3" style="position:absolute;left:8497;top:3064;height:527;width:527;v-text-anchor:middle;" fillcolor="#FFC000 [3207]" filled="t" stroked="t" coordsize="21600,21600" o:gfxdata="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BMeougAAANsA&#10;AAAPAAAAAAAAAAEAIAAAACIAAABkcnMvZG93bnJldi54bWxQSwECFAAUAAAACACHTuJAMy8FnjsA&#10;AAA5AAAAEAAAAAAAAAABACAAAAAJAQAAZHJzL3NoYXBleG1sLnhtbFBLBQYAAAAABgAGAFsBAACz&#10;AwAAAAA=&#10;">
                  <v:fill on="t" focussize="0,0"/>
                  <v:stroke weight="1pt" color="#FFC000 [3207]" miterlimit="8" joinstyle="miter"/>
                  <v:imagedata o:title=""/>
                  <o:lock v:ext="edit" aspectratio="f"/>
                  <v:textbox>
                    <w:txbxContent>
                      <w:p w14:paraId="1264AE7B">
                        <w:pPr>
                          <w:jc w:val="center"/>
                          <w:rPr>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S</w:t>
                        </w:r>
                      </w:p>
                    </w:txbxContent>
                  </v:textbox>
                </v:shape>
                <v:shape id="椭圆 10" o:spid="_x0000_s1026" o:spt="3" type="#_x0000_t3" style="position:absolute;left:8510;top:3685;height:527;width:527;v-text-anchor:middle;" fillcolor="#A5A5A5 [3206]" filled="t" stroked="t" coordsize="21600,21600" o:gfxdata="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BrUSvQAA&#10;ANsAAAAPAAAAAAAAAAEAIAAAACIAAABkcnMvZG93bnJldi54bWxQSwECFAAUAAAACACHTuJAMy8F&#10;njsAAAA5AAAAEAAAAAAAAAABACAAAAAMAQAAZHJzL3NoYXBleG1sLnhtbFBLBQYAAAAABgAGAFsB&#10;AAC2AwAAAAA=&#10;">
                  <v:fill on="t" focussize="0,0"/>
                  <v:stroke weight="1pt" color="#A5A5A5 [3206]" miterlimit="8" joinstyle="miter"/>
                  <v:imagedata o:title=""/>
                  <o:lock v:ext="edit" aspectratio="f"/>
                  <v:textbox>
                    <w:txbxContent>
                      <w:p w14:paraId="5CBE3C6A">
                        <w:pPr>
                          <w:jc w:val="center"/>
                          <w:rPr>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T</w:t>
                        </w:r>
                      </w:p>
                    </w:txbxContent>
                  </v:textbox>
                </v:shape>
                <v:group id="组合 26" o:spid="_x0000_s1026" o:spt="203" alt="KSO_WM_TAG_VERSION=1.0&amp;KSO_WM_BEAUTIFY_FLAG=#wm#&amp;KSO_WM_UNIT_TYPE=i&amp;KSO_WM_UNIT_ID=wpsdiag20163287_1*i*1&amp;KSO_WM_TEMPLATE_CATEGORY=wpsdiag&amp;KSO_WM_TEMPLATE_INDEX=20163287" style="position:absolute;left:5081;top:1157;height:3157;width:5931;" coordorigin="0,-36677" coordsize="3765780,2005008"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任意多边形: 形状 2" o:spid="_x0000_s1026" o:spt="100" alt="KSO_WM_UNIT_INDEX=1_1&amp;KSO_WM_UNIT_TYPE=n_i&amp;KSO_WM_UNIT_ID=wpsdiag20163287_1*n_i*1_1&amp;KSO_WM_UNIT_LAYERLEVEL=1_1&amp;KSO_WM_UNIT_CLEAR=1&amp;KSO_WM_TAG_VERSION=1.0&amp;KSO_WM_BEAUTIFY_FLAG=#wm#&amp;KSO_WM_TEMPLATE_CATEGORY=wpsdiag&amp;KSO_WM_TEMPLATE_INDEX=20163287&amp;KSO_WM_SLIDE_ITEM_CNT=4&amp;KSO_WM_DIAGRAM_GROUP_CODE=n1_1&amp;KSO_WM_UNIT_FILL_TYPE=1&amp;KSO_WM_UNIT_FILL_FORE_SCHEMECOLOR_INDEX=5&amp;KSO_WM_UNIT_FILL_BACK_SCHEMECOLOR_INDEX=0&amp;KSO_WM_UNIT_LINE_FILL_TYPE=1&amp;KSO_WM_UNIT_LINE_FORE_SCHEMECOLOR_INDEX=5&amp;KSO_WM_UNIT_LINE_BACK_SCHEMECOLOR_INDEX=0" style="position:absolute;left:2956;top:26427;height:845747;width:845467;v-text-anchor:middle;" fillcolor="#A9D18E" filled="t" stroked="t" coordsize="1954661,1955712" o:gfxdata="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16Q+8AAAA&#10;2wAAAA8AAAAAAAAAAQAgAAAAIgAAAGRycy9kb3ducmV2LnhtbFBLAQIUABQAAAAIAIdO4kAzLwWe&#10;OwAAADkAAAAQAAAAAAAAAAEAIAAAAAsBAABkcnMvc2hhcGV4bWwueG1sUEsFBgAAAAAGAAYAWwEA&#10;ALUDAAAAAA==&#10;" path="m1954661,0l1954661,873579,1903881,881329c1380139,988502,969940,1407380,875574,1935672l872901,1955712,0,1955712,28600,1755703c207741,820749,984393,98084,1945818,446xe">
                    <v:path o:connectlocs="845467,0;845467,377778;823502,381130;378719,837080;377563,845747;0,845747;12370,759253;841642,192" o:connectangles="0,0,0,0,0,0,0,0"/>
                    <v:fill on="t" focussize="0,0"/>
                    <v:stroke weight="1pt" color="#A9D18E" miterlimit="8" joinstyle="miter"/>
                    <v:imagedata o:title=""/>
                    <o:lock v:ext="edit" aspectratio="f"/>
                  </v:shape>
                  <v:shape id="任意多边形: 形状 3" o:spid="_x0000_s1026" o:spt="100" alt="KSO_WM_UNIT_INDEX=1_2&amp;KSO_WM_UNIT_TYPE=n_i&amp;KSO_WM_UNIT_ID=wpsdiag20163287_1*n_i*1_2&amp;KSO_WM_UNIT_LAYERLEVEL=1_1&amp;KSO_WM_UNIT_CLEAR=1&amp;KSO_WM_TAG_VERSION=1.0&amp;KSO_WM_BEAUTIFY_FLAG=#wm#&amp;KSO_WM_TEMPLATE_CATEGORY=wpsdiag&amp;KSO_WM_TEMPLATE_INDEX=20163287&amp;KSO_WM_SLIDE_ITEM_CNT=4&amp;KSO_WM_DIAGRAM_GROUP_CODE=n1_1&amp;KSO_WM_UNIT_FILL_TYPE=1&amp;KSO_WM_UNIT_FILL_FORE_SCHEMECOLOR_INDEX=6&amp;KSO_WM_UNIT_FILL_BACK_SCHEMECOLOR_INDEX=0&amp;KSO_WM_UNIT_LINE_FILL_TYPE=1&amp;KSO_WM_UNIT_LINE_FORE_SCHEMECOLOR_INDEX=6&amp;KSO_WM_UNIT_LINE_BACK_SCHEMECOLOR_INDEX=0" style="position:absolute;left:1026058;top:26717;height:845774;width:845230;rotation:5898240f;v-text-anchor:middle;" fillcolor="#F6AB32" filled="t" stroked="t" coordsize="1954661,1955712" o:gfxdata="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8h8j68AAAA&#10;2wAAAA8AAAAAAAAAAQAgAAAAIgAAAGRycy9kb3ducmV2LnhtbFBLAQIUABQAAAAIAIdO4kAzLwWe&#10;OwAAADkAAAAQAAAAAAAAAAEAIAAAAAsBAABkcnMvc2hhcGV4bWwueG1sUEsFBgAAAAAGAAYAWwEA&#10;ALUDAAAAAA==&#10;" path="m1954661,0l1954661,873579,1903881,881329c1380139,988502,969940,1407380,875574,1935672l872901,1955712,0,1955712,28600,1755703c207741,820749,984393,98084,1945818,446xe">
                    <v:path o:connectlocs="845230,0;845230,377791;823271,381142;378613,837107;377457,845774;0,845774;12367,759277;841406,192" o:connectangles="0,0,0,0,0,0,0,0"/>
                    <v:fill on="t" focussize="0,0"/>
                    <v:stroke weight="1pt" color="#F6AB32" miterlimit="8" joinstyle="miter"/>
                    <v:imagedata o:title=""/>
                    <o:lock v:ext="edit" aspectratio="f"/>
                  </v:shape>
                  <v:shape id="任意多边形: 形状 5" o:spid="_x0000_s1026" o:spt="100" alt="KSO_WM_UNIT_INDEX=1_3&amp;KSO_WM_UNIT_TYPE=n_i&amp;KSO_WM_UNIT_ID=wpsdiag20163287_1*n_i*1_3&amp;KSO_WM_UNIT_LAYERLEVEL=1_1&amp;KSO_WM_UNIT_CLEAR=1&amp;KSO_WM_TAG_VERSION=1.0&amp;KSO_WM_BEAUTIFY_FLAG=#wm#&amp;KSO_WM_TEMPLATE_CATEGORY=wpsdiag&amp;KSO_WM_TEMPLATE_INDEX=20163287&amp;KSO_WM_SLIDE_ITEM_CNT=4&amp;KSO_WM_DIAGRAM_GROUP_CODE=n1_1&amp;KSO_WM_UNIT_FILL_TYPE=1&amp;KSO_WM_UNIT_FILL_FORE_SCHEMECOLOR_INDEX=7&amp;KSO_WM_UNIT_FILL_BACK_SCHEMECOLOR_INDEX=0&amp;KSO_WM_UNIT_LINE_FILL_TYPE=1&amp;KSO_WM_UNIT_LINE_FORE_SCHEMECOLOR_INDEX=7&amp;KSO_WM_UNIT_LINE_BACK_SCHEMECOLOR_INDEX=0" style="position:absolute;left:1033638;top:1051824;height:845747;width:845467;rotation:11796480f;v-text-anchor:middle;" fillcolor="#3E535F" filled="t" stroked="t" coordsize="1954661,1955712" o:gfxdata="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UHUfrsAAADb&#10;AAAADwAAAAAAAAABACAAAAAiAAAAZHJzL2Rvd25yZXYueG1sUEsBAhQAFAAAAAgAh07iQDMvBZ47&#10;AAAAOQAAABAAAAAAAAAAAQAgAAAACgEAAGRycy9zaGFwZXhtbC54bWxQSwUGAAAAAAYABgBbAQAA&#10;tAMAAAAA&#10;" path="m1954661,0l1954661,873579,1903881,881329c1380139,988502,969940,1407380,875574,1935672l872901,1955712,0,1955712,28600,1755703c207741,820749,984393,98084,1945818,446xe">
                    <v:path o:connectlocs="845467,0;845467,377778;823502,381130;378719,837080;377563,845747;0,845747;12370,759253;841642,192" o:connectangles="0,0,0,0,0,0,0,0"/>
                    <v:fill on="t" focussize="0,0"/>
                    <v:stroke weight="1pt" color="#3E535F" miterlimit="8" joinstyle="miter"/>
                    <v:imagedata o:title=""/>
                    <o:lock v:ext="edit" aspectratio="f"/>
                  </v:shape>
                  <v:shape id="任意多边形: 形状 6" o:spid="_x0000_s1026" o:spt="100" alt="KSO_WM_UNIT_INDEX=1_4&amp;KSO_WM_UNIT_TYPE=n_i&amp;KSO_WM_UNIT_ID=wpsdiag20163287_1*n_i*1_4&amp;KSO_WM_UNIT_LAYERLEVEL=1_1&amp;KSO_WM_UNIT_CLEAR=1&amp;KSO_WM_TAG_VERSION=1.0&amp;KSO_WM_BEAUTIFY_FLAG=#wm#&amp;KSO_WM_TEMPLATE_CATEGORY=wpsdiag&amp;KSO_WM_TEMPLATE_INDEX=20163287&amp;KSO_WM_SLIDE_ITEM_CNT=4&amp;KSO_WM_DIAGRAM_GROUP_CODE=n1_1&amp;KSO_WM_UNIT_FILL_TYPE=1&amp;KSO_WM_UNIT_FILL_FORE_SCHEMECOLOR_INDEX=8&amp;KSO_WM_UNIT_FILL_BACK_SCHEMECOLOR_INDEX=0&amp;KSO_WM_UNIT_LINE_FILL_TYPE=1&amp;KSO_WM_UNIT_LINE_FORE_SCHEMECOLOR_INDEX=8&amp;KSO_WM_UNIT_LINE_BACK_SCHEMECOLOR_INDEX=0" style="position:absolute;left:314;top:1054466;height:845921;width:845293;rotation:-5898240f;v-text-anchor:middle;" fillcolor="#E94B37" filled="t" stroked="t" coordsize="1954661,1955712" o:gfxdata="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iHZC8AAAA&#10;2wAAAA8AAAAAAAAAAQAgAAAAIgAAAGRycy9kb3ducmV2LnhtbFBLAQIUABQAAAAIAIdO4kAzLwWe&#10;OwAAADkAAAAQAAAAAAAAAAEAIAAAAAsBAABkcnMvc2hhcGV4bWwueG1sUEsFBgAAAAAGAAYAWwEA&#10;ALUDAAAAAA==&#10;" path="m1954661,0l1954661,873579,1903881,881329c1380139,988502,969940,1407380,875574,1935672l872901,1955712,0,1955712,28600,1755703c207741,820749,984393,98084,1945818,446xe">
                    <v:path o:connectlocs="845293,0;845293,377856;823333,381208;378641,837252;377485,845921;0,845921;12368,759409;841468,192" o:connectangles="0,0,0,0,0,0,0,0"/>
                    <v:fill on="t" focussize="0,0"/>
                    <v:stroke weight="1pt" color="#E94B37" miterlimit="8" joinstyle="miter"/>
                    <v:imagedata o:title=""/>
                    <o:lock v:ext="edit" aspectratio="f"/>
                  </v:shape>
                  <v:rect id="_x0000_s1026" o:spid="_x0000_s1026" o:spt="1" alt="KSO_WM_UNIT_INDEX=1_1_1&amp;KSO_WM_UNIT_TYPE=n_h_a&amp;KSO_WM_UNIT_ID=wpsdiag20163287_1*n_h_a*1_1_1&amp;KSO_WM_UNIT_LAYERLEVEL=1_1_1&amp;KSO_WM_UNIT_HIGHLIGHT=0&amp;KSO_WM_UNIT_CLEAR=0&amp;KSO_WM_UNIT_COMPATIBLE=0&amp;KSO_WM_UNIT_PRESET_TEXT=添加标题&amp;KSO_WM_UNIT_VALUE=4&amp;KSO_WM_TAG_VERSION=1.0&amp;KSO_WM_BEAUTIFY_FLAG=#wm#&amp;KSO_WM_TEMPLATE_CATEGORY=wpsdiag&amp;KSO_WM_TEMPLATE_INDEX=20163287&amp;KSO_WM_SLIDE_ITEM_CNT=4&amp;KSO_WM_DIAGRAM_GROUP_CODE=n1_1&amp;KSO_WM_UNIT_TEXT_FILL_TYPE=1&amp;KSO_WM_UNIT_TEXT_FILL_FORE_SCHEMECOLOR_INDEX=13" style="position:absolute;left:487931;top:824277;height:300259;width:827638;" filled="f" stroked="f" coordsize="21600,21600" o:gfxdata="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QUNj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396562BF">
                          <w:pPr>
                            <w:pStyle w:val="6"/>
                            <w:snapToGrid w:val="0"/>
                            <w:spacing w:beforeAutospacing="0" w:afterAutospacing="0" w:line="192" w:lineRule="auto"/>
                            <w:jc w:val="center"/>
                            <w:rPr>
                              <w:rFonts w:ascii="宋体" w:hAnsi="宋体" w:eastAsia="宋体" w:cs="宋体"/>
                              <w:color w:val="000000"/>
                              <w:sz w:val="28"/>
                              <w:szCs w:val="28"/>
                            </w:rPr>
                          </w:pPr>
                          <w:r>
                            <w:rPr>
                              <w:rFonts w:hint="eastAsia" w:ascii="宋体" w:hAnsi="宋体" w:eastAsia="宋体" w:cs="宋体"/>
                              <w:b/>
                              <w:bCs/>
                              <w:color w:val="000000"/>
                              <w:kern w:val="24"/>
                              <w:sz w:val="28"/>
                              <w:szCs w:val="28"/>
                            </w:rPr>
                            <w:t>恒大</w:t>
                          </w:r>
                        </w:p>
                      </w:txbxContent>
                    </v:textbox>
                  </v:rect>
                  <v:rect id="_x0000_s1026" o:spid="_x0000_s1026" o:spt="1" alt="KSO_WM_UNIT_INDEX=1_1_1&amp;KSO_WM_UNIT_TYPE=n_h_f&amp;KSO_WM_UNIT_ID=wpsdiag20163287_1*n_h_f*1_1_1&amp;KSO_WM_UNIT_LAYERLEVEL=1_1_1&amp;KSO_WM_UNIT_HIGHLIGHT=0&amp;KSO_WM_UNIT_CLEAR=0&amp;KSO_WM_UNIT_COMPATIBLE=0&amp;KSO_WM_UNIT_PRESET_TEXT=请在此处编辑文本请在此处编辑文本&amp;KSO_WM_UNIT_VALUE=24&amp;KSO_WM_TAG_VERSION=1.0&amp;KSO_WM_BEAUTIFY_FLAG=#wm#&amp;KSO_WM_TEMPLATE_CATEGORY=wpsdiag&amp;KSO_WM_TEMPLATE_INDEX=20163287&amp;KSO_WM_SLIDE_ITEM_CNT=4&amp;KSO_WM_DIAGRAM_GROUP_CODE=n1_1&amp;KSO_WM_UNIT_TEXT_FILL_TYPE=1&amp;KSO_WM_UNIT_TEXT_FILL_FORE_SCHEMECOLOR_INDEX=13" style="position:absolute;left:404658;top:940827;height:405130;width:1184910;" filled="f" stroked="f" coordsize="21600,21600" o:gfxdata="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lNur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5E2AAE78">
                          <w:pPr>
                            <w:pStyle w:val="6"/>
                            <w:snapToGrid w:val="0"/>
                            <w:spacing w:beforeAutospacing="0" w:afterAutospacing="0" w:line="192" w:lineRule="auto"/>
                            <w:rPr>
                              <w:rFonts w:ascii="微软雅黑" w:hAnsi="微软雅黑" w:eastAsia="微软雅黑"/>
                              <w:color w:val="000000"/>
                            </w:rPr>
                          </w:pPr>
                        </w:p>
                      </w:txbxContent>
                    </v:textbox>
                  </v:rect>
                  <v:rect id="_x0000_s1026" o:spid="_x0000_s1026" o:spt="1" alt="KSO_WM_UNIT_INDEX=1_2_1&amp;KSO_WM_UNIT_TYPE=n_h_f&amp;KSO_WM_UNIT_ID=wpsdiag20163287_1*n_h_f*1_2_1&amp;KSO_WM_UNIT_LAYERLEVEL=1_1_1&amp;KSO_WM_UNIT_HIGHLIGHT=0&amp;KSO_WM_UNIT_CLEAR=0&amp;KSO_WM_UNIT_COMPATIBLE=0&amp;KSO_WM_UNIT_PRESET_TEXT=请在此处编辑文本请在此处编辑文本&amp;KSO_WM_UNIT_VALUE=24&amp;KSO_WM_TAG_VERSION=1.0&amp;KSO_WM_BEAUTIFY_FLAG=#wm#&amp;KSO_WM_TEMPLATE_CATEGORY=wpsdiag&amp;KSO_WM_TEMPLATE_INDEX=20163287&amp;KSO_WM_SLIDE_ITEM_CNT=4&amp;KSO_WM_DIAGRAM_GROUP_CODE=n1_1&amp;KSO_WM_UNIT_TEXT_FILL_TYPE=1&amp;KSO_WM_UNIT_TEXT_FILL_FORE_SCHEMECOLOR_INDEX=13" style="position:absolute;left:2557484;top:-36677;height:697060;width:1184880;" filled="f" stroked="f" coordsize="21600,21600" o:gfxdata="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LNr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F7D6282">
                          <w:pPr>
                            <w:pStyle w:val="6"/>
                            <w:numPr>
                              <w:ilvl w:val="0"/>
                              <w:numId w:val="3"/>
                            </w:numPr>
                            <w:snapToGrid w:val="0"/>
                            <w:spacing w:beforeAutospacing="0" w:afterAutospacing="0" w:line="192" w:lineRule="auto"/>
                            <w:rPr>
                              <w:rFonts w:ascii="宋体" w:hAnsi="宋体" w:eastAsia="宋体" w:cs="宋体"/>
                              <w:sz w:val="18"/>
                              <w:szCs w:val="18"/>
                            </w:rPr>
                          </w:pPr>
                          <w:r>
                            <w:rPr>
                              <w:rFonts w:hint="eastAsia" w:ascii="宋体" w:hAnsi="宋体" w:eastAsia="宋体" w:cs="宋体"/>
                              <w:sz w:val="18"/>
                              <w:szCs w:val="18"/>
                            </w:rPr>
                            <w:t>房住不炒，未来房地产行业发展的总基调</w:t>
                          </w:r>
                        </w:p>
                        <w:p w14:paraId="33DA048B">
                          <w:pPr>
                            <w:pStyle w:val="6"/>
                            <w:numPr>
                              <w:ilvl w:val="0"/>
                              <w:numId w:val="3"/>
                            </w:numPr>
                            <w:snapToGrid w:val="0"/>
                            <w:spacing w:beforeAutospacing="0" w:afterAutospacing="0" w:line="192" w:lineRule="auto"/>
                            <w:rPr>
                              <w:rFonts w:ascii="宋体" w:hAnsi="宋体" w:eastAsia="宋体" w:cs="宋体"/>
                              <w:sz w:val="18"/>
                              <w:szCs w:val="18"/>
                            </w:rPr>
                          </w:pPr>
                          <w:r>
                            <w:rPr>
                              <w:rFonts w:hint="eastAsia" w:ascii="宋体" w:hAnsi="宋体" w:eastAsia="宋体" w:cs="宋体"/>
                              <w:sz w:val="18"/>
                              <w:szCs w:val="18"/>
                            </w:rPr>
                            <w:t>房地产去金融化，防范金融风险降杠杆</w:t>
                          </w:r>
                        </w:p>
                        <w:p w14:paraId="5FE0BC8E">
                          <w:pPr>
                            <w:pStyle w:val="6"/>
                            <w:numPr>
                              <w:ilvl w:val="0"/>
                              <w:numId w:val="3"/>
                            </w:numPr>
                            <w:snapToGrid w:val="0"/>
                            <w:spacing w:beforeAutospacing="0" w:afterAutospacing="0" w:line="192" w:lineRule="auto"/>
                            <w:rPr>
                              <w:rFonts w:ascii="宋体" w:hAnsi="宋体" w:eastAsia="宋体" w:cs="宋体"/>
                              <w:sz w:val="18"/>
                              <w:szCs w:val="18"/>
                            </w:rPr>
                          </w:pPr>
                          <w:r>
                            <w:rPr>
                              <w:rFonts w:hint="eastAsia" w:ascii="宋体" w:hAnsi="宋体" w:eastAsia="宋体" w:cs="宋体"/>
                              <w:sz w:val="18"/>
                              <w:szCs w:val="18"/>
                            </w:rPr>
                            <w:t>出台房产税，有利于遏制投机、缩小贫富差距</w:t>
                          </w:r>
                        </w:p>
                        <w:p w14:paraId="2FC1DE81">
                          <w:pPr>
                            <w:pStyle w:val="6"/>
                            <w:numPr>
                              <w:ilvl w:val="0"/>
                              <w:numId w:val="3"/>
                            </w:numPr>
                            <w:snapToGrid w:val="0"/>
                            <w:spacing w:beforeAutospacing="0" w:afterAutospacing="0" w:line="192" w:lineRule="auto"/>
                            <w:rPr>
                              <w:rFonts w:ascii="宋体" w:hAnsi="宋体" w:eastAsia="宋体" w:cs="宋体"/>
                              <w:sz w:val="18"/>
                              <w:szCs w:val="18"/>
                            </w:rPr>
                          </w:pPr>
                          <w:r>
                            <w:rPr>
                              <w:rFonts w:hint="eastAsia" w:ascii="宋体" w:hAnsi="宋体" w:eastAsia="宋体" w:cs="宋体"/>
                              <w:sz w:val="18"/>
                              <w:szCs w:val="18"/>
                            </w:rPr>
                            <w:t>土地供应“两集中”，从供给端限制房价</w:t>
                          </w:r>
                        </w:p>
                        <w:p w14:paraId="0716CBF5">
                          <w:pPr>
                            <w:pStyle w:val="6"/>
                            <w:snapToGrid w:val="0"/>
                            <w:spacing w:beforeAutospacing="0" w:afterAutospacing="0" w:line="192" w:lineRule="auto"/>
                            <w:rPr>
                              <w:rFonts w:ascii="宋体" w:hAnsi="宋体" w:eastAsia="宋体" w:cs="宋体"/>
                              <w:sz w:val="15"/>
                              <w:szCs w:val="15"/>
                            </w:rPr>
                          </w:pPr>
                        </w:p>
                      </w:txbxContent>
                    </v:textbox>
                  </v:rect>
                  <v:rect id="_x0000_s1026" o:spid="_x0000_s1026" o:spt="1" alt="KSO_WM_UNIT_INDEX=1_2_2&amp;KSO_WM_UNIT_TYPE=n_h_f&amp;KSO_WM_UNIT_ID=wpsdiag20163287_1*n_h_f*1_2_2&amp;KSO_WM_UNIT_LAYERLEVEL=1_1_1&amp;KSO_WM_UNIT_HIGHLIGHT=0&amp;KSO_WM_UNIT_CLEAR=0&amp;KSO_WM_UNIT_COMPATIBLE=0&amp;KSO_WM_UNIT_PRESET_TEXT=请在此处编辑文本请在此处编辑文本&amp;KSO_WM_UNIT_VALUE=24&amp;KSO_WM_TAG_VERSION=1.0&amp;KSO_WM_BEAUTIFY_FLAG=#wm#&amp;KSO_WM_TEMPLATE_CATEGORY=wpsdiag&amp;KSO_WM_TEMPLATE_INDEX=20163287&amp;KSO_WM_SLIDE_ITEM_CNT=4&amp;KSO_WM_DIAGRAM_GROUP_CODE=n1_1&amp;KSO_WM_UNIT_TEXT_FILL_TYPE=1&amp;KSO_WM_UNIT_TEXT_FILL_FORE_SCHEMECOLOR_INDEX=13" style="position:absolute;left:2525188;top:565716;height:715265;width:1240592;" filled="f" stroked="f" coordsize="21600,21600" o:gfxdata="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1VQ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19E515F1">
                          <w:pPr>
                            <w:rPr>
                              <w:rFonts w:ascii="宋体" w:hAnsi="宋体" w:eastAsia="宋体" w:cs="宋体"/>
                              <w:kern w:val="0"/>
                              <w:sz w:val="18"/>
                              <w:szCs w:val="18"/>
                              <w:lang w:bidi="ar"/>
                            </w:rPr>
                          </w:pPr>
                          <w:r>
                            <w:rPr>
                              <w:rFonts w:hint="eastAsia" w:ascii="宋体" w:hAnsi="宋体" w:eastAsia="宋体" w:cs="宋体"/>
                              <w:kern w:val="0"/>
                              <w:sz w:val="18"/>
                              <w:szCs w:val="18"/>
                              <w:lang w:bidi="ar"/>
                            </w:rPr>
                            <w:t>房地产市场的发展与国家经济走势高度关联。我国宏观经济的很大一部分来自房地产行业经济，说明了房地产行业经济发展也应该满足宏观经济发展的整体趋势。</w:t>
                          </w:r>
                        </w:p>
                      </w:txbxContent>
                    </v:textbox>
                  </v:rect>
                  <v:rect id="_x0000_s1026" o:spid="_x0000_s1026" o:spt="1" alt="KSO_WM_UNIT_INDEX=1_2_3&amp;KSO_WM_UNIT_TYPE=n_h_f&amp;KSO_WM_UNIT_ID=wpsdiag20163287_1*n_h_f*1_2_3&amp;KSO_WM_UNIT_LAYERLEVEL=1_1_1&amp;KSO_WM_UNIT_HIGHLIGHT=0&amp;KSO_WM_UNIT_CLEAR=0&amp;KSO_WM_UNIT_COMPATIBLE=0&amp;KSO_WM_UNIT_PRESET_TEXT=请在此处编辑文本请在此处编辑文本&amp;KSO_WM_UNIT_VALUE=24&amp;KSO_WM_TAG_VERSION=1.0&amp;KSO_WM_BEAUTIFY_FLAG=#wm#&amp;KSO_WM_TEMPLATE_CATEGORY=wpsdiag&amp;KSO_WM_TEMPLATE_INDEX=20163287&amp;KSO_WM_SLIDE_ITEM_CNT=4&amp;KSO_WM_DIAGRAM_GROUP_CODE=n1_1&amp;KSO_WM_UNIT_TEXT_FILL_TYPE=1&amp;KSO_WM_UNIT_TEXT_FILL_FORE_SCHEMECOLOR_INDEX=13" style="position:absolute;left:2565558;top:1192026;height:405387;width:1184880;" filled="f" stroked="f" coordsize="21600,21600" o:gfxdata="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gfDa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6776F26A">
                          <w:pPr>
                            <w:numPr>
                              <w:ilvl w:val="0"/>
                              <w:numId w:val="3"/>
                            </w:numPr>
                            <w:rPr>
                              <w:rFonts w:ascii="宋体" w:hAnsi="宋体" w:eastAsia="宋体" w:cs="宋体"/>
                              <w:kern w:val="0"/>
                              <w:sz w:val="18"/>
                              <w:szCs w:val="18"/>
                              <w:lang w:bidi="ar"/>
                            </w:rPr>
                          </w:pPr>
                          <w:r>
                            <w:rPr>
                              <w:rFonts w:hint="eastAsia" w:ascii="宋体" w:hAnsi="宋体" w:eastAsia="宋体" w:cs="宋体"/>
                              <w:kern w:val="0"/>
                              <w:sz w:val="18"/>
                              <w:szCs w:val="18"/>
                              <w:lang w:bidi="ar"/>
                            </w:rPr>
                            <w:t>社会心理</w:t>
                          </w:r>
                        </w:p>
                        <w:p w14:paraId="7F9F162B">
                          <w:pPr>
                            <w:numPr>
                              <w:ilvl w:val="0"/>
                              <w:numId w:val="3"/>
                            </w:numPr>
                            <w:rPr>
                              <w:rFonts w:ascii="宋体" w:hAnsi="宋体" w:eastAsia="宋体" w:cs="宋体"/>
                              <w:kern w:val="0"/>
                              <w:sz w:val="18"/>
                              <w:szCs w:val="18"/>
                              <w:lang w:bidi="ar"/>
                            </w:rPr>
                          </w:pPr>
                          <w:r>
                            <w:rPr>
                              <w:rFonts w:hint="eastAsia" w:ascii="宋体" w:hAnsi="宋体" w:eastAsia="宋体" w:cs="宋体"/>
                              <w:kern w:val="0"/>
                              <w:sz w:val="18"/>
                              <w:szCs w:val="18"/>
                              <w:lang w:bidi="ar"/>
                            </w:rPr>
                            <w:t>城镇化</w:t>
                          </w:r>
                        </w:p>
                        <w:p w14:paraId="7D49B423">
                          <w:pPr>
                            <w:numPr>
                              <w:ilvl w:val="0"/>
                              <w:numId w:val="3"/>
                            </w:numPr>
                            <w:rPr>
                              <w:rFonts w:ascii="宋体" w:hAnsi="宋体" w:eastAsia="宋体" w:cs="宋体"/>
                              <w:kern w:val="0"/>
                              <w:sz w:val="18"/>
                              <w:szCs w:val="18"/>
                              <w:lang w:bidi="ar"/>
                            </w:rPr>
                          </w:pPr>
                          <w:r>
                            <w:rPr>
                              <w:rFonts w:hint="eastAsia" w:ascii="宋体" w:hAnsi="宋体" w:eastAsia="宋体" w:cs="宋体"/>
                              <w:kern w:val="0"/>
                              <w:sz w:val="18"/>
                              <w:szCs w:val="18"/>
                              <w:lang w:bidi="ar"/>
                            </w:rPr>
                            <w:t>生活方式的改变</w:t>
                          </w:r>
                        </w:p>
                      </w:txbxContent>
                    </v:textbox>
                  </v:rect>
                  <v:rect id="_x0000_s1026" o:spid="_x0000_s1026" o:spt="1" alt="KSO_WM_UNIT_INDEX=1_2_4&amp;KSO_WM_UNIT_TYPE=n_h_f&amp;KSO_WM_UNIT_ID=wpsdiag20163287_1*n_h_f*1_2_4&amp;KSO_WM_UNIT_LAYERLEVEL=1_1_1&amp;KSO_WM_UNIT_HIGHLIGHT=0&amp;KSO_WM_UNIT_CLEAR=0&amp;KSO_WM_UNIT_COMPATIBLE=0&amp;KSO_WM_UNIT_PRESET_TEXT=请在此处编辑文本请在此处编辑文本&amp;KSO_WM_UNIT_VALUE=24&amp;KSO_WM_TAG_VERSION=1.0&amp;KSO_WM_BEAUTIFY_FLAG=#wm#&amp;KSO_WM_TEMPLATE_CATEGORY=wpsdiag&amp;KSO_WM_TEMPLATE_INDEX=20163287&amp;KSO_WM_SLIDE_ITEM_CNT=4&amp;KSO_WM_DIAGRAM_GROUP_CODE=n1_1&amp;KSO_WM_UNIT_TEXT_FILL_TYPE=1&amp;KSO_WM_UNIT_TEXT_FILL_FORE_SCHEMECOLOR_INDEX=13" style="position:absolute;left:2572825;top:1563365;height:404966;width:1184880;" filled="f" stroked="f" coordsize="21600,21600" o:gfxdata="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Giu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62EF6FC8">
                          <w:pPr>
                            <w:numPr>
                              <w:ilvl w:val="0"/>
                              <w:numId w:val="3"/>
                            </w:numPr>
                            <w:rPr>
                              <w:sz w:val="18"/>
                              <w:szCs w:val="18"/>
                            </w:rPr>
                          </w:pPr>
                          <w:r>
                            <w:rPr>
                              <w:rFonts w:hint="eastAsia" w:ascii="宋体" w:hAnsi="宋体" w:eastAsia="宋体" w:cs="宋体"/>
                              <w:sz w:val="18"/>
                              <w:szCs w:val="18"/>
                            </w:rPr>
                            <w:t>新能源的推广</w:t>
                          </w:r>
                        </w:p>
                        <w:p w14:paraId="511A8AD4">
                          <w:pPr>
                            <w:numPr>
                              <w:ilvl w:val="0"/>
                              <w:numId w:val="3"/>
                            </w:numPr>
                            <w:rPr>
                              <w:sz w:val="18"/>
                              <w:szCs w:val="18"/>
                            </w:rPr>
                          </w:pPr>
                          <w:r>
                            <w:rPr>
                              <w:rFonts w:hint="eastAsia" w:ascii="宋体" w:hAnsi="宋体" w:eastAsia="宋体" w:cs="宋体"/>
                              <w:sz w:val="18"/>
                              <w:szCs w:val="18"/>
                            </w:rPr>
                            <w:t>智能化服务</w:t>
                          </w:r>
                        </w:p>
                        <w:p w14:paraId="03FA275C">
                          <w:pPr>
                            <w:numPr>
                              <w:ilvl w:val="0"/>
                              <w:numId w:val="3"/>
                            </w:numPr>
                            <w:rPr>
                              <w:sz w:val="18"/>
                              <w:szCs w:val="18"/>
                            </w:rPr>
                          </w:pPr>
                          <w:r>
                            <w:rPr>
                              <w:rFonts w:hint="eastAsia"/>
                              <w:sz w:val="18"/>
                              <w:szCs w:val="18"/>
                            </w:rPr>
                            <w:t>新销售模式</w:t>
                          </w:r>
                        </w:p>
                      </w:txbxContent>
                    </v:textbox>
                  </v:rect>
                </v:group>
                <v:rect id="矩形 11" o:spid="_x0000_s1026" o:spt="1" style="position:absolute;left:5432;top:1616;height:665;width:572;" filled="f" stroked="f" coordsize="21600,21600" o:gfxdata="UEsDBAoAAAAAAIdO4kAAAAAAAAAAAAAAAAAEAAAAZHJzL1BLAwQUAAAACACHTuJAAEgHiLoAAADb&#10;AAAADwAAAGRycy9kb3ducmV2LnhtbEVPTYvCMBC9C/6HMMJeRFOFF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SAeI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15DD1E95">
                        <w:pPr>
                          <w:pStyle w:val="6"/>
                          <w:snapToGrid w:val="0"/>
                          <w:spacing w:beforeAutospacing="0" w:afterAutospacing="0" w:line="192" w:lineRule="auto"/>
                          <w:rPr>
                            <w:rFonts w:ascii="微软雅黑" w:hAnsi="微软雅黑" w:eastAsia="微软雅黑"/>
                          </w:rPr>
                        </w:pPr>
                        <w:r>
                          <w:rPr>
                            <w:rFonts w:hint="eastAsia" w:ascii="微软雅黑" w:hAnsi="微软雅黑" w:eastAsia="微软雅黑" w:cstheme="minorBidi"/>
                            <w:b/>
                            <w:bCs/>
                            <w:color w:val="FFFFFF" w:themeColor="background1"/>
                            <w:kern w:val="24"/>
                            <w:sz w:val="38"/>
                            <w:szCs w:val="38"/>
                            <w14:textFill>
                              <w14:solidFill>
                                <w14:schemeClr w14:val="bg1"/>
                              </w14:solidFill>
                            </w14:textFill>
                          </w:rPr>
                          <w:t>P</w:t>
                        </w:r>
                      </w:p>
                    </w:txbxContent>
                  </v:textbox>
                </v:rect>
                <v:rect id="矩形 12" o:spid="_x0000_s1026" o:spt="1" style="position:absolute;left:7095;top:1655;height:665;width:572;" filled="f" stroked="f" coordsize="21600,21600" o:gfxdata="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Camf+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14:paraId="65B8966B">
                        <w:pPr>
                          <w:pStyle w:val="6"/>
                          <w:snapToGrid w:val="0"/>
                          <w:spacing w:beforeAutospacing="0" w:afterAutospacing="0" w:line="192" w:lineRule="auto"/>
                          <w:rPr>
                            <w:rFonts w:ascii="微软雅黑" w:hAnsi="微软雅黑" w:eastAsia="微软雅黑"/>
                          </w:rPr>
                        </w:pPr>
                        <w:r>
                          <w:rPr>
                            <w:rFonts w:hint="eastAsia" w:ascii="微软雅黑" w:hAnsi="微软雅黑" w:eastAsia="微软雅黑" w:cstheme="minorBidi"/>
                            <w:b/>
                            <w:bCs/>
                            <w:color w:val="FFFFFF" w:themeColor="background1"/>
                            <w:kern w:val="24"/>
                            <w:sz w:val="38"/>
                            <w:szCs w:val="38"/>
                            <w14:textFill>
                              <w14:solidFill>
                                <w14:schemeClr w14:val="bg1"/>
                              </w14:solidFill>
                            </w14:textFill>
                          </w:rPr>
                          <w:t>E</w:t>
                        </w:r>
                      </w:p>
                    </w:txbxContent>
                  </v:textbox>
                </v:rect>
                <v:rect id="矩形 13" o:spid="_x0000_s1026" o:spt="1" style="position:absolute;left:5419;top:3299;height:665;width:572;" filled="f" stroked="f" coordsize="21600,21600" o:gfxdata="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9Y8Z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47018448">
                        <w:pPr>
                          <w:pStyle w:val="6"/>
                          <w:snapToGrid w:val="0"/>
                          <w:spacing w:beforeAutospacing="0" w:afterAutospacing="0" w:line="192" w:lineRule="auto"/>
                          <w:rPr>
                            <w:rFonts w:ascii="微软雅黑" w:hAnsi="微软雅黑" w:eastAsia="微软雅黑"/>
                          </w:rPr>
                        </w:pPr>
                        <w:r>
                          <w:rPr>
                            <w:rFonts w:hint="eastAsia" w:ascii="微软雅黑" w:hAnsi="微软雅黑" w:eastAsia="微软雅黑" w:cstheme="minorBidi"/>
                            <w:b/>
                            <w:bCs/>
                            <w:color w:val="FFFFFF" w:themeColor="background1"/>
                            <w:kern w:val="24"/>
                            <w:sz w:val="38"/>
                            <w:szCs w:val="38"/>
                            <w14:textFill>
                              <w14:solidFill>
                                <w14:schemeClr w14:val="bg1"/>
                              </w14:solidFill>
                            </w14:textFill>
                          </w:rPr>
                          <w:t>S</w:t>
                        </w:r>
                      </w:p>
                    </w:txbxContent>
                  </v:textbox>
                </v:rect>
                <v:rect id="矩形 14" o:spid="_x0000_s1026" o:spt="1" style="position:absolute;left:7167;top:3299;height:665;width:571;" filled="f" stroked="f" coordsize="21600,21600" o:gfxdata="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Sag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64E9A0E4">
                        <w:pPr>
                          <w:pStyle w:val="6"/>
                          <w:snapToGrid w:val="0"/>
                          <w:spacing w:beforeAutospacing="0" w:afterAutospacing="0" w:line="192" w:lineRule="auto"/>
                          <w:rPr>
                            <w:rFonts w:ascii="微软雅黑" w:hAnsi="微软雅黑" w:eastAsia="微软雅黑"/>
                          </w:rPr>
                        </w:pPr>
                        <w:r>
                          <w:rPr>
                            <w:rFonts w:hint="eastAsia" w:ascii="微软雅黑" w:hAnsi="微软雅黑" w:eastAsia="微软雅黑" w:cstheme="minorBidi"/>
                            <w:b/>
                            <w:bCs/>
                            <w:color w:val="FFFFFF" w:themeColor="background1"/>
                            <w:kern w:val="24"/>
                            <w:sz w:val="38"/>
                            <w:szCs w:val="38"/>
                            <w14:textFill>
                              <w14:solidFill>
                                <w14:schemeClr w14:val="bg1"/>
                              </w14:solidFill>
                            </w14:textFill>
                          </w:rPr>
                          <w:t>T</w:t>
                        </w:r>
                      </w:p>
                    </w:txbxContent>
                  </v:textbox>
                </v:rect>
                <w10:wrap type="none"/>
                <w10:anchorlock/>
              </v:group>
            </w:pict>
          </mc:Fallback>
        </mc:AlternateContent>
      </w:r>
    </w:p>
    <w:p w14:paraId="6D565300">
      <w:pPr>
        <w:rPr>
          <w:rFonts w:ascii="宋体" w:hAnsi="宋体" w:eastAsia="宋体" w:cs="宋体"/>
          <w:b/>
          <w:bCs/>
          <w:sz w:val="28"/>
          <w:szCs w:val="28"/>
        </w:rPr>
      </w:pPr>
      <w:r>
        <w:rPr>
          <w:rFonts w:hint="eastAsia" w:ascii="宋体" w:hAnsi="宋体" w:eastAsia="宋体" w:cs="宋体"/>
          <w:b/>
          <w:bCs/>
          <w:sz w:val="28"/>
          <w:szCs w:val="28"/>
        </w:rPr>
        <w:t>三、偿债能力和盈利能力分析</w:t>
      </w:r>
    </w:p>
    <w:p w14:paraId="7DA8926E">
      <w:pPr>
        <w:rPr>
          <w:rFonts w:ascii="宋体" w:hAnsi="宋体" w:eastAsia="宋体" w:cs="宋体"/>
          <w:sz w:val="24"/>
        </w:rPr>
      </w:pPr>
      <w:r>
        <w:rPr>
          <w:rFonts w:hint="eastAsia" w:ascii="宋体" w:hAnsi="宋体" w:eastAsia="宋体" w:cs="宋体"/>
          <w:sz w:val="24"/>
        </w:rPr>
        <w:t>1、偿债能力是企业得以长久生存和健康发展的重要能力。流动比率、速动比率、和现金比率反映了企业的短期偿债能力，资产负债率体现了企业长期偿债能力。流动比率，表示每1元流动负债有多少流动资产作为偿还的保证。它既反映公司流动资产对流动负债的保障程度。又体现企业在日常运营中的支付能力，标准值 位于 1.5-2.0 区间。从 2016 年到 2021年，流动比率低于标准值，并逐年下降，表明企业的流动资金无法保证偿清流 动负债。速动比率表示每1元流动负债有多少速动资产作为偿还的保证，进一步反映流动负债的保障程度。同时，反映了企业日常经营财务支付能力的迅速性，该指标控制在 0.6-1.0 之间为恰当。2016-2020 年，由 于该指标呈现下降趋势且低于标准值，表明企业变现能力 较差，债务逐渐累积，短期偿还债务能力处于较低水平状况。虽然企业的资产负债率从 2017 年开始有所降低，但仍处于较高的水平，长期偿债能力较弱。</w:t>
      </w:r>
    </w:p>
    <w:p w14:paraId="5C68CCAE">
      <w:pPr>
        <w:rPr>
          <w:rFonts w:ascii="宋体" w:hAnsi="宋体" w:eastAsia="宋体" w:cs="宋体"/>
          <w:sz w:val="24"/>
        </w:rPr>
      </w:pPr>
      <w:r>
        <w:rPr>
          <w:rFonts w:hint="eastAsia" w:ascii="宋体" w:hAnsi="宋体" w:eastAsia="宋体" w:cs="宋体"/>
          <w:sz w:val="24"/>
        </w:rPr>
        <w:drawing>
          <wp:inline distT="0" distB="0" distL="0" distR="0">
            <wp:extent cx="4921250" cy="946150"/>
            <wp:effectExtent l="0" t="0" r="127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921503" cy="946199"/>
                    </a:xfrm>
                    <a:prstGeom prst="rect">
                      <a:avLst/>
                    </a:prstGeom>
                  </pic:spPr>
                </pic:pic>
              </a:graphicData>
            </a:graphic>
          </wp:inline>
        </w:drawing>
      </w:r>
      <w:r>
        <w:rPr>
          <w:rFonts w:ascii="宋体" w:hAnsi="宋体" w:eastAsia="宋体" w:cs="宋体"/>
          <w:sz w:val="24"/>
        </w:rPr>
        <w:drawing>
          <wp:inline distT="0" distB="0" distL="0" distR="0">
            <wp:extent cx="5274310" cy="3076575"/>
            <wp:effectExtent l="0" t="0" r="2540"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bookmarkStart w:id="0" w:name="_GoBack"/>
      <w:bookmarkEnd w:id="0"/>
    </w:p>
    <w:p w14:paraId="45170114">
      <w:pPr>
        <w:rPr>
          <w:rFonts w:ascii="宋体" w:hAnsi="宋体" w:eastAsia="宋体" w:cs="宋体"/>
          <w:sz w:val="24"/>
        </w:rPr>
      </w:pPr>
      <w:r>
        <w:rPr>
          <w:rFonts w:hint="eastAsia" w:ascii="宋体" w:hAnsi="宋体" w:eastAsia="宋体" w:cs="宋体"/>
          <w:sz w:val="24"/>
        </w:rPr>
        <w:t>2、盈利能力也称企业的资金或资本增值能力。2016 年至 2018 年，盈利能力指标均呈现上升趋势。 2015 年至 2016 年末，公司逐步实现了多元化发展的产业 结构，完成了从“房地产业”向“房地产+服务业”的转型。 2017 年，公司全面启动了战略转变，让恒大集团在 各项核心数据均创行业首位，盈利能力大大提升。自 2019 年起，中央贯彻落实“房住不炒”的政策主基调，有效遏制了房地产市场快速膨胀的现象，房地产价格有所 回落，房地产市场购买力逐渐降低，导致恒大集团盈利能力逐年下降。</w:t>
      </w:r>
    </w:p>
    <w:p w14:paraId="1F30A33D">
      <w:pPr>
        <w:rPr>
          <w:rFonts w:ascii="宋体" w:hAnsi="宋体" w:eastAsia="宋体" w:cs="宋体"/>
          <w:sz w:val="24"/>
        </w:rPr>
      </w:pPr>
      <w:r>
        <w:rPr>
          <w:rFonts w:hint="eastAsia" w:ascii="宋体" w:hAnsi="宋体" w:eastAsia="宋体" w:cs="宋体"/>
          <w:sz w:val="24"/>
        </w:rPr>
        <w:drawing>
          <wp:inline distT="0" distB="0" distL="0" distR="0">
            <wp:extent cx="4902200" cy="958850"/>
            <wp:effectExtent l="0" t="0" r="508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02452" cy="958899"/>
                    </a:xfrm>
                    <a:prstGeom prst="rect">
                      <a:avLst/>
                    </a:prstGeom>
                  </pic:spPr>
                </pic:pic>
              </a:graphicData>
            </a:graphic>
          </wp:inline>
        </w:drawing>
      </w:r>
      <w:r>
        <w:rPr>
          <w:rFonts w:ascii="宋体" w:hAnsi="宋体" w:eastAsia="宋体" w:cs="宋体"/>
          <w:sz w:val="24"/>
        </w:rPr>
        <w:drawing>
          <wp:inline distT="0" distB="0" distL="0" distR="0">
            <wp:extent cx="5274310" cy="3076575"/>
            <wp:effectExtent l="0" t="0" r="2540" b="952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4BCD558">
      <w:pPr>
        <w:rPr>
          <w:rFonts w:ascii="宋体" w:hAnsi="宋体" w:eastAsia="宋体" w:cs="宋体"/>
          <w:sz w:val="24"/>
        </w:rPr>
      </w:pPr>
      <w:r>
        <w:rPr>
          <w:rFonts w:hint="eastAsia" w:ascii="宋体" w:hAnsi="宋体" w:eastAsia="宋体" w:cs="宋体"/>
          <w:sz w:val="24"/>
        </w:rPr>
        <w:t>杜邦分析法(DuPont Analysis)是财务分析与评价的 一种经典方法。其基础思想是将企业净资产报酬率进行分 解，构造与该指标相关的财务指标体系，以便对业务结果进行深入分析和比较。</w:t>
      </w:r>
    </w:p>
    <w:p w14:paraId="27DF5C94">
      <w:pPr>
        <w:rPr>
          <w:rFonts w:ascii="宋体" w:hAnsi="宋体" w:eastAsia="宋体" w:cs="宋体"/>
          <w:sz w:val="24"/>
        </w:rPr>
      </w:pPr>
      <w:r>
        <w:rPr>
          <w:rFonts w:hint="eastAsia" w:ascii="宋体" w:hAnsi="宋体" w:eastAsia="宋体" w:cs="宋体"/>
          <w:sz w:val="24"/>
        </w:rPr>
        <w:t>净资产收益率直接体现企业净资产的获利能力，它是从综合角度反映企业收益的情况，因此也是杜邦分析法的 关键要素。其内涵主要是代表了企业的财务目标，也体现了股东投入净资产的获利水平，它的决定因素主要为资产净利率和权益乘数。</w:t>
      </w:r>
    </w:p>
    <w:p w14:paraId="6E2C3821">
      <w:pPr>
        <w:rPr>
          <w:rFonts w:ascii="宋体" w:hAnsi="宋体" w:eastAsia="宋体" w:cs="宋体"/>
          <w:sz w:val="24"/>
        </w:rPr>
      </w:pPr>
      <w:r>
        <w:rPr>
          <w:rFonts w:hint="eastAsia" w:ascii="宋体" w:hAnsi="宋体" w:eastAsia="宋体" w:cs="宋体"/>
          <w:sz w:val="24"/>
        </w:rPr>
        <w:t>对资产收益率进行分解：</w:t>
      </w:r>
    </w:p>
    <w:p w14:paraId="460CFD4D">
      <w:pPr>
        <w:rPr>
          <w:rFonts w:ascii="宋体" w:hAnsi="宋体" w:eastAsia="宋体" w:cs="宋体"/>
          <w:sz w:val="24"/>
        </w:rPr>
      </w:pPr>
      <w:r>
        <w:rPr>
          <w:rFonts w:hint="eastAsia" w:ascii="宋体" w:hAnsi="宋体" w:eastAsia="宋体" w:cs="宋体"/>
          <w:sz w:val="24"/>
        </w:rPr>
        <w:t>净资产收益率=总资产净利率 * 权益乘数</w:t>
      </w:r>
    </w:p>
    <w:p w14:paraId="44C23C98">
      <w:pPr>
        <w:rPr>
          <w:rFonts w:ascii="宋体" w:hAnsi="宋体" w:eastAsia="宋体" w:cs="宋体"/>
          <w:sz w:val="24"/>
        </w:rPr>
      </w:pPr>
      <w:r>
        <w:rPr>
          <w:rFonts w:hint="eastAsia" w:ascii="宋体" w:hAnsi="宋体" w:eastAsia="宋体" w:cs="宋体"/>
          <w:sz w:val="24"/>
        </w:rPr>
        <w:t>权益乘数表示企业的负债程度，受资产负债率影响。企业的负债水平越高，负债比率越高，权益乘数也就越大，同时，由于企业总资产利用综合效应的变化，总资产净利 率也随之变化。2016-2018 年总资产净利率增加了 1.57%，权益乘数减少了0.84，净资产收益率增加了 9.18%。由此可得主要是总资产净利率的上升带来了净 资产收益率的上涨。在这段时间，总资产收益率的上涨主 要源于房价的飞速上升。值得关注的是，2016-2020 年期 间该集团的权益乘数均在 6 以上，远超正常范围，表明负 债比率过大，长期偿债能力弱，企业有较大的财务风险。 2018-2020 年总资产收益率下降了 1.69%，权益乘数上涨0.47，净资产收益率下降了 10.14%。表明净资产收益率 下降的直接原因是总资产收益率的下降。而权益乘数变大，说明负债比率继续扩大。经分析，2018-2020 年国家调控房地产价格力度加大，同时恒大集团的大规模扩张并没有带来巨额的收益，其所触及的新能源产业，体育产业的 营业额甚至是亏损。受政策性因素影响，市场购买力不断萎缩，直接减慢了恒大集团资金回笼速度。所以在短短三年时间里，总资产收益率大幅下降。</w:t>
      </w:r>
    </w:p>
    <w:p w14:paraId="5EDEF8E2">
      <w:pPr>
        <w:rPr>
          <w:rFonts w:ascii="宋体" w:hAnsi="宋体" w:eastAsia="宋体" w:cs="宋体"/>
          <w:sz w:val="24"/>
        </w:rPr>
      </w:pPr>
      <w:r>
        <w:rPr>
          <w:rFonts w:hint="eastAsia" w:ascii="宋体" w:hAnsi="宋体" w:eastAsia="宋体" w:cs="宋体"/>
          <w:sz w:val="24"/>
        </w:rPr>
        <w:t>接下来对总资产净利率进行分解：</w:t>
      </w:r>
    </w:p>
    <w:p w14:paraId="006738DB">
      <w:pPr>
        <w:rPr>
          <w:rFonts w:ascii="宋体" w:hAnsi="宋体" w:eastAsia="宋体" w:cs="宋体"/>
          <w:sz w:val="24"/>
        </w:rPr>
      </w:pPr>
      <w:r>
        <w:rPr>
          <w:rFonts w:hint="eastAsia" w:ascii="宋体" w:hAnsi="宋体" w:eastAsia="宋体" w:cs="宋体"/>
          <w:sz w:val="24"/>
        </w:rPr>
        <w:t>总资产净利率=销售净利率 * 总资产周转率</w:t>
      </w:r>
    </w:p>
    <w:p w14:paraId="335B4375">
      <w:pPr>
        <w:rPr>
          <w:rFonts w:ascii="宋体" w:hAnsi="宋体" w:eastAsia="宋体" w:cs="宋体"/>
          <w:sz w:val="24"/>
        </w:rPr>
      </w:pPr>
      <w:r>
        <w:rPr>
          <w:rFonts w:hint="eastAsia" w:ascii="宋体" w:hAnsi="宋体" w:eastAsia="宋体" w:cs="宋体"/>
          <w:sz w:val="24"/>
        </w:rPr>
        <w:t>经过分析可得，销售净利率在 2016-2017年上涨了5.6%，在2018-2020 年期间下降了 6.59%。总资产周转率 在五年的时间里起伏不大，由此说明，总资产净利率的变 化主要是由经营净利率的变化所致。自2016年起，战略转型的成功使企业的经营净利率大幅上涨 ，而从 2018 年开始，经营净利率逐年下降的原因可能是由于经营不善导致 企业在亏本销售。</w:t>
      </w:r>
    </w:p>
    <w:p w14:paraId="669BEBF1">
      <w:pPr>
        <w:numPr>
          <w:ilvl w:val="0"/>
          <w:numId w:val="4"/>
        </w:numPr>
        <w:rPr>
          <w:rFonts w:ascii="宋体" w:hAnsi="宋体" w:eastAsia="宋体" w:cs="宋体"/>
          <w:b/>
          <w:bCs/>
          <w:sz w:val="28"/>
          <w:szCs w:val="28"/>
        </w:rPr>
      </w:pPr>
      <w:r>
        <w:rPr>
          <w:rFonts w:hint="eastAsia" w:ascii="宋体" w:hAnsi="宋体" w:eastAsia="宋体" w:cs="宋体"/>
          <w:b/>
          <w:bCs/>
          <w:sz w:val="28"/>
          <w:szCs w:val="28"/>
        </w:rPr>
        <w:t>行业周期分析</w:t>
      </w:r>
    </w:p>
    <w:p w14:paraId="00BFD06E">
      <w:pPr>
        <w:rPr>
          <w:rFonts w:ascii="宋体" w:hAnsi="宋体" w:eastAsia="宋体" w:cs="宋体"/>
          <w:b/>
          <w:bCs/>
          <w:sz w:val="24"/>
        </w:rPr>
      </w:pPr>
      <w:r>
        <w:rPr>
          <w:rFonts w:hint="eastAsia" w:ascii="宋体" w:hAnsi="宋体" w:eastAsia="宋体" w:cs="宋体"/>
          <w:b/>
          <w:bCs/>
          <w:sz w:val="24"/>
        </w:rPr>
        <w:drawing>
          <wp:anchor distT="0" distB="0" distL="114300" distR="114300" simplePos="0" relativeHeight="251660288" behindDoc="0" locked="0" layoutInCell="1" allowOverlap="1">
            <wp:simplePos x="0" y="0"/>
            <wp:positionH relativeFrom="column">
              <wp:posOffset>2507615</wp:posOffset>
            </wp:positionH>
            <wp:positionV relativeFrom="paragraph">
              <wp:posOffset>97790</wp:posOffset>
            </wp:positionV>
            <wp:extent cx="2670175" cy="1621790"/>
            <wp:effectExtent l="0" t="0" r="12065" b="8890"/>
            <wp:wrapSquare wrapText="bothSides"/>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1"/>
                    <a:stretch>
                      <a:fillRect/>
                    </a:stretch>
                  </pic:blipFill>
                  <pic:spPr>
                    <a:xfrm>
                      <a:off x="0" y="0"/>
                      <a:ext cx="2670175" cy="1621790"/>
                    </a:xfrm>
                    <a:prstGeom prst="rect">
                      <a:avLst/>
                    </a:prstGeom>
                    <a:noFill/>
                    <a:ln w="9525">
                      <a:noFill/>
                    </a:ln>
                  </pic:spPr>
                </pic:pic>
              </a:graphicData>
            </a:graphic>
          </wp:anchor>
        </w:drawing>
      </w:r>
      <w:r>
        <w:rPr>
          <w:rFonts w:hint="eastAsia" w:ascii="宋体" w:hAnsi="宋体" w:eastAsia="宋体" w:cs="宋体"/>
          <w:b/>
          <w:bCs/>
          <w:sz w:val="24"/>
        </w:rPr>
        <w:t>4.1房地产行业周期分析</w:t>
      </w:r>
    </w:p>
    <w:p w14:paraId="7CBB0E83">
      <w:pPr>
        <w:rPr>
          <w:rFonts w:ascii="宋体" w:hAnsi="宋体" w:eastAsia="宋体" w:cs="宋体"/>
          <w:sz w:val="24"/>
        </w:rPr>
      </w:pPr>
      <w:r>
        <w:rPr>
          <w:rFonts w:hint="eastAsia" w:ascii="宋体" w:hAnsi="宋体" w:eastAsia="宋体" w:cs="宋体"/>
          <w:sz w:val="24"/>
        </w:rPr>
        <w:t>1979年-1991年中国房地产市场迎来了萌芽初期阶段。</w:t>
      </w:r>
    </w:p>
    <w:p w14:paraId="55161BE4">
      <w:pPr>
        <w:rPr>
          <w:rFonts w:ascii="宋体" w:hAnsi="宋体" w:eastAsia="宋体" w:cs="宋体"/>
          <w:sz w:val="24"/>
        </w:rPr>
      </w:pPr>
      <w:r>
        <w:rPr>
          <w:rFonts w:hint="eastAsia" w:ascii="宋体" w:hAnsi="宋体" w:eastAsia="宋体" w:cs="宋体"/>
          <w:sz w:val="24"/>
        </w:rPr>
        <w:t>1979年开始经济体制改革，并在1980年4月，提出“出售公房， 调整租金， 提倡个人建房买房” 的设想。从此拉开了住房制度改革的序幕。</w:t>
      </w:r>
    </w:p>
    <w:p w14:paraId="5500EA58">
      <w:pPr>
        <w:rPr>
          <w:rFonts w:ascii="宋体" w:hAnsi="宋体" w:eastAsia="宋体" w:cs="宋体"/>
          <w:sz w:val="24"/>
        </w:rPr>
      </w:pPr>
      <w:r>
        <w:rPr>
          <w:rFonts w:hint="eastAsia" w:ascii="宋体" w:hAnsi="宋体" w:eastAsia="宋体" w:cs="宋体"/>
          <w:sz w:val="24"/>
        </w:rPr>
        <w:t>1988年4月，规定土地使用权可以依法转让。也就是在1988年4月，出现了新中国土地拍卖的“第一槌”。也就是在这样的契机下，出现了最早一批被改革春风洗礼的城市：广州、深圳等。甚至出现了“深圳速度”的深圳国贸大厦。</w:t>
      </w:r>
    </w:p>
    <w:p w14:paraId="26A7E0D4">
      <w:pPr>
        <w:rPr>
          <w:rFonts w:ascii="宋体" w:hAnsi="宋体" w:eastAsia="宋体" w:cs="宋体"/>
          <w:sz w:val="24"/>
        </w:rPr>
      </w:pPr>
      <w:r>
        <w:rPr>
          <w:rFonts w:hint="eastAsia" w:ascii="宋体" w:hAnsi="宋体" w:eastAsia="宋体" w:cs="宋体"/>
          <w:sz w:val="24"/>
        </w:rPr>
        <w:t>1988年-1991年，中国房地产市场真正意义上走上了市场化的发展之路。1989以“海南”房地产泡沫破裂为标志的中国房地产严冬如期而至。</w:t>
      </w:r>
    </w:p>
    <w:p w14:paraId="5B94B696">
      <w:pPr>
        <w:rPr>
          <w:rFonts w:ascii="宋体" w:hAnsi="宋体" w:eastAsia="宋体" w:cs="宋体"/>
          <w:sz w:val="24"/>
        </w:rPr>
      </w:pPr>
      <w:r>
        <w:rPr>
          <w:rFonts w:hint="eastAsia" w:ascii="宋体" w:hAnsi="宋体" w:eastAsia="宋体" w:cs="宋体"/>
          <w:sz w:val="24"/>
        </w:rPr>
        <w:t>1991年-1993年，在南巡讲话下，房地产市场开始迅速发展起来，并掀起了房地产开发的高潮。炒作最严重的当属：北海、大亚湾和海南等地。后面就进入了调整阶段，历时7年。</w:t>
      </w:r>
    </w:p>
    <w:p w14:paraId="48C1A85E">
      <w:pPr>
        <w:rPr>
          <w:rFonts w:ascii="宋体" w:hAnsi="宋体" w:eastAsia="宋体" w:cs="宋体"/>
          <w:sz w:val="24"/>
        </w:rPr>
      </w:pPr>
      <w:r>
        <w:rPr>
          <w:rFonts w:hint="eastAsia" w:ascii="宋体" w:hAnsi="宋体" w:eastAsia="宋体" w:cs="宋体"/>
          <w:sz w:val="24"/>
        </w:rPr>
        <w:t>1993年-1997年，出现了房地产市场的负增长，并在1997年遭遇了亚洲金融危机。</w:t>
      </w:r>
    </w:p>
    <w:p w14:paraId="2C146AD5">
      <w:pPr>
        <w:rPr>
          <w:rFonts w:ascii="宋体" w:hAnsi="宋体" w:eastAsia="宋体" w:cs="宋体"/>
          <w:sz w:val="24"/>
        </w:rPr>
      </w:pPr>
      <w:r>
        <w:rPr>
          <w:rFonts w:hint="eastAsia" w:ascii="宋体" w:hAnsi="宋体" w:eastAsia="宋体" w:cs="宋体"/>
          <w:sz w:val="24"/>
        </w:rPr>
        <w:t>1997年-1999年间，仿佛进入了暴风雨来临前的沉寂期。1998年正式停止了住房实物分配，改为实行住房货币化。</w:t>
      </w:r>
    </w:p>
    <w:p w14:paraId="1A79C322">
      <w:pPr>
        <w:rPr>
          <w:rFonts w:ascii="宋体" w:hAnsi="宋体" w:eastAsia="宋体" w:cs="宋体"/>
          <w:sz w:val="24"/>
        </w:rPr>
      </w:pPr>
      <w:r>
        <w:rPr>
          <w:rFonts w:hint="eastAsia" w:ascii="宋体" w:hAnsi="宋体" w:eastAsia="宋体" w:cs="宋体"/>
          <w:sz w:val="24"/>
        </w:rPr>
        <w:t>成长期（1999-2008）</w:t>
      </w:r>
    </w:p>
    <w:p w14:paraId="3CD05203">
      <w:pPr>
        <w:rPr>
          <w:rFonts w:ascii="宋体" w:hAnsi="宋体" w:eastAsia="宋体" w:cs="宋体"/>
          <w:sz w:val="24"/>
        </w:rPr>
      </w:pPr>
      <w:r>
        <w:rPr>
          <w:rFonts w:hint="eastAsia" w:ascii="宋体" w:hAnsi="宋体" w:eastAsia="宋体" w:cs="宋体"/>
          <w:sz w:val="24"/>
        </w:rPr>
        <w:t>1999年-2000年，宏观经济稳定发展且房地产泡沫已得到控制，房地产市场明显回暖，也正是在这两年间，中国房地产市场进入新一轮的发展时期。</w:t>
      </w:r>
    </w:p>
    <w:p w14:paraId="3DF0322F">
      <w:pPr>
        <w:rPr>
          <w:rFonts w:ascii="宋体" w:hAnsi="宋体" w:eastAsia="宋体" w:cs="宋体"/>
          <w:sz w:val="24"/>
        </w:rPr>
      </w:pPr>
      <w:r>
        <w:rPr>
          <w:rFonts w:hint="eastAsia" w:ascii="宋体" w:hAnsi="宋体" w:eastAsia="宋体" w:cs="宋体"/>
          <w:sz w:val="24"/>
        </w:rPr>
        <w:t>2000年-2002年，房价涨幅迅速。2001年，全国开始出现投资投机狂潮。在这三年间发生了，北京申奥成功、温州炒房团、正式成为WTO成员。也正是在2001年，福布斯中国富豪榜中，开发商占据28个席位。</w:t>
      </w:r>
    </w:p>
    <w:p w14:paraId="49817824">
      <w:pPr>
        <w:rPr>
          <w:rFonts w:ascii="宋体" w:hAnsi="宋体" w:eastAsia="宋体" w:cs="宋体"/>
          <w:sz w:val="24"/>
        </w:rPr>
      </w:pPr>
      <w:r>
        <w:rPr>
          <w:rFonts w:hint="eastAsia" w:ascii="宋体" w:hAnsi="宋体" w:eastAsia="宋体" w:cs="宋体"/>
          <w:sz w:val="24"/>
        </w:rPr>
        <w:t>2002年-2004年，房地产市场全面恢复。</w:t>
      </w:r>
    </w:p>
    <w:p w14:paraId="0D0E58ED">
      <w:pPr>
        <w:rPr>
          <w:rFonts w:ascii="宋体" w:hAnsi="宋体" w:eastAsia="宋体" w:cs="宋体"/>
          <w:sz w:val="24"/>
        </w:rPr>
      </w:pPr>
      <w:r>
        <w:rPr>
          <w:rFonts w:hint="eastAsia" w:ascii="宋体" w:hAnsi="宋体" w:eastAsia="宋体" w:cs="宋体"/>
          <w:sz w:val="24"/>
        </w:rPr>
        <w:t>2002年，土地市场规范化政策出台招拍挂。</w:t>
      </w:r>
    </w:p>
    <w:p w14:paraId="4AFA550A">
      <w:pPr>
        <w:rPr>
          <w:rFonts w:ascii="宋体" w:hAnsi="宋体" w:eastAsia="宋体" w:cs="宋体"/>
          <w:sz w:val="24"/>
        </w:rPr>
      </w:pPr>
      <w:r>
        <w:rPr>
          <w:rFonts w:hint="eastAsia" w:ascii="宋体" w:hAnsi="宋体" w:eastAsia="宋体" w:cs="宋体"/>
          <w:sz w:val="24"/>
        </w:rPr>
        <w:t>2003年，地王现象在国内首次出现。国土资源部叫停别墅供地，低密度住宅成为“抢手货”。SARS爆发，短暂的房地产市场“寒冬”出现。</w:t>
      </w:r>
    </w:p>
    <w:p w14:paraId="25C96CF7">
      <w:pPr>
        <w:rPr>
          <w:rFonts w:ascii="宋体" w:hAnsi="宋体" w:eastAsia="宋体" w:cs="宋体"/>
          <w:sz w:val="24"/>
        </w:rPr>
      </w:pPr>
      <w:r>
        <w:rPr>
          <w:rFonts w:hint="eastAsia" w:ascii="宋体" w:hAnsi="宋体" w:eastAsia="宋体" w:cs="宋体"/>
          <w:sz w:val="24"/>
        </w:rPr>
        <w:t>2004年-2006年，房地产市场出现了繁荣景象。</w:t>
      </w:r>
    </w:p>
    <w:p w14:paraId="722284B8">
      <w:pPr>
        <w:rPr>
          <w:rFonts w:ascii="宋体" w:hAnsi="宋体" w:eastAsia="宋体" w:cs="宋体"/>
          <w:sz w:val="24"/>
        </w:rPr>
      </w:pPr>
      <w:r>
        <w:rPr>
          <w:rFonts w:hint="eastAsia" w:ascii="宋体" w:hAnsi="宋体" w:eastAsia="宋体" w:cs="宋体"/>
          <w:sz w:val="24"/>
        </w:rPr>
        <w:t>2006年，房价依旧大涨。</w:t>
      </w:r>
    </w:p>
    <w:p w14:paraId="7F98E2F1">
      <w:pPr>
        <w:rPr>
          <w:rFonts w:ascii="宋体" w:hAnsi="宋体" w:eastAsia="宋体" w:cs="宋体"/>
          <w:sz w:val="24"/>
        </w:rPr>
      </w:pPr>
      <w:r>
        <w:rPr>
          <w:rFonts w:hint="eastAsia" w:ascii="宋体" w:hAnsi="宋体" w:eastAsia="宋体" w:cs="宋体"/>
          <w:sz w:val="24"/>
        </w:rPr>
        <w:t>2007年，房价疯狂暴涨。地王频现、房企上市筹资、上海汤臣天价11万/平米、北京商品房预售首次破万元。2007年下半年，此前屡屡收获甚微的宏观调控终于让这只停不下来的舞鞋放慢了节奏，市场观望情绪浓厚，房价企稳。给予房地产开发商更沉重打击的是，资本市场的机会窗基本关闭，被大量的土地储备吸干了现金的一些开发商面临资金链断裂的局面。</w:t>
      </w:r>
    </w:p>
    <w:p w14:paraId="69F16EB9">
      <w:pPr>
        <w:rPr>
          <w:rFonts w:ascii="宋体" w:hAnsi="宋体" w:eastAsia="宋体" w:cs="宋体"/>
          <w:sz w:val="24"/>
        </w:rPr>
      </w:pPr>
      <w:r>
        <w:rPr>
          <w:rFonts w:hint="eastAsia" w:ascii="宋体" w:hAnsi="宋体" w:eastAsia="宋体" w:cs="宋体"/>
          <w:sz w:val="24"/>
        </w:rPr>
        <w:t>成熟期（2008年至2020年）</w:t>
      </w:r>
    </w:p>
    <w:p w14:paraId="7D77A31F">
      <w:pPr>
        <w:rPr>
          <w:rFonts w:ascii="宋体" w:hAnsi="宋体" w:eastAsia="宋体" w:cs="宋体"/>
          <w:sz w:val="24"/>
        </w:rPr>
      </w:pPr>
    </w:p>
    <w:p w14:paraId="1338579A">
      <w:pPr>
        <w:rPr>
          <w:rFonts w:ascii="宋体" w:hAnsi="宋体" w:eastAsia="宋体" w:cs="宋体"/>
          <w:sz w:val="24"/>
        </w:rPr>
      </w:pPr>
      <w:r>
        <w:rPr>
          <w:rFonts w:hint="eastAsia" w:ascii="宋体" w:hAnsi="宋体" w:eastAsia="宋体" w:cs="宋体"/>
          <w:sz w:val="24"/>
        </w:rPr>
        <w:drawing>
          <wp:inline distT="0" distB="0" distL="114300" distR="114300">
            <wp:extent cx="4530090" cy="2737485"/>
            <wp:effectExtent l="0" t="0" r="11430" b="5715"/>
            <wp:docPr id="10" name="图片 10" descr="2022-07-2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2-07-20 (1)"/>
                    <pic:cNvPicPr>
                      <a:picLocks noChangeAspect="1"/>
                    </pic:cNvPicPr>
                  </pic:nvPicPr>
                  <pic:blipFill>
                    <a:blip r:embed="rId12"/>
                    <a:srcRect l="24509" t="32258" r="32554" b="21616"/>
                    <a:stretch>
                      <a:fillRect/>
                    </a:stretch>
                  </pic:blipFill>
                  <pic:spPr>
                    <a:xfrm>
                      <a:off x="0" y="0"/>
                      <a:ext cx="4530090" cy="2737485"/>
                    </a:xfrm>
                    <a:prstGeom prst="rect">
                      <a:avLst/>
                    </a:prstGeom>
                  </pic:spPr>
                </pic:pic>
              </a:graphicData>
            </a:graphic>
          </wp:inline>
        </w:drawing>
      </w:r>
    </w:p>
    <w:p w14:paraId="7E90F826">
      <w:pPr>
        <w:rPr>
          <w:rFonts w:ascii="宋体" w:hAnsi="宋体" w:eastAsia="宋体" w:cs="宋体"/>
          <w:sz w:val="24"/>
        </w:rPr>
      </w:pPr>
      <w:r>
        <w:rPr>
          <w:rFonts w:hint="eastAsia" w:ascii="宋体" w:hAnsi="宋体" w:eastAsia="宋体" w:cs="宋体"/>
          <w:sz w:val="24"/>
        </w:rPr>
        <w:t>2019年销售面积同比增长趋于0。</w:t>
      </w:r>
    </w:p>
    <w:p w14:paraId="2F071367">
      <w:pPr>
        <w:rPr>
          <w:rFonts w:ascii="宋体" w:hAnsi="宋体" w:eastAsia="宋体" w:cs="宋体"/>
          <w:sz w:val="24"/>
        </w:rPr>
      </w:pPr>
      <w:r>
        <w:rPr>
          <w:rFonts w:hint="eastAsia" w:ascii="宋体" w:hAnsi="宋体" w:eastAsia="宋体" w:cs="宋体"/>
          <w:sz w:val="24"/>
        </w:rPr>
        <w:t>2008年美国金融危机爆发后，对国内经济产生冲击，一段时间内国内经济出现较为明显的增长放缓，国内房地产市场也随之出现低迷情况。此后政府为刺激经济推出四万亿经济刺激措施，同时对房地产市场推出多项优惠政策，包括税收减免、提供购房补贴等。在多重措施的作用下，国内房地产市场逐渐企稳。</w:t>
      </w:r>
    </w:p>
    <w:p w14:paraId="00B3CED6">
      <w:pPr>
        <w:rPr>
          <w:rFonts w:ascii="宋体" w:hAnsi="宋体" w:eastAsia="宋体" w:cs="宋体"/>
          <w:sz w:val="24"/>
        </w:rPr>
      </w:pPr>
      <w:r>
        <w:rPr>
          <w:rFonts w:hint="eastAsia" w:ascii="宋体" w:hAnsi="宋体" w:eastAsia="宋体" w:cs="宋体"/>
          <w:sz w:val="24"/>
        </w:rPr>
        <w:t>2009年开启新一轮的发展，而各地房价也开始逐渐企稳回升。</w:t>
      </w:r>
    </w:p>
    <w:p w14:paraId="213728B5">
      <w:pPr>
        <w:rPr>
          <w:rFonts w:ascii="宋体" w:hAnsi="宋体" w:eastAsia="宋体" w:cs="宋体"/>
          <w:sz w:val="24"/>
        </w:rPr>
      </w:pPr>
      <w:r>
        <w:rPr>
          <w:rFonts w:hint="eastAsia" w:ascii="宋体" w:hAnsi="宋体" w:eastAsia="宋体" w:cs="宋体"/>
          <w:sz w:val="24"/>
        </w:rPr>
        <w:t>2012年随着国内经济发展形势转变，GDP增长速度出现相对放缓，一段时间内国内房地产市场的库存量增加，房地产企业去库存回收资金的压力逐渐提升。</w:t>
      </w:r>
    </w:p>
    <w:p w14:paraId="756C58CC">
      <w:pPr>
        <w:rPr>
          <w:rFonts w:ascii="宋体" w:hAnsi="宋体" w:eastAsia="宋体" w:cs="宋体"/>
          <w:sz w:val="24"/>
        </w:rPr>
      </w:pPr>
      <w:r>
        <w:rPr>
          <w:rFonts w:hint="eastAsia" w:ascii="宋体" w:hAnsi="宋体" w:eastAsia="宋体" w:cs="宋体"/>
          <w:sz w:val="24"/>
        </w:rPr>
        <w:t>2015年下半年中央经济工作会议上针对房地产的高库存问题，党中央提出“去库存”方针，通过对于房地产调控政策进行调整来促进行业的健康发展，此后房地产行业整体的库存情况出现改善。在此之后，国家进一步完善土地制度和住房政策，同时更加注重宏观调控政策对于房地产市场的影响，各地房地产调控政策上整体更加趋向严格。</w:t>
      </w:r>
    </w:p>
    <w:p w14:paraId="4FDFE276">
      <w:pPr>
        <w:rPr>
          <w:rFonts w:ascii="宋体" w:hAnsi="宋体" w:eastAsia="宋体" w:cs="宋体"/>
          <w:b/>
          <w:bCs/>
          <w:sz w:val="24"/>
        </w:rPr>
      </w:pPr>
      <w:r>
        <w:rPr>
          <w:rFonts w:hint="eastAsia" w:ascii="宋体" w:hAnsi="宋体" w:eastAsia="宋体" w:cs="宋体"/>
          <w:b/>
          <w:bCs/>
          <w:sz w:val="24"/>
        </w:rPr>
        <w:t>4.2地产行业的经济周期与国民经济周期</w:t>
      </w:r>
    </w:p>
    <w:p w14:paraId="2C8BD0D4">
      <w:pPr>
        <w:rPr>
          <w:rFonts w:ascii="宋体" w:hAnsi="宋体" w:eastAsia="宋体" w:cs="宋体"/>
          <w:sz w:val="24"/>
        </w:rPr>
      </w:pPr>
      <w:r>
        <w:rPr>
          <w:rFonts w:hint="eastAsia" w:ascii="宋体" w:hAnsi="宋体" w:eastAsia="宋体" w:cs="宋体"/>
          <w:sz w:val="24"/>
        </w:rPr>
        <w:t>房地产行业属于强周期性行业，甚至自身即是国民经济的重要影响因素。主要表现在以下三点：</w:t>
      </w:r>
    </w:p>
    <w:p w14:paraId="7A84CFC6">
      <w:pPr>
        <w:rPr>
          <w:rFonts w:ascii="宋体" w:hAnsi="宋体" w:eastAsia="宋体" w:cs="宋体"/>
          <w:sz w:val="24"/>
        </w:rPr>
      </w:pPr>
      <w:r>
        <w:rPr>
          <w:rFonts w:hint="eastAsia" w:ascii="宋体" w:hAnsi="宋体" w:eastAsia="宋体" w:cs="宋体"/>
          <w:sz w:val="24"/>
        </w:rPr>
        <w:t>(1) 房地产业为国民经济的各行各业提供最基本的物质基础—房和地。房地产为整个社会经济、社会活动的开展提供了重要的和基本的构成要素。房地产业为社会一切产业部门提供物质空间条件，并具体构成各个产业部门。农业劳动的对象和最重要的生产资料是土地，离开了土地，农业劳动生产就无法进行；工业、商业、服务业、金融业等各行各业也都需要房屋以及与其经济活动相适应的场地和交通用地，作为基本活动的场所。</w:t>
      </w:r>
    </w:p>
    <w:p w14:paraId="1D955748">
      <w:pPr>
        <w:rPr>
          <w:rFonts w:ascii="宋体" w:hAnsi="宋体" w:eastAsia="宋体" w:cs="宋体"/>
          <w:sz w:val="24"/>
        </w:rPr>
      </w:pPr>
      <w:r>
        <w:rPr>
          <w:rFonts w:hint="eastAsia" w:ascii="宋体" w:hAnsi="宋体" w:eastAsia="宋体" w:cs="宋体"/>
          <w:sz w:val="24"/>
        </w:rPr>
        <w:t>(2) 房地产业为劳动力提供生存和发展最必需的条件—住宅和各项配套服务设施。随着大量劳动力涌入城市，对住房的要求日益提高，房地产业的发展就是为了解决这个问题，起到稳定社会的作用。当代竞争的实质是人才、劳动力素质的竞争。劳动力的再生产要求社会提供一定水平的生活资料以维持生命、恢复体力和养育后代，其中住房是最基本的生活消费品。如果没有住宅及与之配套的文化、娱乐、体育、教育、卫生、公共设施等用地和用房，就没有劳动力的生产和再生产，劳动力的素质就不可能依据社会经济发展的需要而提高，劳动力的身心难以健康。</w:t>
      </w:r>
    </w:p>
    <w:p w14:paraId="44850B8C">
      <w:pPr>
        <w:rPr>
          <w:rFonts w:ascii="宋体" w:hAnsi="宋体" w:eastAsia="宋体" w:cs="宋体"/>
          <w:sz w:val="24"/>
        </w:rPr>
      </w:pPr>
      <w:r>
        <w:rPr>
          <w:rFonts w:hint="eastAsia" w:ascii="宋体" w:hAnsi="宋体" w:eastAsia="宋体" w:cs="宋体"/>
          <w:sz w:val="24"/>
        </w:rPr>
        <w:t>（3) 房地产业可以促进经济发展和城市的建设。现代社会工业化、现代化的过程同时也是城市化发展的过程。而就一个城市的形成发展来说，土地、房屋、道路及其他公用设施的规划、开发和建设，构成了城市的基本框架，房屋等构筑物的风貌，还形成了城市的种种特色。因此，城市土地和房屋不仅是经济存在和发展的空间，同时也是一个城市立体形象的物质外壳和主体，而且更是一个国家和城市物质文明建设和精神文明建设的反映。</w:t>
      </w:r>
    </w:p>
    <w:p w14:paraId="74C838F7">
      <w:pPr>
        <w:rPr>
          <w:rFonts w:ascii="宋体" w:hAnsi="宋体" w:eastAsia="宋体" w:cs="宋体"/>
          <w:b/>
          <w:bCs/>
          <w:sz w:val="24"/>
        </w:rPr>
      </w:pPr>
      <w:r>
        <w:rPr>
          <w:rFonts w:hint="eastAsia" w:ascii="宋体" w:hAnsi="宋体" w:eastAsia="宋体" w:cs="宋体"/>
          <w:b/>
          <w:bCs/>
          <w:sz w:val="28"/>
          <w:szCs w:val="28"/>
        </w:rPr>
        <w:t>五、改变建议</w:t>
      </w:r>
    </w:p>
    <w:p w14:paraId="40D12B30">
      <w:pPr>
        <w:rPr>
          <w:rFonts w:ascii="宋体" w:hAnsi="宋体" w:eastAsia="宋体" w:cs="宋体"/>
          <w:sz w:val="24"/>
        </w:rPr>
      </w:pPr>
      <w:r>
        <w:rPr>
          <w:rFonts w:hint="eastAsia" w:ascii="宋体" w:hAnsi="宋体" w:eastAsia="宋体" w:cs="宋体"/>
          <w:sz w:val="24"/>
        </w:rPr>
        <w:drawing>
          <wp:anchor distT="0" distB="0" distL="114300" distR="114300" simplePos="0" relativeHeight="251661312" behindDoc="0" locked="0" layoutInCell="1" allowOverlap="1">
            <wp:simplePos x="0" y="0"/>
            <wp:positionH relativeFrom="column">
              <wp:posOffset>2730500</wp:posOffset>
            </wp:positionH>
            <wp:positionV relativeFrom="paragraph">
              <wp:posOffset>25400</wp:posOffset>
            </wp:positionV>
            <wp:extent cx="2701290" cy="1875790"/>
            <wp:effectExtent l="0" t="0" r="11430" b="13970"/>
            <wp:wrapSquare wrapText="bothSides"/>
            <wp:docPr id="1" name="图片 1" descr="859eab2b641173b58ffd78adbba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59eab2b641173b58ffd78adbba4209"/>
                    <pic:cNvPicPr>
                      <a:picLocks noChangeAspect="1"/>
                    </pic:cNvPicPr>
                  </pic:nvPicPr>
                  <pic:blipFill>
                    <a:blip r:embed="rId13"/>
                    <a:srcRect t="35418" r="48710"/>
                    <a:stretch>
                      <a:fillRect/>
                    </a:stretch>
                  </pic:blipFill>
                  <pic:spPr>
                    <a:xfrm>
                      <a:off x="0" y="0"/>
                      <a:ext cx="2701290" cy="1875790"/>
                    </a:xfrm>
                    <a:prstGeom prst="rect">
                      <a:avLst/>
                    </a:prstGeom>
                  </pic:spPr>
                </pic:pic>
              </a:graphicData>
            </a:graphic>
          </wp:anchor>
        </w:drawing>
      </w:r>
      <w:r>
        <w:rPr>
          <w:rFonts w:hint="eastAsia" w:ascii="宋体" w:hAnsi="宋体" w:eastAsia="宋体" w:cs="宋体"/>
          <w:sz w:val="24"/>
        </w:rPr>
        <w:t>1、通过对四种能力的研究以及对财务杠杆系数的分析比较，恒大集团的负债结构不合理，资产负债率已经达到 了危险水平，需要立刻调整。恒大集团扩张规模的主要方式是利用财务杠杆，但过度负债无疑会大大增加企业的财务风险。而降低资产负债率的最有效措施便是降低负债，所以我们认为恒大集团应当长期将“降负债”作为企业首要目标，并制定有效的解决措施。</w:t>
      </w:r>
    </w:p>
    <w:p w14:paraId="5CE9A1D4">
      <w:pPr>
        <w:rPr>
          <w:rFonts w:ascii="宋体" w:hAnsi="宋体" w:eastAsia="宋体" w:cs="宋体"/>
          <w:sz w:val="24"/>
        </w:rPr>
      </w:pPr>
      <w:r>
        <w:rPr>
          <w:rFonts w:hint="eastAsia" w:ascii="宋体" w:hAnsi="宋体" w:eastAsia="宋体" w:cs="宋体"/>
          <w:sz w:val="24"/>
        </w:rPr>
        <w:t>具体如下：</w:t>
      </w:r>
    </w:p>
    <w:p w14:paraId="65D8DA52">
      <w:pPr>
        <w:numPr>
          <w:ilvl w:val="0"/>
          <w:numId w:val="5"/>
        </w:numPr>
        <w:rPr>
          <w:rFonts w:ascii="宋体" w:hAnsi="宋体" w:eastAsia="宋体" w:cs="宋体"/>
          <w:sz w:val="24"/>
        </w:rPr>
      </w:pPr>
      <w:r>
        <w:rPr>
          <w:rFonts w:hint="eastAsia" w:ascii="宋体" w:hAnsi="宋体" w:eastAsia="宋体" w:cs="宋体"/>
          <w:sz w:val="24"/>
        </w:rPr>
        <w:t>购买保证保险的方式转移风险。</w:t>
      </w:r>
    </w:p>
    <w:p w14:paraId="0F530527">
      <w:pPr>
        <w:numPr>
          <w:ilvl w:val="0"/>
          <w:numId w:val="5"/>
        </w:numPr>
        <w:rPr>
          <w:rFonts w:ascii="宋体" w:hAnsi="宋体" w:eastAsia="宋体" w:cs="宋体"/>
          <w:sz w:val="24"/>
        </w:rPr>
      </w:pPr>
      <w:r>
        <w:rPr>
          <w:rFonts w:hint="eastAsia" w:ascii="宋体" w:hAnsi="宋体" w:eastAsia="宋体" w:cs="宋体"/>
          <w:sz w:val="24"/>
        </w:rPr>
        <w:t>减少长期投资的方式增加偿债能力。</w:t>
      </w:r>
    </w:p>
    <w:p w14:paraId="0DA27FB7">
      <w:pPr>
        <w:numPr>
          <w:ilvl w:val="0"/>
          <w:numId w:val="5"/>
        </w:numPr>
        <w:rPr>
          <w:rFonts w:ascii="宋体" w:hAnsi="宋体" w:eastAsia="宋体" w:cs="宋体"/>
          <w:sz w:val="24"/>
        </w:rPr>
      </w:pPr>
      <w:r>
        <w:rPr>
          <w:rFonts w:hint="eastAsia" w:ascii="宋体" w:hAnsi="宋体" w:eastAsia="宋体" w:cs="宋体"/>
          <w:sz w:val="24"/>
        </w:rPr>
        <w:t>优化存货，从而进行有效的存货销售。</w:t>
      </w:r>
    </w:p>
    <w:p w14:paraId="53EE3612">
      <w:pPr>
        <w:rPr>
          <w:rFonts w:ascii="宋体" w:hAnsi="宋体" w:eastAsia="宋体" w:cs="宋体"/>
          <w:sz w:val="24"/>
        </w:rPr>
      </w:pPr>
      <w:r>
        <w:rPr>
          <w:rFonts w:hint="eastAsia" w:ascii="宋体" w:hAnsi="宋体" w:eastAsia="宋体" w:cs="宋体"/>
          <w:sz w:val="24"/>
        </w:rPr>
        <w:t>2、政策是房地产行业的指向标，房地产行业必须严格执行，新的政策发布需要房地产企业时刻关注。因此，恒大集团可以下设政策分析委员会，对于政策的改</w:t>
      </w:r>
      <w:r>
        <w:rPr>
          <w:rFonts w:hint="eastAsia" w:ascii="宋体" w:hAnsi="宋体" w:eastAsia="宋体" w:cs="宋体"/>
          <w:sz w:val="24"/>
        </w:rPr>
        <w:drawing>
          <wp:anchor distT="0" distB="0" distL="114300" distR="114300" simplePos="0" relativeHeight="251662336" behindDoc="0" locked="0" layoutInCell="1" allowOverlap="1">
            <wp:simplePos x="0" y="0"/>
            <wp:positionH relativeFrom="column">
              <wp:posOffset>3755390</wp:posOffset>
            </wp:positionH>
            <wp:positionV relativeFrom="paragraph">
              <wp:posOffset>-38735</wp:posOffset>
            </wp:positionV>
            <wp:extent cx="1532255" cy="2298065"/>
            <wp:effectExtent l="0" t="0" r="6985" b="3175"/>
            <wp:wrapSquare wrapText="bothSides"/>
            <wp:docPr id="4" name="图片 4" descr="1c61224c3893c462c5a2ae080887a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c61224c3893c462c5a2ae080887ae68"/>
                    <pic:cNvPicPr>
                      <a:picLocks noChangeAspect="1"/>
                    </pic:cNvPicPr>
                  </pic:nvPicPr>
                  <pic:blipFill>
                    <a:blip r:embed="rId14"/>
                    <a:srcRect t="15698"/>
                    <a:stretch>
                      <a:fillRect/>
                    </a:stretch>
                  </pic:blipFill>
                  <pic:spPr>
                    <a:xfrm>
                      <a:off x="0" y="0"/>
                      <a:ext cx="1532255" cy="2298065"/>
                    </a:xfrm>
                    <a:prstGeom prst="rect">
                      <a:avLst/>
                    </a:prstGeom>
                  </pic:spPr>
                </pic:pic>
              </a:graphicData>
            </a:graphic>
          </wp:anchor>
        </w:drawing>
      </w:r>
      <w:r>
        <w:rPr>
          <w:rFonts w:hint="eastAsia" w:ascii="宋体" w:hAnsi="宋体" w:eastAsia="宋体" w:cs="宋体"/>
          <w:sz w:val="24"/>
        </w:rPr>
        <w:t>变，及时地展开会议进行探讨，分析政策变化带来的影响是有利还是有害，并研究如何迎合政策变化的同时增加利润。</w:t>
      </w:r>
    </w:p>
    <w:p w14:paraId="2874F953">
      <w:pPr>
        <w:rPr>
          <w:rFonts w:ascii="宋体" w:hAnsi="宋体" w:eastAsia="宋体" w:cs="宋体"/>
          <w:sz w:val="24"/>
        </w:rPr>
      </w:pPr>
      <w:r>
        <w:rPr>
          <w:rFonts w:hint="eastAsia" w:ascii="宋体" w:hAnsi="宋体" w:eastAsia="宋体" w:cs="宋体"/>
          <w:sz w:val="24"/>
        </w:rPr>
        <w:t>2016年底中央经济工作会议后提出“房住不炒”，有关部门相应调整房地政策，住房从金融属性为主开始向居住属性为主转移，这将可能导致房价回落，以至于恒大集团盈利能力下降，我们建议恒大集团应该促进与地方性政府部门的关系，树立良好的企业形象。应该及时调整企业的经营方向，不能因为房价的上涨，一味盲目地扩张工程，拖欠款项，导致现金流不足，从而造成违约风险。</w:t>
      </w:r>
    </w:p>
    <w:p w14:paraId="77A5A774">
      <w:pPr>
        <w:rPr>
          <w:rFonts w:ascii="宋体" w:hAnsi="宋体" w:eastAsia="宋体" w:cs="宋体"/>
          <w:color w:val="FF0000"/>
          <w:sz w:val="36"/>
          <w:szCs w:val="36"/>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46BEE8"/>
    <w:multiLevelType w:val="singleLevel"/>
    <w:tmpl w:val="B746BEE8"/>
    <w:lvl w:ilvl="0" w:tentative="0">
      <w:start w:val="1"/>
      <w:numFmt w:val="decimal"/>
      <w:lvlText w:val="(%1)"/>
      <w:lvlJc w:val="left"/>
      <w:pPr>
        <w:ind w:left="425" w:hanging="425"/>
      </w:pPr>
      <w:rPr>
        <w:rFonts w:hint="default"/>
      </w:rPr>
    </w:lvl>
  </w:abstractNum>
  <w:abstractNum w:abstractNumId="1">
    <w:nsid w:val="C52A333C"/>
    <w:multiLevelType w:val="singleLevel"/>
    <w:tmpl w:val="C52A333C"/>
    <w:lvl w:ilvl="0" w:tentative="0">
      <w:start w:val="1"/>
      <w:numFmt w:val="decimal"/>
      <w:suff w:val="nothing"/>
      <w:lvlText w:val="%1、"/>
      <w:lvlJc w:val="left"/>
      <w:pPr>
        <w:ind w:left="0"/>
      </w:pPr>
      <w:rPr>
        <w:rFonts w:hint="default"/>
        <w:b/>
        <w:bCs/>
      </w:rPr>
    </w:lvl>
  </w:abstractNum>
  <w:abstractNum w:abstractNumId="2">
    <w:nsid w:val="C53E593A"/>
    <w:multiLevelType w:val="singleLevel"/>
    <w:tmpl w:val="C53E593A"/>
    <w:lvl w:ilvl="0" w:tentative="0">
      <w:start w:val="1"/>
      <w:numFmt w:val="bullet"/>
      <w:lvlText w:val=""/>
      <w:lvlJc w:val="left"/>
      <w:pPr>
        <w:ind w:left="420" w:hanging="420"/>
      </w:pPr>
      <w:rPr>
        <w:rFonts w:hint="default" w:ascii="Wingdings" w:hAnsi="Wingdings"/>
      </w:rPr>
    </w:lvl>
  </w:abstractNum>
  <w:abstractNum w:abstractNumId="3">
    <w:nsid w:val="EFCA260F"/>
    <w:multiLevelType w:val="singleLevel"/>
    <w:tmpl w:val="EFCA260F"/>
    <w:lvl w:ilvl="0" w:tentative="0">
      <w:start w:val="4"/>
      <w:numFmt w:val="chineseCounting"/>
      <w:suff w:val="nothing"/>
      <w:lvlText w:val="%1、"/>
      <w:lvlJc w:val="left"/>
      <w:rPr>
        <w:rFonts w:hint="eastAsia"/>
      </w:rPr>
    </w:lvl>
  </w:abstractNum>
  <w:abstractNum w:abstractNumId="4">
    <w:nsid w:val="FDA126C5"/>
    <w:multiLevelType w:val="singleLevel"/>
    <w:tmpl w:val="FDA126C5"/>
    <w:lvl w:ilvl="0" w:tentative="0">
      <w:start w:val="1"/>
      <w:numFmt w:val="chineseCounting"/>
      <w:suff w:val="nothing"/>
      <w:lvlText w:val="%1、"/>
      <w:lvlJc w:val="left"/>
      <w:pPr>
        <w:ind w:left="420"/>
      </w:pPr>
      <w:rPr>
        <w:rFonts w:hint="eastAsia"/>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cxNTAwZDZiZjU5NTUzNjNhNGE0ZmNhODQ4NjM5YjQifQ=="/>
  </w:docVars>
  <w:rsids>
    <w:rsidRoot w:val="02C565B9"/>
    <w:rsid w:val="00105633"/>
    <w:rsid w:val="0020445C"/>
    <w:rsid w:val="002A2D4B"/>
    <w:rsid w:val="00436FB6"/>
    <w:rsid w:val="005C3A70"/>
    <w:rsid w:val="00A04A4D"/>
    <w:rsid w:val="00A1289A"/>
    <w:rsid w:val="00D6258D"/>
    <w:rsid w:val="00DE4027"/>
    <w:rsid w:val="00E07822"/>
    <w:rsid w:val="00E35A1E"/>
    <w:rsid w:val="00E40542"/>
    <w:rsid w:val="00EE4873"/>
    <w:rsid w:val="01E2462E"/>
    <w:rsid w:val="02C565B9"/>
    <w:rsid w:val="038B1487"/>
    <w:rsid w:val="06315FE9"/>
    <w:rsid w:val="09540DF0"/>
    <w:rsid w:val="0DF53D79"/>
    <w:rsid w:val="0F1B7B63"/>
    <w:rsid w:val="140E7C96"/>
    <w:rsid w:val="14AF1E5E"/>
    <w:rsid w:val="16B36786"/>
    <w:rsid w:val="19F6574A"/>
    <w:rsid w:val="2107263D"/>
    <w:rsid w:val="25A57C95"/>
    <w:rsid w:val="2DA27975"/>
    <w:rsid w:val="301461DC"/>
    <w:rsid w:val="34B65AB4"/>
    <w:rsid w:val="356D6D10"/>
    <w:rsid w:val="39930ABA"/>
    <w:rsid w:val="4A5B1180"/>
    <w:rsid w:val="4FA26F09"/>
    <w:rsid w:val="502618E8"/>
    <w:rsid w:val="50E863EA"/>
    <w:rsid w:val="54CB10D4"/>
    <w:rsid w:val="54F92FE0"/>
    <w:rsid w:val="58741D60"/>
    <w:rsid w:val="591744C4"/>
    <w:rsid w:val="60461A39"/>
    <w:rsid w:val="628C1A7E"/>
    <w:rsid w:val="68A33BCF"/>
    <w:rsid w:val="6AD14E1A"/>
    <w:rsid w:val="6D1D455E"/>
    <w:rsid w:val="6F437969"/>
    <w:rsid w:val="6F9401C4"/>
    <w:rsid w:val="7499002B"/>
    <w:rsid w:val="76FA5E96"/>
    <w:rsid w:val="7F4577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link w:val="14"/>
    <w:qFormat/>
    <w:uiPriority w:val="0"/>
    <w:pPr>
      <w:jc w:val="left"/>
    </w:pPr>
  </w:style>
  <w:style w:type="paragraph" w:styleId="4">
    <w:name w:val="footer"/>
    <w:basedOn w:val="1"/>
    <w:link w:val="12"/>
    <w:qFormat/>
    <w:uiPriority w:val="0"/>
    <w:pPr>
      <w:tabs>
        <w:tab w:val="center" w:pos="4153"/>
        <w:tab w:val="right" w:pos="8306"/>
      </w:tabs>
      <w:snapToGrid w:val="0"/>
      <w:jc w:val="left"/>
    </w:pPr>
    <w:rPr>
      <w:sz w:val="18"/>
      <w:szCs w:val="18"/>
    </w:rPr>
  </w:style>
  <w:style w:type="paragraph" w:styleId="5">
    <w:name w:val="header"/>
    <w:basedOn w:val="1"/>
    <w:link w:val="11"/>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paragraph" w:styleId="7">
    <w:name w:val="annotation subject"/>
    <w:basedOn w:val="3"/>
    <w:next w:val="3"/>
    <w:link w:val="15"/>
    <w:qFormat/>
    <w:uiPriority w:val="0"/>
    <w:rPr>
      <w:b/>
      <w:bCs/>
    </w:rPr>
  </w:style>
  <w:style w:type="character" w:styleId="10">
    <w:name w:val="annotation reference"/>
    <w:basedOn w:val="9"/>
    <w:qFormat/>
    <w:uiPriority w:val="0"/>
    <w:rPr>
      <w:sz w:val="21"/>
      <w:szCs w:val="21"/>
    </w:rPr>
  </w:style>
  <w:style w:type="character" w:customStyle="1" w:styleId="11">
    <w:name w:val="页眉 字符"/>
    <w:basedOn w:val="9"/>
    <w:link w:val="5"/>
    <w:qFormat/>
    <w:uiPriority w:val="0"/>
    <w:rPr>
      <w:rFonts w:asciiTheme="minorHAnsi" w:hAnsiTheme="minorHAnsi" w:eastAsiaTheme="minorEastAsia" w:cstheme="minorBidi"/>
      <w:kern w:val="2"/>
      <w:sz w:val="18"/>
      <w:szCs w:val="18"/>
    </w:rPr>
  </w:style>
  <w:style w:type="character" w:customStyle="1" w:styleId="12">
    <w:name w:val="页脚 字符"/>
    <w:basedOn w:val="9"/>
    <w:link w:val="4"/>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 w:type="character" w:customStyle="1" w:styleId="14">
    <w:name w:val="批注文字 字符"/>
    <w:basedOn w:val="9"/>
    <w:link w:val="3"/>
    <w:qFormat/>
    <w:uiPriority w:val="0"/>
    <w:rPr>
      <w:rFonts w:asciiTheme="minorHAnsi" w:hAnsiTheme="minorHAnsi" w:eastAsiaTheme="minorEastAsia" w:cstheme="minorBidi"/>
      <w:kern w:val="2"/>
      <w:sz w:val="21"/>
      <w:szCs w:val="24"/>
    </w:rPr>
  </w:style>
  <w:style w:type="character" w:customStyle="1" w:styleId="15">
    <w:name w:val="批注主题 字符"/>
    <w:basedOn w:val="14"/>
    <w:link w:val="7"/>
    <w:qFormat/>
    <w:uiPriority w:val="0"/>
    <w:rPr>
      <w:rFonts w:asciiTheme="minorHAnsi" w:hAnsiTheme="minorHAnsi" w:eastAsiaTheme="minorEastAsia" w:cstheme="minorBid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chart" Target="charts/chart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chart" Target="charts/chart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负债能力分析</a:t>
            </a:r>
            <a:endParaRPr lang="zh-CN" altLang="en-US"/>
          </a:p>
        </c:rich>
      </c:tx>
      <c:layout/>
      <c:overlay val="0"/>
      <c:spPr>
        <a:noFill/>
        <a:ln>
          <a:noFill/>
        </a:ln>
        <a:effectLst/>
      </c:spPr>
    </c:title>
    <c:autoTitleDeleted val="0"/>
    <c:plotArea>
      <c:layout/>
      <c:lineChart>
        <c:grouping val="standard"/>
        <c:varyColors val="0"/>
        <c:ser>
          <c:idx val="0"/>
          <c:order val="0"/>
          <c:tx>
            <c:strRef>
              <c:f>Sheet1!$B$1</c:f>
              <c:strCache>
                <c:ptCount val="1"/>
                <c:pt idx="0">
                  <c:v>流动比率</c:v>
                </c:pt>
              </c:strCache>
            </c:strRef>
          </c:tx>
          <c:spPr>
            <a:ln w="28575" cap="rnd">
              <a:solidFill>
                <a:schemeClr val="accent1"/>
              </a:solidFill>
              <a:round/>
            </a:ln>
            <a:effectLst/>
          </c:spPr>
          <c:marker>
            <c:symbol val="none"/>
          </c:marker>
          <c:dLbls>
            <c:delete val="1"/>
          </c:dLbls>
          <c:cat>
            <c:numRef>
              <c:f>Sheet1!$A$2:$A$6</c:f>
              <c:numCache>
                <c:formatCode>General</c:formatCode>
                <c:ptCount val="5"/>
                <c:pt idx="0">
                  <c:v>2016</c:v>
                </c:pt>
                <c:pt idx="1">
                  <c:v>2017</c:v>
                </c:pt>
                <c:pt idx="2">
                  <c:v>2018</c:v>
                </c:pt>
                <c:pt idx="3">
                  <c:v>2019</c:v>
                </c:pt>
                <c:pt idx="4">
                  <c:v>2020</c:v>
                </c:pt>
              </c:numCache>
            </c:numRef>
          </c:cat>
          <c:val>
            <c:numRef>
              <c:f>Sheet1!$B$2:$B$6</c:f>
              <c:numCache>
                <c:formatCode>General</c:formatCode>
                <c:ptCount val="5"/>
                <c:pt idx="0">
                  <c:v>1.52</c:v>
                </c:pt>
                <c:pt idx="1">
                  <c:v>1.4</c:v>
                </c:pt>
                <c:pt idx="2">
                  <c:v>1.36</c:v>
                </c:pt>
                <c:pt idx="3">
                  <c:v>1.37</c:v>
                </c:pt>
                <c:pt idx="4">
                  <c:v>1.26</c:v>
                </c:pt>
              </c:numCache>
            </c:numRef>
          </c:val>
          <c:smooth val="0"/>
        </c:ser>
        <c:ser>
          <c:idx val="1"/>
          <c:order val="1"/>
          <c:tx>
            <c:strRef>
              <c:f>Sheet1!$C$1</c:f>
              <c:strCache>
                <c:ptCount val="1"/>
                <c:pt idx="0">
                  <c:v>速动比率</c:v>
                </c:pt>
              </c:strCache>
            </c:strRef>
          </c:tx>
          <c:spPr>
            <a:ln w="28575" cap="rnd">
              <a:solidFill>
                <a:schemeClr val="accent2"/>
              </a:solidFill>
              <a:round/>
            </a:ln>
            <a:effectLst/>
          </c:spPr>
          <c:marker>
            <c:symbol val="none"/>
          </c:marker>
          <c:dLbls>
            <c:delete val="1"/>
          </c:dLbls>
          <c:cat>
            <c:numRef>
              <c:f>Sheet1!$A$2:$A$6</c:f>
              <c:numCache>
                <c:formatCode>General</c:formatCode>
                <c:ptCount val="5"/>
                <c:pt idx="0">
                  <c:v>2016</c:v>
                </c:pt>
                <c:pt idx="1">
                  <c:v>2017</c:v>
                </c:pt>
                <c:pt idx="2">
                  <c:v>2018</c:v>
                </c:pt>
                <c:pt idx="3">
                  <c:v>2019</c:v>
                </c:pt>
                <c:pt idx="4">
                  <c:v>2020</c:v>
                </c:pt>
              </c:numCache>
            </c:numRef>
          </c:cat>
          <c:val>
            <c:numRef>
              <c:f>Sheet1!$C$2:$C$6</c:f>
              <c:numCache>
                <c:formatCode>General</c:formatCode>
                <c:ptCount val="5"/>
                <c:pt idx="0">
                  <c:v>0.62</c:v>
                </c:pt>
                <c:pt idx="1">
                  <c:v>0.52</c:v>
                </c:pt>
                <c:pt idx="2">
                  <c:v>0.42</c:v>
                </c:pt>
                <c:pt idx="3">
                  <c:v>0.38</c:v>
                </c:pt>
                <c:pt idx="4">
                  <c:v>0.33</c:v>
                </c:pt>
              </c:numCache>
            </c:numRef>
          </c:val>
          <c:smooth val="0"/>
        </c:ser>
        <c:ser>
          <c:idx val="2"/>
          <c:order val="2"/>
          <c:tx>
            <c:strRef>
              <c:f>Sheet1!$D$1</c:f>
              <c:strCache>
                <c:ptCount val="1"/>
                <c:pt idx="0">
                  <c:v>现金比率</c:v>
                </c:pt>
              </c:strCache>
            </c:strRef>
          </c:tx>
          <c:spPr>
            <a:ln w="28575" cap="rnd">
              <a:solidFill>
                <a:schemeClr val="accent3"/>
              </a:solidFill>
              <a:round/>
            </a:ln>
            <a:effectLst/>
          </c:spPr>
          <c:marker>
            <c:symbol val="none"/>
          </c:marker>
          <c:dLbls>
            <c:delete val="1"/>
          </c:dLbls>
          <c:cat>
            <c:numRef>
              <c:f>Sheet1!$A$2:$A$6</c:f>
              <c:numCache>
                <c:formatCode>General</c:formatCode>
                <c:ptCount val="5"/>
                <c:pt idx="0">
                  <c:v>2016</c:v>
                </c:pt>
                <c:pt idx="1">
                  <c:v>2017</c:v>
                </c:pt>
                <c:pt idx="2">
                  <c:v>2018</c:v>
                </c:pt>
                <c:pt idx="3">
                  <c:v>2019</c:v>
                </c:pt>
                <c:pt idx="4">
                  <c:v>2020</c:v>
                </c:pt>
              </c:numCache>
            </c:numRef>
          </c:cat>
          <c:val>
            <c:numRef>
              <c:f>Sheet1!$D$2:$D$6</c:f>
              <c:numCache>
                <c:formatCode>General</c:formatCode>
                <c:ptCount val="5"/>
                <c:pt idx="0">
                  <c:v>27.06</c:v>
                </c:pt>
                <c:pt idx="1">
                  <c:v>14.01</c:v>
                </c:pt>
                <c:pt idx="2">
                  <c:v>11.16</c:v>
                </c:pt>
                <c:pt idx="3">
                  <c:v>11.11</c:v>
                </c:pt>
                <c:pt idx="4">
                  <c:v>10.53</c:v>
                </c:pt>
              </c:numCache>
            </c:numRef>
          </c:val>
          <c:smooth val="0"/>
        </c:ser>
        <c:dLbls>
          <c:showLegendKey val="0"/>
          <c:showVal val="0"/>
          <c:showCatName val="0"/>
          <c:showSerName val="0"/>
          <c:showPercent val="0"/>
          <c:showBubbleSize val="0"/>
        </c:dLbls>
        <c:marker val="0"/>
        <c:smooth val="0"/>
        <c:axId val="882655855"/>
        <c:axId val="882631727"/>
      </c:lineChart>
      <c:catAx>
        <c:axId val="882655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2631727"/>
        <c:crosses val="autoZero"/>
        <c:auto val="1"/>
        <c:lblAlgn val="ctr"/>
        <c:lblOffset val="100"/>
        <c:noMultiLvlLbl val="0"/>
      </c:catAx>
      <c:valAx>
        <c:axId val="8826317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26558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64f732b4-792a-48a8-99d4-ad6b1bb3e164}"/>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盈利能力分析</a:t>
            </a:r>
            <a:endParaRPr lang="zh-CN" altLang="en-US"/>
          </a:p>
        </c:rich>
      </c:tx>
      <c:layout/>
      <c:overlay val="0"/>
      <c:spPr>
        <a:noFill/>
        <a:ln>
          <a:noFill/>
        </a:ln>
        <a:effectLst/>
      </c:spPr>
    </c:title>
    <c:autoTitleDeleted val="0"/>
    <c:plotArea>
      <c:layout/>
      <c:lineChart>
        <c:grouping val="standard"/>
        <c:varyColors val="0"/>
        <c:ser>
          <c:idx val="0"/>
          <c:order val="0"/>
          <c:tx>
            <c:strRef>
              <c:f>Sheet1!$B$1</c:f>
              <c:strCache>
                <c:ptCount val="1"/>
                <c:pt idx="0">
                  <c:v>销售净利率</c:v>
                </c:pt>
              </c:strCache>
            </c:strRef>
          </c:tx>
          <c:spPr>
            <a:ln w="28575" cap="rnd">
              <a:solidFill>
                <a:schemeClr val="accent1"/>
              </a:solidFill>
              <a:round/>
            </a:ln>
            <a:effectLst/>
          </c:spPr>
          <c:marker>
            <c:symbol val="none"/>
          </c:marker>
          <c:dLbls>
            <c:delete val="1"/>
          </c:dLbls>
          <c:cat>
            <c:numRef>
              <c:f>Sheet1!$A$2:$A$6</c:f>
              <c:numCache>
                <c:formatCode>General</c:formatCode>
                <c:ptCount val="5"/>
                <c:pt idx="0">
                  <c:v>2016</c:v>
                </c:pt>
                <c:pt idx="1">
                  <c:v>2017</c:v>
                </c:pt>
                <c:pt idx="2">
                  <c:v>2018</c:v>
                </c:pt>
                <c:pt idx="3">
                  <c:v>2019</c:v>
                </c:pt>
                <c:pt idx="4">
                  <c:v>2020</c:v>
                </c:pt>
              </c:numCache>
            </c:numRef>
          </c:cat>
          <c:val>
            <c:numRef>
              <c:f>Sheet1!$B$2:$B$6</c:f>
              <c:numCache>
                <c:formatCode>0.00%</c:formatCode>
                <c:ptCount val="5"/>
                <c:pt idx="0">
                  <c:v>0.0312</c:v>
                </c:pt>
                <c:pt idx="1">
                  <c:v>0.0872</c:v>
                </c:pt>
                <c:pt idx="2">
                  <c:v>0.0821</c:v>
                </c:pt>
                <c:pt idx="3">
                  <c:v>0.0386</c:v>
                </c:pt>
                <c:pt idx="4">
                  <c:v>0.0162</c:v>
                </c:pt>
              </c:numCache>
            </c:numRef>
          </c:val>
          <c:smooth val="0"/>
        </c:ser>
        <c:ser>
          <c:idx val="1"/>
          <c:order val="1"/>
          <c:tx>
            <c:strRef>
              <c:f>Sheet1!$C$1</c:f>
              <c:strCache>
                <c:ptCount val="1"/>
                <c:pt idx="0">
                  <c:v>总资产收益率</c:v>
                </c:pt>
              </c:strCache>
            </c:strRef>
          </c:tx>
          <c:spPr>
            <a:ln w="28575" cap="rnd">
              <a:solidFill>
                <a:schemeClr val="accent2"/>
              </a:solidFill>
              <a:round/>
            </a:ln>
            <a:effectLst/>
          </c:spPr>
          <c:marker>
            <c:symbol val="none"/>
          </c:marker>
          <c:dLbls>
            <c:delete val="1"/>
          </c:dLbls>
          <c:cat>
            <c:numRef>
              <c:f>Sheet1!$A$2:$A$6</c:f>
              <c:numCache>
                <c:formatCode>General</c:formatCode>
                <c:ptCount val="5"/>
                <c:pt idx="0">
                  <c:v>2016</c:v>
                </c:pt>
                <c:pt idx="1">
                  <c:v>2017</c:v>
                </c:pt>
                <c:pt idx="2">
                  <c:v>2018</c:v>
                </c:pt>
                <c:pt idx="3">
                  <c:v>2019</c:v>
                </c:pt>
                <c:pt idx="4">
                  <c:v>2020</c:v>
                </c:pt>
              </c:numCache>
            </c:numRef>
          </c:cat>
          <c:val>
            <c:numRef>
              <c:f>Sheet1!$C$2:$C$6</c:f>
              <c:numCache>
                <c:formatCode>0.00%</c:formatCode>
                <c:ptCount val="5"/>
                <c:pt idx="0">
                  <c:v>0.0167</c:v>
                </c:pt>
                <c:pt idx="1">
                  <c:v>0.0238</c:v>
                </c:pt>
                <c:pt idx="2">
                  <c:v>0.0365</c:v>
                </c:pt>
                <c:pt idx="3">
                  <c:v>0.0164</c:v>
                </c:pt>
                <c:pt idx="4">
                  <c:v>0.0139</c:v>
                </c:pt>
              </c:numCache>
            </c:numRef>
          </c:val>
          <c:smooth val="0"/>
        </c:ser>
        <c:ser>
          <c:idx val="2"/>
          <c:order val="2"/>
          <c:tx>
            <c:strRef>
              <c:f>Sheet1!$D$1</c:f>
              <c:strCache>
                <c:ptCount val="1"/>
                <c:pt idx="0">
                  <c:v>净资产收益率</c:v>
                </c:pt>
              </c:strCache>
            </c:strRef>
          </c:tx>
          <c:spPr>
            <a:ln w="28575" cap="rnd">
              <a:solidFill>
                <a:schemeClr val="accent3"/>
              </a:solidFill>
              <a:round/>
            </a:ln>
            <a:effectLst/>
          </c:spPr>
          <c:marker>
            <c:symbol val="none"/>
          </c:marker>
          <c:dLbls>
            <c:delete val="1"/>
          </c:dLbls>
          <c:cat>
            <c:numRef>
              <c:f>Sheet1!$A$2:$A$6</c:f>
              <c:numCache>
                <c:formatCode>General</c:formatCode>
                <c:ptCount val="5"/>
                <c:pt idx="0">
                  <c:v>2016</c:v>
                </c:pt>
                <c:pt idx="1">
                  <c:v>2017</c:v>
                </c:pt>
                <c:pt idx="2">
                  <c:v>2018</c:v>
                </c:pt>
                <c:pt idx="3">
                  <c:v>2019</c:v>
                </c:pt>
                <c:pt idx="4">
                  <c:v>2020</c:v>
                </c:pt>
              </c:numCache>
            </c:numRef>
          </c:cat>
          <c:val>
            <c:numRef>
              <c:f>Sheet1!$D$2:$D$6</c:f>
              <c:numCache>
                <c:formatCode>0.00%</c:formatCode>
                <c:ptCount val="5"/>
                <c:pt idx="0">
                  <c:v>0.1151</c:v>
                </c:pt>
                <c:pt idx="1">
                  <c:v>0.2124</c:v>
                </c:pt>
                <c:pt idx="2">
                  <c:v>0.2811</c:v>
                </c:pt>
                <c:pt idx="3">
                  <c:v>0.1186</c:v>
                </c:pt>
                <c:pt idx="4">
                  <c:v>0.0556</c:v>
                </c:pt>
              </c:numCache>
            </c:numRef>
          </c:val>
          <c:smooth val="0"/>
        </c:ser>
        <c:ser>
          <c:idx val="3"/>
          <c:order val="3"/>
          <c:tx>
            <c:strRef>
              <c:f>Sheet1!$E$1</c:f>
              <c:strCache>
                <c:ptCount val="1"/>
                <c:pt idx="0">
                  <c:v>总资产净利率</c:v>
                </c:pt>
              </c:strCache>
            </c:strRef>
          </c:tx>
          <c:spPr>
            <a:ln w="28575" cap="rnd">
              <a:solidFill>
                <a:schemeClr val="accent4"/>
              </a:solidFill>
              <a:round/>
            </a:ln>
            <a:effectLst/>
          </c:spPr>
          <c:marker>
            <c:symbol val="none"/>
          </c:marker>
          <c:dLbls>
            <c:delete val="1"/>
          </c:dLbls>
          <c:cat>
            <c:numRef>
              <c:f>Sheet1!$A$2:$A$6</c:f>
              <c:numCache>
                <c:formatCode>General</c:formatCode>
                <c:ptCount val="5"/>
                <c:pt idx="0">
                  <c:v>2016</c:v>
                </c:pt>
                <c:pt idx="1">
                  <c:v>2017</c:v>
                </c:pt>
                <c:pt idx="2">
                  <c:v>2018</c:v>
                </c:pt>
                <c:pt idx="3">
                  <c:v>2019</c:v>
                </c:pt>
                <c:pt idx="4">
                  <c:v>2020</c:v>
                </c:pt>
              </c:numCache>
            </c:numRef>
          </c:cat>
          <c:val>
            <c:numRef>
              <c:f>Sheet1!$E$2:$E$6</c:f>
              <c:numCache>
                <c:formatCode>0.00%</c:formatCode>
                <c:ptCount val="5"/>
                <c:pt idx="0">
                  <c:v>0.0148</c:v>
                </c:pt>
                <c:pt idx="1">
                  <c:v>0.0157</c:v>
                </c:pt>
                <c:pt idx="2">
                  <c:v>0.0205</c:v>
                </c:pt>
                <c:pt idx="3">
                  <c:v>0.0085</c:v>
                </c:pt>
                <c:pt idx="4">
                  <c:v>0.0036</c:v>
                </c:pt>
              </c:numCache>
            </c:numRef>
          </c:val>
          <c:smooth val="0"/>
        </c:ser>
        <c:dLbls>
          <c:showLegendKey val="0"/>
          <c:showVal val="0"/>
          <c:showCatName val="0"/>
          <c:showSerName val="0"/>
          <c:showPercent val="0"/>
          <c:showBubbleSize val="0"/>
        </c:dLbls>
        <c:marker val="0"/>
        <c:smooth val="0"/>
        <c:axId val="882670415"/>
        <c:axId val="882658351"/>
      </c:lineChart>
      <c:catAx>
        <c:axId val="882670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2658351"/>
        <c:crosses val="autoZero"/>
        <c:auto val="1"/>
        <c:lblAlgn val="ctr"/>
        <c:lblOffset val="100"/>
        <c:noMultiLvlLbl val="0"/>
      </c:catAx>
      <c:valAx>
        <c:axId val="88265835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267041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4f04e5cb-5e6a-4c22-8e94-a3565ea24d98}"/>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7939</Words>
  <Characters>8514</Characters>
  <Lines>61</Lines>
  <Paragraphs>17</Paragraphs>
  <TotalTime>594</TotalTime>
  <ScaleCrop>false</ScaleCrop>
  <LinksUpToDate>false</LinksUpToDate>
  <CharactersWithSpaces>8607</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2022-07-20T15:58:00Z</dcterms:created>
  <dc:creator>step by step</dc:creator>
  <cp:lastModifiedBy>宇智波祥子</cp:lastModifiedBy>
  <dcterms:modified xsi:type="dcterms:W3CDTF">2025-06-12T01:01:25Z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8B612FE663AE4FE9A31CEC7B1F8688C4_13</vt:lpwstr>
  </property>
  <property fmtid="{D5CDD505-2E9C-101B-9397-08002B2CF9AE}" pid="4" name="KSOTemplateDocerSaveRecord">
    <vt:lpwstr>eyJoZGlkIjoiMzBmZDcyODc1YjJkZjk0YWI4YjhmODA0ZDFhNjQ3OTgiLCJ1c2VySWQiOiI4MTk5NDc5MzQifQ==</vt:lpwstr>
  </property>
</Properties>
</file>