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80BD" w14:textId="2ED957B0" w:rsidR="00F34E24" w:rsidRDefault="009D34BE" w:rsidP="006C33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C3303" w:rsidRPr="006C3303">
        <w:rPr>
          <w:rFonts w:ascii="Times New Roman" w:hAnsi="Times New Roman" w:cs="Times New Roman"/>
        </w:rPr>
        <w:t>GSEA analysis</w:t>
      </w:r>
    </w:p>
    <w:p w14:paraId="0B2B3E1A" w14:textId="62286523" w:rsidR="001943FE" w:rsidRDefault="001943FE" w:rsidP="0049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3FE">
        <w:rPr>
          <w:rFonts w:ascii="Times New Roman" w:eastAsia="Times New Roman" w:hAnsi="Times New Roman" w:cs="Times New Roman"/>
          <w:kern w:val="0"/>
          <w14:ligatures w14:val="none"/>
        </w:rPr>
        <w:t>Gene Set Enrichment Analysis (GSEA) is a method used to determine whether a predefined group of genes—such as a barrier-related gene set</w:t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  <w:fldChar w:fldCharType="begin">
          <w:fldData xml:space="preserve">PEVuZE5vdGU+PENpdGU+PEF1dGhvcj5TYXZlcmltdXR0dTwvQXV0aG9yPjxZZWFyPjIwMjE8L1ll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=
</w:fldData>
        </w:fldChar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  <w:instrText xml:space="preserve"> ADDIN EN.CITE </w:instrText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  <w:fldChar w:fldCharType="begin">
          <w:fldData xml:space="preserve">PEVuZE5vdGU+PENpdGU+PEF1dGhvcj5TYXZlcmltdXR0dTwvQXV0aG9yPjxZZWFyPjIwMjE8L1ll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=
</w:fldData>
        </w:fldChar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  <w:instrText xml:space="preserve"> ADDIN EN.CITE.DATA </w:instrText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="004B0BCE">
        <w:rPr>
          <w:rFonts w:ascii="Times New Roman" w:eastAsia="Times New Roman" w:hAnsi="Times New Roman" w:cs="Times New Roman"/>
          <w:noProof/>
          <w:kern w:val="0"/>
          <w14:ligatures w14:val="none"/>
        </w:rPr>
        <w:t>[1]</w:t>
      </w:r>
      <w:r w:rsidR="004B0BC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943FE">
        <w:rPr>
          <w:rFonts w:ascii="Times New Roman" w:eastAsia="Times New Roman" w:hAnsi="Times New Roman" w:cs="Times New Roman"/>
          <w:kern w:val="0"/>
          <w14:ligatures w14:val="none"/>
        </w:rPr>
        <w:t>—is significantly overrepresented at the top or bottom of a ranked list of all genes from an experiment. This ranking is typically based on a metric like the signed -log(p-value), which captures both the strength and direction of gene expression changes between two conditions (e.g., normoxia vs. hyperoxia or wild-type vs. Emp2 knockout in mouse retina samples). The Normalized Enrichment Score (NES) quantifies how strongly the gene set is enriched, adjusting for gene set size. A positive NES indicates the genes are generally upregulated, while a negative NES suggests they are downregulated.</w:t>
      </w:r>
    </w:p>
    <w:p w14:paraId="291B0221" w14:textId="3B5D0454" w:rsidR="009E4C7E" w:rsidRDefault="00890D76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0D76">
        <w:rPr>
          <w:rFonts w:ascii="Times New Roman" w:eastAsia="Times New Roman" w:hAnsi="Times New Roman" w:cs="Times New Roman"/>
          <w:kern w:val="0"/>
          <w14:ligatures w14:val="none"/>
        </w:rPr>
        <w:t>Global_norvsOIR</w:t>
      </w:r>
      <w:proofErr w:type="spellEnd"/>
      <w:r w:rsidRPr="00890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90D76">
        <w:rPr>
          <w:rFonts w:ascii="Times New Roman" w:eastAsia="Times New Roman" w:hAnsi="Times New Roman" w:cs="Times New Roman"/>
          <w:kern w:val="0"/>
          <w14:ligatures w14:val="none"/>
        </w:rPr>
        <w:t>Normoxia</w:t>
      </w:r>
      <w:proofErr w:type="spellEnd"/>
      <w:r w:rsidRPr="00890D76">
        <w:rPr>
          <w:rFonts w:ascii="Times New Roman" w:eastAsia="Times New Roman" w:hAnsi="Times New Roman" w:cs="Times New Roman"/>
          <w:kern w:val="0"/>
          <w14:ligatures w14:val="none"/>
        </w:rPr>
        <w:t xml:space="preserve"> vs. OIR Comparison) </w:t>
      </w:r>
    </w:p>
    <w:p w14:paraId="7ABE2DB7" w14:textId="20CC7B4C" w:rsidR="00250B8E" w:rsidRDefault="00250B8E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B8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A2E2EE" wp14:editId="4F4D3BDC">
            <wp:extent cx="6858000" cy="4507865"/>
            <wp:effectExtent l="0" t="0" r="0" b="635"/>
            <wp:docPr id="1431499032" name="Picture 1" descr="A chart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9032" name="Picture 1" descr="A chart with colorful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3EC" w14:textId="77777777" w:rsidR="001943FE" w:rsidRDefault="001943FE" w:rsidP="001943F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C9BC4" w14:textId="6B434CC7" w:rsidR="001943FE" w:rsidRPr="001943FE" w:rsidRDefault="001943FE" w:rsidP="001943F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43FE">
        <w:rPr>
          <w:rFonts w:ascii="Times New Roman" w:eastAsia="Times New Roman" w:hAnsi="Times New Roman" w:cs="Times New Roman"/>
          <w:kern w:val="0"/>
          <w14:ligatures w14:val="none"/>
        </w:rPr>
        <w:t>In our analysis, we performed Gene Set Enrichment Analysis (GSEA) for each cell cluster to assess whether genes in the predefined barrier-related gene set were enriched among those differentially expressed between normoxia and OIR conditions. Notably, the Müller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43FE"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14:ligatures w14:val="none"/>
        </w:rPr>
        <w:t>Muller</w:t>
      </w:r>
      <w:r w:rsidRPr="001943FE">
        <w:rPr>
          <w:rFonts w:ascii="Times New Roman" w:eastAsia="Times New Roman" w:hAnsi="Times New Roman" w:cs="Times New Roman"/>
          <w:kern w:val="0"/>
          <w14:ligatures w14:val="none"/>
        </w:rPr>
        <w:t>) and endothelial (Endo) clusters showed statistically significant negative enrichment scores, indicating a downregulation of barrier-related genes in response to OIR.</w:t>
      </w:r>
    </w:p>
    <w:p w14:paraId="0DB759AC" w14:textId="4352895A" w:rsidR="003B17BC" w:rsidRDefault="003B17BC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E500CEA" w14:textId="60FE469B" w:rsidR="003B17BC" w:rsidRDefault="00890D76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90D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Global_WTvsEmp2ko (Wild-Type vs. Emp2 Knockout Comparison) </w:t>
      </w:r>
    </w:p>
    <w:p w14:paraId="6D36A073" w14:textId="4645ADEB" w:rsidR="00250B8E" w:rsidRDefault="00250B8E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B8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A2DE171" wp14:editId="66BED510">
            <wp:extent cx="6858000" cy="4507865"/>
            <wp:effectExtent l="0" t="0" r="0" b="635"/>
            <wp:docPr id="1607751028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1028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C561" w14:textId="77777777" w:rsidR="00B155DF" w:rsidRDefault="00B155DF" w:rsidP="00B155DF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F3E64" w14:textId="03C1F710" w:rsidR="00B155DF" w:rsidRPr="00B155DF" w:rsidRDefault="00B155DF" w:rsidP="00B155DF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155DF">
        <w:rPr>
          <w:rFonts w:ascii="Times New Roman" w:eastAsia="Times New Roman" w:hAnsi="Times New Roman" w:cs="Times New Roman"/>
          <w:kern w:val="0"/>
          <w14:ligatures w14:val="none"/>
        </w:rPr>
        <w:t xml:space="preserve">GSEA comparing wild-type and Emp2 knockout conditions revealed distinct enrichment patterns across cell clusters. Barrier-related genes were positively enriched in cluster R_BC, indicating upregulation in the knockout, while negative enrichment in cluster </w:t>
      </w:r>
      <w:proofErr w:type="spellStart"/>
      <w:r w:rsidRPr="00B155DF">
        <w:rPr>
          <w:rFonts w:ascii="Times New Roman" w:eastAsia="Times New Roman" w:hAnsi="Times New Roman" w:cs="Times New Roman"/>
          <w:kern w:val="0"/>
          <w14:ligatures w14:val="none"/>
        </w:rPr>
        <w:t>other_BCs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5FE33" w14:textId="77777777" w:rsidR="00890D76" w:rsidRDefault="00890D76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744AD4" w14:textId="77777777" w:rsidR="00890D76" w:rsidRDefault="00890D76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709E90" w14:textId="69DE9D2C" w:rsidR="003B17BC" w:rsidRDefault="003B17BC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47789E7" w14:textId="4200B183" w:rsidR="003B17BC" w:rsidRDefault="00A32BB2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2B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WTvsEmp2ko_nor (Wild-Type vs. Emp2 Knockout Comparison in Normoxia)</w:t>
      </w:r>
    </w:p>
    <w:p w14:paraId="2A6A0C65" w14:textId="50D74755" w:rsidR="00250B8E" w:rsidRDefault="00250B8E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B8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DD8555A" wp14:editId="4C331119">
            <wp:extent cx="6858000" cy="4507865"/>
            <wp:effectExtent l="0" t="0" r="0" b="635"/>
            <wp:docPr id="139158982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9827" name="Picture 1" descr="A graph of different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7268" w14:textId="77777777" w:rsidR="005861BE" w:rsidRDefault="005861BE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56736" w14:textId="77EC094B" w:rsidR="00890D76" w:rsidRDefault="005861BE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861BE">
        <w:rPr>
          <w:rFonts w:ascii="Times New Roman" w:eastAsia="Times New Roman" w:hAnsi="Times New Roman" w:cs="Times New Roman"/>
          <w:kern w:val="0"/>
          <w14:ligatures w14:val="none"/>
        </w:rPr>
        <w:t>Under normoxi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5861BE">
        <w:rPr>
          <w:rFonts w:ascii="Times New Roman" w:eastAsia="Times New Roman" w:hAnsi="Times New Roman" w:cs="Times New Roman"/>
          <w:kern w:val="0"/>
          <w14:ligatures w14:val="none"/>
        </w:rPr>
        <w:t xml:space="preserve"> conditions, GSEA revealed upregulation of barrier-related genes in the Emp2 knockout, with positive enrichment observed in clusters like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Muller</w:t>
      </w:r>
      <w:r w:rsidRPr="00194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61BE">
        <w:rPr>
          <w:rFonts w:ascii="Times New Roman" w:eastAsia="Times New Roman" w:hAnsi="Times New Roman" w:cs="Times New Roman"/>
          <w:kern w:val="0"/>
          <w14:ligatures w14:val="none"/>
        </w:rPr>
        <w:t>and R_BC.</w:t>
      </w:r>
    </w:p>
    <w:p w14:paraId="103011C3" w14:textId="77777777" w:rsidR="00890D76" w:rsidRDefault="00890D76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E9E718" w14:textId="389AC43A" w:rsidR="003B17BC" w:rsidRDefault="003B17BC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2317CD6" w14:textId="5E23C82B" w:rsidR="003B17BC" w:rsidRDefault="001B0685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06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WT_norvsOIR</w:t>
      </w:r>
      <w:proofErr w:type="spellEnd"/>
      <w:r w:rsidRPr="001B068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B0685">
        <w:rPr>
          <w:rFonts w:ascii="Times New Roman" w:eastAsia="Times New Roman" w:hAnsi="Times New Roman" w:cs="Times New Roman"/>
          <w:kern w:val="0"/>
          <w14:ligatures w14:val="none"/>
        </w:rPr>
        <w:t>Normoxia</w:t>
      </w:r>
      <w:proofErr w:type="spellEnd"/>
      <w:r w:rsidRPr="001B0685">
        <w:rPr>
          <w:rFonts w:ascii="Times New Roman" w:eastAsia="Times New Roman" w:hAnsi="Times New Roman" w:cs="Times New Roman"/>
          <w:kern w:val="0"/>
          <w14:ligatures w14:val="none"/>
        </w:rPr>
        <w:t xml:space="preserve"> vs. OIR Comparison in Wild-Type)</w:t>
      </w:r>
    </w:p>
    <w:p w14:paraId="5C5E97E4" w14:textId="3A35517B" w:rsidR="00250B8E" w:rsidRDefault="00250B8E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B8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A83A8DD" wp14:editId="2C17C84E">
            <wp:extent cx="6858000" cy="4507865"/>
            <wp:effectExtent l="0" t="0" r="0" b="635"/>
            <wp:docPr id="589071686" name="Picture 1" descr="A chart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1686" name="Picture 1" descr="A chart with colorful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1AF4" w14:textId="61CEFB14" w:rsidR="001B0685" w:rsidRDefault="005861BE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861BE">
        <w:rPr>
          <w:rFonts w:ascii="Times New Roman" w:eastAsia="Times New Roman" w:hAnsi="Times New Roman" w:cs="Times New Roman"/>
          <w:kern w:val="0"/>
          <w14:ligatures w14:val="none"/>
        </w:rPr>
        <w:t>In wild-type samples, GSEA comparing normoxia and OIR conditions showed negative enrichment of barrier-related genes in the M</w:t>
      </w: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5861BE">
        <w:rPr>
          <w:rFonts w:ascii="Times New Roman" w:eastAsia="Times New Roman" w:hAnsi="Times New Roman" w:cs="Times New Roman"/>
          <w:kern w:val="0"/>
          <w14:ligatures w14:val="none"/>
        </w:rPr>
        <w:t>ller cluster, indicating their downregulation in response to OIR.</w:t>
      </w:r>
    </w:p>
    <w:p w14:paraId="2CF13BD2" w14:textId="77777777" w:rsidR="001B0685" w:rsidRDefault="001B0685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9F21FE" w14:textId="407844CD" w:rsidR="003B17BC" w:rsidRDefault="003B17BC" w:rsidP="003B17B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EF0F11C" w14:textId="276C2344" w:rsidR="00AF3D1D" w:rsidRDefault="001B0685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6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Emp2ko_norvsOIR (Normoxia vs. OIR Comparison in Emp2 Knockout)</w:t>
      </w:r>
    </w:p>
    <w:p w14:paraId="42A9DAF7" w14:textId="6D4D1AD8" w:rsidR="00250B8E" w:rsidRDefault="00250B8E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B8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20BBAB8" wp14:editId="53223BC9">
            <wp:extent cx="6858000" cy="4507865"/>
            <wp:effectExtent l="0" t="0" r="0" b="635"/>
            <wp:docPr id="388199602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99602" name="Picture 1" descr="A graph of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622" w14:textId="7F8D2824" w:rsidR="001B0685" w:rsidRDefault="005861BE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1BE">
        <w:rPr>
          <w:rFonts w:ascii="Times New Roman" w:eastAsia="Times New Roman" w:hAnsi="Times New Roman" w:cs="Times New Roman"/>
          <w:kern w:val="0"/>
          <w14:ligatures w14:val="none"/>
        </w:rPr>
        <w:t>In the Emp2 knockout background, GSEA showed distinct barrier-related gene expression changes between normoxia and OIR, with negative enrichment in Muller, Endo, and R_BC clusters, indicating downregulation under OIR.</w:t>
      </w:r>
    </w:p>
    <w:p w14:paraId="605C14F2" w14:textId="7B0334BA" w:rsidR="004B0BCE" w:rsidRDefault="004B0BCE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AB2FD" w14:textId="6EF1A9B2" w:rsidR="00C639F9" w:rsidRDefault="00C639F9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DBAA13" w14:textId="77777777" w:rsidR="00C639F9" w:rsidRDefault="00C639F9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4A9F9" w14:textId="6618824D" w:rsidR="004B0BCE" w:rsidRDefault="00C639F9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Reference</w:t>
      </w:r>
    </w:p>
    <w:p w14:paraId="27D7581C" w14:textId="77777777" w:rsidR="004B0BCE" w:rsidRPr="004B0BCE" w:rsidRDefault="004B0BCE" w:rsidP="004B0BCE">
      <w:pPr>
        <w:pStyle w:val="EndNoteBibliography"/>
        <w:ind w:left="720" w:hanging="720"/>
        <w:rPr>
          <w:noProof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kern w:val="0"/>
          <w14:ligatures w14:val="none"/>
        </w:rPr>
        <w:instrText xml:space="preserve"> ADDIN EN.REFLIST </w:instrText>
      </w: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B0BCE">
        <w:rPr>
          <w:noProof/>
        </w:rPr>
        <w:t>1.</w:t>
      </w:r>
      <w:r w:rsidRPr="004B0BCE">
        <w:rPr>
          <w:noProof/>
        </w:rPr>
        <w:tab/>
        <w:t xml:space="preserve">Saverimuttu, S.C.C., et al., </w:t>
      </w:r>
      <w:r w:rsidRPr="004B0BCE">
        <w:rPr>
          <w:i/>
          <w:noProof/>
        </w:rPr>
        <w:t>Gene Ontology curation of the blood-brain barrier to improve the analysis of Alzheimer's and other neurological diseases.</w:t>
      </w:r>
      <w:r w:rsidRPr="004B0BCE">
        <w:rPr>
          <w:noProof/>
        </w:rPr>
        <w:t xml:space="preserve"> Database (Oxford), 2021. </w:t>
      </w:r>
      <w:r w:rsidRPr="004B0BCE">
        <w:rPr>
          <w:b/>
          <w:noProof/>
        </w:rPr>
        <w:t>2021</w:t>
      </w:r>
      <w:r w:rsidRPr="004B0BCE">
        <w:rPr>
          <w:noProof/>
        </w:rPr>
        <w:t>.</w:t>
      </w:r>
    </w:p>
    <w:p w14:paraId="07BA7E16" w14:textId="4347781A" w:rsidR="003B17BC" w:rsidRDefault="004B0BCE" w:rsidP="00AF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sectPr w:rsidR="003B17BC" w:rsidSect="00785B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80AEF"/>
    <w:multiLevelType w:val="multilevel"/>
    <w:tmpl w:val="31A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8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5xtr9txivvxtse0v94pp2dfwv9eaxw9t0w5&quot;&gt;My EndNote Library&lt;record-ids&gt;&lt;item&gt;120&lt;/item&gt;&lt;/record-ids&gt;&lt;/item&gt;&lt;/Libraries&gt;"/>
  </w:docVars>
  <w:rsids>
    <w:rsidRoot w:val="006C3303"/>
    <w:rsid w:val="00030DE4"/>
    <w:rsid w:val="00151EF4"/>
    <w:rsid w:val="00186BED"/>
    <w:rsid w:val="001943FE"/>
    <w:rsid w:val="001951A2"/>
    <w:rsid w:val="001B0685"/>
    <w:rsid w:val="001C40B3"/>
    <w:rsid w:val="00212CD1"/>
    <w:rsid w:val="00250B8E"/>
    <w:rsid w:val="003B17BC"/>
    <w:rsid w:val="00495B17"/>
    <w:rsid w:val="004B0BCE"/>
    <w:rsid w:val="004F42EA"/>
    <w:rsid w:val="005861BE"/>
    <w:rsid w:val="005D4EFD"/>
    <w:rsid w:val="006C3303"/>
    <w:rsid w:val="006E6B27"/>
    <w:rsid w:val="00756F32"/>
    <w:rsid w:val="0077208A"/>
    <w:rsid w:val="00785B2E"/>
    <w:rsid w:val="00890D76"/>
    <w:rsid w:val="00925521"/>
    <w:rsid w:val="009D34BE"/>
    <w:rsid w:val="009E4C7E"/>
    <w:rsid w:val="009E5781"/>
    <w:rsid w:val="00A32BB2"/>
    <w:rsid w:val="00AF3D1D"/>
    <w:rsid w:val="00B155DF"/>
    <w:rsid w:val="00BC443C"/>
    <w:rsid w:val="00BF668B"/>
    <w:rsid w:val="00C639F9"/>
    <w:rsid w:val="00E20645"/>
    <w:rsid w:val="00F34E24"/>
    <w:rsid w:val="00F72F3D"/>
    <w:rsid w:val="00F8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FC57"/>
  <w15:chartTrackingRefBased/>
  <w15:docId w15:val="{ED40713D-BFAA-9A4D-BDFB-924FBEDE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3D1D"/>
    <w:rPr>
      <w:b/>
      <w:bCs/>
    </w:rPr>
  </w:style>
  <w:style w:type="paragraph" w:customStyle="1" w:styleId="EndNoteBibliographyTitle">
    <w:name w:val="EndNote Bibliography Title"/>
    <w:basedOn w:val="Normal"/>
    <w:link w:val="EndNoteBibliographyTitleChar"/>
    <w:rsid w:val="004B0BCE"/>
    <w:pPr>
      <w:spacing w:after="0"/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B0BCE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4B0BCE"/>
    <w:pPr>
      <w:spacing w:line="240" w:lineRule="auto"/>
    </w:pPr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4B0BCE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Cheng-Hsiang</dc:creator>
  <cp:keywords/>
  <dc:description/>
  <cp:lastModifiedBy>Lu, Cheng-Hsiang</cp:lastModifiedBy>
  <cp:revision>13</cp:revision>
  <dcterms:created xsi:type="dcterms:W3CDTF">2025-05-12T19:44:00Z</dcterms:created>
  <dcterms:modified xsi:type="dcterms:W3CDTF">2025-06-26T15:07:00Z</dcterms:modified>
</cp:coreProperties>
</file>