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FEA12" w14:textId="77777777" w:rsidR="003D2BAA" w:rsidRDefault="00125EE9">
      <w:pPr>
        <w:jc w:val="center"/>
        <w:rPr>
          <w:lang w:eastAsia="zh-TW"/>
        </w:rPr>
      </w:pPr>
      <w:r>
        <w:rPr>
          <w:b/>
          <w:sz w:val="44"/>
          <w:lang w:eastAsia="zh-TW"/>
        </w:rPr>
        <w:t>仁新醫藥（</w:t>
      </w:r>
      <w:r>
        <w:rPr>
          <w:b/>
          <w:sz w:val="44"/>
          <w:lang w:eastAsia="zh-TW"/>
        </w:rPr>
        <w:t>6696</w:t>
      </w:r>
      <w:r>
        <w:rPr>
          <w:b/>
          <w:sz w:val="44"/>
          <w:lang w:eastAsia="zh-TW"/>
        </w:rPr>
        <w:t>）市場研究報告</w:t>
      </w:r>
    </w:p>
    <w:p w14:paraId="3AD394AC" w14:textId="77777777" w:rsidR="003D2BAA" w:rsidRDefault="00125EE9">
      <w:pPr>
        <w:jc w:val="center"/>
        <w:rPr>
          <w:lang w:eastAsia="zh-TW"/>
        </w:rPr>
      </w:pPr>
      <w:r>
        <w:rPr>
          <w:b/>
          <w:sz w:val="28"/>
          <w:lang w:eastAsia="zh-TW"/>
        </w:rPr>
        <w:t>從藥證倒數到商業化驗證：</w:t>
      </w:r>
      <w:r>
        <w:rPr>
          <w:b/>
          <w:sz w:val="28"/>
          <w:lang w:eastAsia="zh-TW"/>
        </w:rPr>
        <w:t>Tinlarebant</w:t>
      </w:r>
      <w:r>
        <w:rPr>
          <w:b/>
          <w:sz w:val="28"/>
          <w:lang w:eastAsia="zh-TW"/>
        </w:rPr>
        <w:t>、</w:t>
      </w:r>
      <w:r>
        <w:rPr>
          <w:b/>
          <w:sz w:val="28"/>
          <w:lang w:eastAsia="zh-TW"/>
        </w:rPr>
        <w:t>GA</w:t>
      </w:r>
      <w:r>
        <w:rPr>
          <w:b/>
          <w:sz w:val="28"/>
          <w:lang w:eastAsia="zh-TW"/>
        </w:rPr>
        <w:t>與</w:t>
      </w:r>
      <w:r>
        <w:rPr>
          <w:b/>
          <w:sz w:val="28"/>
          <w:lang w:eastAsia="zh-TW"/>
        </w:rPr>
        <w:t>LBS-007</w:t>
      </w:r>
      <w:r>
        <w:rPr>
          <w:b/>
          <w:sz w:val="28"/>
          <w:lang w:eastAsia="zh-TW"/>
        </w:rPr>
        <w:t>的估值重寫</w:t>
      </w:r>
    </w:p>
    <w:p w14:paraId="61FB660C" w14:textId="77777777" w:rsidR="003D2BAA" w:rsidRDefault="00125EE9">
      <w:pPr>
        <w:jc w:val="center"/>
        <w:rPr>
          <w:lang w:eastAsia="zh-TW"/>
        </w:rPr>
      </w:pPr>
      <w:r>
        <w:rPr>
          <w:sz w:val="20"/>
          <w:lang w:eastAsia="zh-TW"/>
        </w:rPr>
        <w:t>資料截點：</w:t>
      </w:r>
      <w:r>
        <w:rPr>
          <w:sz w:val="20"/>
          <w:lang w:eastAsia="zh-TW"/>
        </w:rPr>
        <w:t>2026</w:t>
      </w:r>
      <w:r>
        <w:rPr>
          <w:sz w:val="20"/>
          <w:lang w:eastAsia="zh-TW"/>
        </w:rPr>
        <w:t>年</w:t>
      </w:r>
      <w:r>
        <w:rPr>
          <w:sz w:val="20"/>
          <w:lang w:eastAsia="zh-TW"/>
        </w:rPr>
        <w:t>7</w:t>
      </w:r>
      <w:r>
        <w:rPr>
          <w:sz w:val="20"/>
          <w:lang w:eastAsia="zh-TW"/>
        </w:rPr>
        <w:t>月｜供市場研究與學術討論</w:t>
      </w:r>
    </w:p>
    <w:p w14:paraId="0486B2DB" w14:textId="77777777" w:rsidR="003D2BAA" w:rsidRDefault="003D2BAA">
      <w:pPr>
        <w:rPr>
          <w:lang w:eastAsia="zh-TW"/>
        </w:rPr>
      </w:pPr>
    </w:p>
    <w:p w14:paraId="3E881C87" w14:textId="77777777" w:rsidR="003D2BAA" w:rsidRDefault="00125EE9">
      <w:pPr>
        <w:pStyle w:val="1"/>
        <w:rPr>
          <w:lang w:eastAsia="zh-TW"/>
        </w:rPr>
      </w:pPr>
      <w:r>
        <w:rPr>
          <w:lang w:eastAsia="zh-TW"/>
        </w:rPr>
        <w:t>投資結論</w:t>
      </w:r>
    </w:p>
    <w:p w14:paraId="06BB3DE4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仁新醫藥的核心投資邏輯，已由傳統臨床期生技股的「藥物是否有效」轉向「藥證何時落地、最終標籤多寬、上市時已有多少可辨識患者，以及首四個商業化季度能否建立十億美元年化營收軌道」。</w:t>
      </w:r>
    </w:p>
    <w:p w14:paraId="5841F4F2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Belite Bio</w:t>
      </w:r>
      <w:r>
        <w:rPr>
          <w:lang w:eastAsia="zh-TW"/>
        </w:rPr>
        <w:t>旗下</w:t>
      </w:r>
      <w:r>
        <w:rPr>
          <w:lang w:eastAsia="zh-TW"/>
        </w:rPr>
        <w:t>Tinlarebant</w:t>
      </w:r>
      <w:r>
        <w:rPr>
          <w:lang w:eastAsia="zh-TW"/>
        </w:rPr>
        <w:t>（</w:t>
      </w:r>
      <w:r>
        <w:rPr>
          <w:lang w:eastAsia="zh-TW"/>
        </w:rPr>
        <w:t>LBS-008</w:t>
      </w:r>
      <w:r>
        <w:rPr>
          <w:lang w:eastAsia="zh-TW"/>
        </w:rPr>
        <w:t>）已完成美國</w:t>
      </w:r>
      <w:r>
        <w:rPr>
          <w:lang w:eastAsia="zh-TW"/>
        </w:rPr>
        <w:t>FDA NDA</w:t>
      </w:r>
      <w:r>
        <w:rPr>
          <w:lang w:eastAsia="zh-TW"/>
        </w:rPr>
        <w:t>滾動送件；</w:t>
      </w:r>
      <w:r>
        <w:rPr>
          <w:lang w:eastAsia="zh-TW"/>
        </w:rPr>
        <w:t>DRAGON</w:t>
      </w:r>
      <w:r>
        <w:rPr>
          <w:lang w:eastAsia="zh-TW"/>
        </w:rPr>
        <w:t>三期主要終點達標，</w:t>
      </w:r>
      <w:r>
        <w:rPr>
          <w:lang w:eastAsia="zh-TW"/>
        </w:rPr>
        <w:t>DDAF</w:t>
      </w:r>
      <w:r>
        <w:rPr>
          <w:lang w:eastAsia="zh-TW"/>
        </w:rPr>
        <w:t>病灶成長相對安慰劑降低</w:t>
      </w:r>
      <w:r>
        <w:rPr>
          <w:lang w:eastAsia="zh-TW"/>
        </w:rPr>
        <w:t>35.7%</w:t>
      </w:r>
      <w:r>
        <w:rPr>
          <w:lang w:eastAsia="zh-TW"/>
        </w:rPr>
        <w:t>，</w:t>
      </w:r>
      <w:r>
        <w:rPr>
          <w:lang w:eastAsia="zh-TW"/>
        </w:rPr>
        <w:t>p=0.0033</w:t>
      </w:r>
      <w:r>
        <w:rPr>
          <w:lang w:eastAsia="zh-TW"/>
        </w:rPr>
        <w:t>。</w:t>
      </w:r>
      <w:r>
        <w:rPr>
          <w:lang w:eastAsia="zh-TW"/>
        </w:rPr>
        <w:t>Belite</w:t>
      </w:r>
      <w:r>
        <w:rPr>
          <w:lang w:eastAsia="zh-TW"/>
        </w:rPr>
        <w:t>同時已進入商業化準備期，關鍵商業主管完成招募，帳上現金與美國國債合計約</w:t>
      </w:r>
      <w:r>
        <w:rPr>
          <w:lang w:eastAsia="zh-TW"/>
        </w:rPr>
        <w:t>7.986</w:t>
      </w:r>
      <w:r>
        <w:rPr>
          <w:lang w:eastAsia="zh-TW"/>
        </w:rPr>
        <w:t>億美元。這使</w:t>
      </w:r>
      <w:r>
        <w:rPr>
          <w:lang w:eastAsia="zh-TW"/>
        </w:rPr>
        <w:t>Tinlarebant</w:t>
      </w:r>
      <w:r>
        <w:rPr>
          <w:lang w:eastAsia="zh-TW"/>
        </w:rPr>
        <w:t>不同於多數「藥證成功後才開始籌措上市資源」的新藥公司。</w:t>
      </w:r>
    </w:p>
    <w:p w14:paraId="755ECCB1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本研究的基準情境認為，</w:t>
      </w:r>
      <w:r>
        <w:rPr>
          <w:lang w:eastAsia="zh-TW"/>
        </w:rPr>
        <w:t>Tinlarebant</w:t>
      </w:r>
      <w:r>
        <w:rPr>
          <w:lang w:eastAsia="zh-TW"/>
        </w:rPr>
        <w:t>在美國取得核准後，最值得關注的不是單純的</w:t>
      </w:r>
      <w:r>
        <w:rPr>
          <w:lang w:eastAsia="zh-TW"/>
        </w:rPr>
        <w:t>FDA</w:t>
      </w:r>
      <w:r>
        <w:rPr>
          <w:lang w:eastAsia="zh-TW"/>
        </w:rPr>
        <w:t>事件，而是</w:t>
      </w:r>
      <w:r>
        <w:rPr>
          <w:lang w:eastAsia="zh-TW"/>
        </w:rPr>
        <w:t>launch-ready patient backlog</w:t>
      </w:r>
      <w:r>
        <w:rPr>
          <w:lang w:eastAsia="zh-TW"/>
        </w:rPr>
        <w:t>與季度銷售曲線。若商業調查確認超過</w:t>
      </w:r>
      <w:r>
        <w:rPr>
          <w:lang w:eastAsia="zh-TW"/>
        </w:rPr>
        <w:t>3,000</w:t>
      </w:r>
      <w:r>
        <w:rPr>
          <w:lang w:eastAsia="zh-TW"/>
        </w:rPr>
        <w:t>名已辨識患者，且最終</w:t>
      </w:r>
      <w:r>
        <w:rPr>
          <w:lang w:eastAsia="zh-TW"/>
        </w:rPr>
        <w:t>label</w:t>
      </w:r>
      <w:r>
        <w:rPr>
          <w:lang w:eastAsia="zh-TW"/>
        </w:rPr>
        <w:t>為</w:t>
      </w:r>
      <w:r>
        <w:rPr>
          <w:lang w:eastAsia="zh-TW"/>
        </w:rPr>
        <w:t>12</w:t>
      </w:r>
      <w:r>
        <w:rPr>
          <w:lang w:eastAsia="zh-TW"/>
        </w:rPr>
        <w:t>歲以上廣泛</w:t>
      </w:r>
      <w:r>
        <w:rPr>
          <w:lang w:eastAsia="zh-TW"/>
        </w:rPr>
        <w:t>STGD1</w:t>
      </w:r>
      <w:r>
        <w:rPr>
          <w:lang w:eastAsia="zh-TW"/>
        </w:rPr>
        <w:t>、未將</w:t>
      </w:r>
      <w:r>
        <w:rPr>
          <w:lang w:eastAsia="zh-TW"/>
        </w:rPr>
        <w:t>DDAF</w:t>
      </w:r>
      <w:r>
        <w:rPr>
          <w:lang w:eastAsia="zh-TW"/>
        </w:rPr>
        <w:t>或病灶面積硬性寫入適應症，首四個商業季度達到</w:t>
      </w:r>
      <w:r>
        <w:rPr>
          <w:lang w:eastAsia="zh-TW"/>
        </w:rPr>
        <w:t>10</w:t>
      </w:r>
      <w:r>
        <w:rPr>
          <w:lang w:eastAsia="zh-TW"/>
        </w:rPr>
        <w:t>億美元營收的機率將顯著提高。</w:t>
      </w:r>
    </w:p>
    <w:p w14:paraId="50DF87E7" w14:textId="5F1ED789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在基準情境下，仁新</w:t>
      </w:r>
      <w:r>
        <w:rPr>
          <w:lang w:eastAsia="zh-TW"/>
        </w:rPr>
        <w:t>2026Q3</w:t>
      </w:r>
      <w:r>
        <w:rPr>
          <w:lang w:eastAsia="zh-TW"/>
        </w:rPr>
        <w:t>至</w:t>
      </w:r>
      <w:r>
        <w:rPr>
          <w:lang w:eastAsia="zh-TW"/>
        </w:rPr>
        <w:t>2027Q4</w:t>
      </w:r>
      <w:r>
        <w:rPr>
          <w:lang w:eastAsia="zh-TW"/>
        </w:rPr>
        <w:t>的估值中樞預估為</w:t>
      </w:r>
      <w:r>
        <w:rPr>
          <w:lang w:eastAsia="zh-TW"/>
        </w:rPr>
        <w:t>750</w:t>
      </w:r>
      <w:r>
        <w:rPr>
          <w:lang w:eastAsia="zh-TW"/>
        </w:rPr>
        <w:t>元、</w:t>
      </w:r>
      <w:r>
        <w:rPr>
          <w:lang w:eastAsia="zh-TW"/>
        </w:rPr>
        <w:t>900</w:t>
      </w:r>
      <w:r>
        <w:rPr>
          <w:lang w:eastAsia="zh-TW"/>
        </w:rPr>
        <w:t>元、</w:t>
      </w:r>
      <w:r>
        <w:rPr>
          <w:lang w:eastAsia="zh-TW"/>
        </w:rPr>
        <w:t>1,250</w:t>
      </w:r>
      <w:r>
        <w:rPr>
          <w:lang w:eastAsia="zh-TW"/>
        </w:rPr>
        <w:t>元、</w:t>
      </w:r>
      <w:r>
        <w:rPr>
          <w:lang w:eastAsia="zh-TW"/>
        </w:rPr>
        <w:t>1,580</w:t>
      </w:r>
      <w:r>
        <w:rPr>
          <w:lang w:eastAsia="zh-TW"/>
        </w:rPr>
        <w:t>元、</w:t>
      </w:r>
      <w:r>
        <w:rPr>
          <w:lang w:eastAsia="zh-TW"/>
        </w:rPr>
        <w:t>1,850</w:t>
      </w:r>
      <w:r>
        <w:rPr>
          <w:lang w:eastAsia="zh-TW"/>
        </w:rPr>
        <w:t>元與</w:t>
      </w:r>
      <w:r>
        <w:rPr>
          <w:lang w:eastAsia="zh-TW"/>
        </w:rPr>
        <w:t>2,200</w:t>
      </w:r>
      <w:r>
        <w:rPr>
          <w:lang w:eastAsia="zh-TW"/>
        </w:rPr>
        <w:t>元；五年長期目標價</w:t>
      </w:r>
      <w:r w:rsidR="00A529E1">
        <w:rPr>
          <w:rFonts w:hint="eastAsia"/>
          <w:lang w:eastAsia="zh-TW"/>
        </w:rPr>
        <w:t>基礎</w:t>
      </w:r>
      <w:r>
        <w:rPr>
          <w:lang w:eastAsia="zh-TW"/>
        </w:rPr>
        <w:t>為</w:t>
      </w:r>
      <w:r>
        <w:rPr>
          <w:lang w:eastAsia="zh-TW"/>
        </w:rPr>
        <w:t>4,200</w:t>
      </w:r>
      <w:r>
        <w:rPr>
          <w:lang w:eastAsia="zh-TW"/>
        </w:rPr>
        <w:t>元，價值來源由</w:t>
      </w:r>
      <w:r>
        <w:rPr>
          <w:lang w:eastAsia="zh-TW"/>
        </w:rPr>
        <w:t>STGD1</w:t>
      </w:r>
      <w:r>
        <w:rPr>
          <w:lang w:eastAsia="zh-TW"/>
        </w:rPr>
        <w:t>商業化、</w:t>
      </w:r>
      <w:r>
        <w:rPr>
          <w:lang w:eastAsia="zh-TW"/>
        </w:rPr>
        <w:t>GA</w:t>
      </w:r>
      <w:r>
        <w:rPr>
          <w:lang w:eastAsia="zh-TW"/>
        </w:rPr>
        <w:t>風險調整價值、</w:t>
      </w:r>
      <w:r>
        <w:rPr>
          <w:lang w:eastAsia="zh-TW"/>
        </w:rPr>
        <w:t>LBS-007</w:t>
      </w:r>
      <w:r>
        <w:rPr>
          <w:lang w:eastAsia="zh-TW"/>
        </w:rPr>
        <w:t>研發選擇權，以及</w:t>
      </w:r>
      <w:r>
        <w:rPr>
          <w:lang w:eastAsia="zh-TW"/>
        </w:rPr>
        <w:t>PRV</w:t>
      </w:r>
      <w:r>
        <w:rPr>
          <w:lang w:eastAsia="zh-TW"/>
        </w:rPr>
        <w:t>與資本實力共同構成。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304"/>
        <w:gridCol w:w="1587"/>
        <w:gridCol w:w="4649"/>
      </w:tblGrid>
      <w:tr w:rsidR="003D2BAA" w14:paraId="469B5AA5" w14:textId="77777777">
        <w:trPr>
          <w:jc w:val="center"/>
        </w:trPr>
        <w:tc>
          <w:tcPr>
            <w:tcW w:w="1304" w:type="dxa"/>
            <w:shd w:val="clear" w:color="auto" w:fill="1F4E78"/>
            <w:vAlign w:val="center"/>
          </w:tcPr>
          <w:p w14:paraId="2A6D8E73" w14:textId="77777777" w:rsidR="003D2BAA" w:rsidRDefault="00125EE9">
            <w:r>
              <w:rPr>
                <w:b/>
                <w:color w:val="FFFFFF"/>
                <w:sz w:val="18"/>
              </w:rPr>
              <w:t>期間</w:t>
            </w:r>
          </w:p>
        </w:tc>
        <w:tc>
          <w:tcPr>
            <w:tcW w:w="1304" w:type="dxa"/>
            <w:shd w:val="clear" w:color="auto" w:fill="1F4E78"/>
            <w:vAlign w:val="center"/>
          </w:tcPr>
          <w:p w14:paraId="47FE89F9" w14:textId="77777777" w:rsidR="003D2BAA" w:rsidRDefault="00125EE9">
            <w:r>
              <w:rPr>
                <w:b/>
                <w:color w:val="FFFFFF"/>
                <w:sz w:val="18"/>
              </w:rPr>
              <w:t>股價中樞</w:t>
            </w:r>
          </w:p>
        </w:tc>
        <w:tc>
          <w:tcPr>
            <w:tcW w:w="1587" w:type="dxa"/>
            <w:shd w:val="clear" w:color="auto" w:fill="1F4E78"/>
            <w:vAlign w:val="center"/>
          </w:tcPr>
          <w:p w14:paraId="0AFFF824" w14:textId="77777777" w:rsidR="003D2BAA" w:rsidRDefault="00125EE9">
            <w:r>
              <w:rPr>
                <w:b/>
                <w:color w:val="FFFFFF"/>
                <w:sz w:val="18"/>
              </w:rPr>
              <w:t>合理區間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18DF3906" w14:textId="77777777" w:rsidR="003D2BAA" w:rsidRDefault="00125EE9">
            <w:r>
              <w:rPr>
                <w:b/>
                <w:color w:val="FFFFFF"/>
                <w:sz w:val="18"/>
              </w:rPr>
              <w:t>市場主要交易主題</w:t>
            </w:r>
          </w:p>
        </w:tc>
      </w:tr>
      <w:tr w:rsidR="003D2BAA" w14:paraId="2700F791" w14:textId="77777777">
        <w:trPr>
          <w:jc w:val="center"/>
        </w:trPr>
        <w:tc>
          <w:tcPr>
            <w:tcW w:w="1304" w:type="dxa"/>
            <w:vAlign w:val="center"/>
          </w:tcPr>
          <w:p w14:paraId="50F14003" w14:textId="77777777" w:rsidR="003D2BAA" w:rsidRDefault="00125EE9">
            <w:r>
              <w:rPr>
                <w:sz w:val="18"/>
              </w:rPr>
              <w:t>2026Q3</w:t>
            </w:r>
          </w:p>
        </w:tc>
        <w:tc>
          <w:tcPr>
            <w:tcW w:w="1304" w:type="dxa"/>
            <w:vAlign w:val="center"/>
          </w:tcPr>
          <w:p w14:paraId="52318549" w14:textId="77777777" w:rsidR="003D2BAA" w:rsidRDefault="00125EE9">
            <w:r>
              <w:rPr>
                <w:sz w:val="18"/>
              </w:rPr>
              <w:t>750</w:t>
            </w:r>
          </w:p>
        </w:tc>
        <w:tc>
          <w:tcPr>
            <w:tcW w:w="1587" w:type="dxa"/>
            <w:vAlign w:val="center"/>
          </w:tcPr>
          <w:p w14:paraId="50D32553" w14:textId="77777777" w:rsidR="003D2BAA" w:rsidRDefault="00125EE9">
            <w:r>
              <w:rPr>
                <w:sz w:val="18"/>
              </w:rPr>
              <w:t>600–950</w:t>
            </w:r>
          </w:p>
        </w:tc>
        <w:tc>
          <w:tcPr>
            <w:tcW w:w="4649" w:type="dxa"/>
            <w:vAlign w:val="center"/>
          </w:tcPr>
          <w:p w14:paraId="4F4BB8E5" w14:textId="77777777" w:rsidR="003D2BAA" w:rsidRDefault="00125EE9">
            <w:r>
              <w:rPr>
                <w:sz w:val="18"/>
              </w:rPr>
              <w:t>NDA</w:t>
            </w:r>
            <w:r>
              <w:rPr>
                <w:sz w:val="18"/>
              </w:rPr>
              <w:t>受理、</w:t>
            </w:r>
            <w:r>
              <w:rPr>
                <w:sz w:val="18"/>
              </w:rPr>
              <w:t>PDUFA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Commercial survey</w:t>
            </w:r>
          </w:p>
        </w:tc>
      </w:tr>
      <w:tr w:rsidR="003D2BAA" w14:paraId="09D7A6BB" w14:textId="77777777">
        <w:trPr>
          <w:jc w:val="center"/>
        </w:trPr>
        <w:tc>
          <w:tcPr>
            <w:tcW w:w="1304" w:type="dxa"/>
            <w:vAlign w:val="center"/>
          </w:tcPr>
          <w:p w14:paraId="6B264F5D" w14:textId="77777777" w:rsidR="003D2BAA" w:rsidRDefault="00125EE9">
            <w:r>
              <w:rPr>
                <w:sz w:val="18"/>
              </w:rPr>
              <w:t>2026Q4</w:t>
            </w:r>
          </w:p>
        </w:tc>
        <w:tc>
          <w:tcPr>
            <w:tcW w:w="1304" w:type="dxa"/>
            <w:vAlign w:val="center"/>
          </w:tcPr>
          <w:p w14:paraId="37BF8CE2" w14:textId="77777777" w:rsidR="003D2BAA" w:rsidRDefault="00125EE9">
            <w:r>
              <w:rPr>
                <w:sz w:val="18"/>
              </w:rPr>
              <w:t>900</w:t>
            </w:r>
          </w:p>
        </w:tc>
        <w:tc>
          <w:tcPr>
            <w:tcW w:w="1587" w:type="dxa"/>
            <w:vAlign w:val="center"/>
          </w:tcPr>
          <w:p w14:paraId="4A8C9BBC" w14:textId="77777777" w:rsidR="003D2BAA" w:rsidRDefault="00125EE9">
            <w:r>
              <w:rPr>
                <w:sz w:val="18"/>
              </w:rPr>
              <w:t>700–1,150</w:t>
            </w:r>
          </w:p>
        </w:tc>
        <w:tc>
          <w:tcPr>
            <w:tcW w:w="4649" w:type="dxa"/>
            <w:vAlign w:val="center"/>
          </w:tcPr>
          <w:p w14:paraId="0F3F48C7" w14:textId="77777777" w:rsidR="003D2BAA" w:rsidRDefault="00125EE9">
            <w:r>
              <w:rPr>
                <w:sz w:val="18"/>
              </w:rPr>
              <w:t>FDA</w:t>
            </w:r>
            <w:r>
              <w:rPr>
                <w:sz w:val="18"/>
              </w:rPr>
              <w:t>審查風險收斂</w:t>
            </w:r>
          </w:p>
        </w:tc>
      </w:tr>
      <w:tr w:rsidR="003D2BAA" w14:paraId="68FDEF2D" w14:textId="77777777">
        <w:trPr>
          <w:jc w:val="center"/>
        </w:trPr>
        <w:tc>
          <w:tcPr>
            <w:tcW w:w="1304" w:type="dxa"/>
            <w:vAlign w:val="center"/>
          </w:tcPr>
          <w:p w14:paraId="3123FC65" w14:textId="77777777" w:rsidR="003D2BAA" w:rsidRDefault="00125EE9">
            <w:r>
              <w:rPr>
                <w:sz w:val="18"/>
              </w:rPr>
              <w:t>2027Q1</w:t>
            </w:r>
          </w:p>
        </w:tc>
        <w:tc>
          <w:tcPr>
            <w:tcW w:w="1304" w:type="dxa"/>
            <w:vAlign w:val="center"/>
          </w:tcPr>
          <w:p w14:paraId="4C968BD4" w14:textId="77777777" w:rsidR="003D2BAA" w:rsidRDefault="00125EE9">
            <w:r>
              <w:rPr>
                <w:sz w:val="18"/>
              </w:rPr>
              <w:t>1,250</w:t>
            </w:r>
          </w:p>
        </w:tc>
        <w:tc>
          <w:tcPr>
            <w:tcW w:w="1587" w:type="dxa"/>
            <w:vAlign w:val="center"/>
          </w:tcPr>
          <w:p w14:paraId="467F1563" w14:textId="77777777" w:rsidR="003D2BAA" w:rsidRDefault="00125EE9">
            <w:r>
              <w:rPr>
                <w:sz w:val="18"/>
              </w:rPr>
              <w:t>900–1,600</w:t>
            </w:r>
          </w:p>
        </w:tc>
        <w:tc>
          <w:tcPr>
            <w:tcW w:w="4649" w:type="dxa"/>
            <w:vAlign w:val="center"/>
          </w:tcPr>
          <w:p w14:paraId="14645AD9" w14:textId="77777777" w:rsidR="003D2BAA" w:rsidRDefault="00125EE9">
            <w:r>
              <w:rPr>
                <w:sz w:val="18"/>
              </w:rPr>
              <w:t>FDA</w:t>
            </w:r>
            <w:r>
              <w:rPr>
                <w:sz w:val="18"/>
              </w:rPr>
              <w:t>核准、</w:t>
            </w:r>
            <w:r>
              <w:rPr>
                <w:sz w:val="18"/>
              </w:rPr>
              <w:t>final label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PRV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launch</w:t>
            </w:r>
          </w:p>
        </w:tc>
      </w:tr>
      <w:tr w:rsidR="003D2BAA" w14:paraId="17B5B4FE" w14:textId="77777777">
        <w:trPr>
          <w:jc w:val="center"/>
        </w:trPr>
        <w:tc>
          <w:tcPr>
            <w:tcW w:w="1304" w:type="dxa"/>
            <w:vAlign w:val="center"/>
          </w:tcPr>
          <w:p w14:paraId="70CD81F6" w14:textId="77777777" w:rsidR="003D2BAA" w:rsidRDefault="00125EE9">
            <w:r>
              <w:rPr>
                <w:sz w:val="18"/>
              </w:rPr>
              <w:t>2027Q2</w:t>
            </w:r>
          </w:p>
        </w:tc>
        <w:tc>
          <w:tcPr>
            <w:tcW w:w="1304" w:type="dxa"/>
            <w:vAlign w:val="center"/>
          </w:tcPr>
          <w:p w14:paraId="16FFBACC" w14:textId="77777777" w:rsidR="003D2BAA" w:rsidRDefault="00125EE9">
            <w:r>
              <w:rPr>
                <w:sz w:val="18"/>
              </w:rPr>
              <w:t>1,580</w:t>
            </w:r>
          </w:p>
        </w:tc>
        <w:tc>
          <w:tcPr>
            <w:tcW w:w="1587" w:type="dxa"/>
            <w:vAlign w:val="center"/>
          </w:tcPr>
          <w:p w14:paraId="6BADE478" w14:textId="77777777" w:rsidR="003D2BAA" w:rsidRDefault="00125EE9">
            <w:r>
              <w:rPr>
                <w:sz w:val="18"/>
              </w:rPr>
              <w:t>1,150–2,100</w:t>
            </w:r>
          </w:p>
        </w:tc>
        <w:tc>
          <w:tcPr>
            <w:tcW w:w="4649" w:type="dxa"/>
            <w:vAlign w:val="center"/>
          </w:tcPr>
          <w:p w14:paraId="0922D0EC" w14:textId="77777777" w:rsidR="003D2BAA" w:rsidRDefault="00125EE9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首份實際銷售、日本進度</w:t>
            </w:r>
          </w:p>
        </w:tc>
      </w:tr>
      <w:tr w:rsidR="003D2BAA" w14:paraId="250EDB4D" w14:textId="77777777">
        <w:trPr>
          <w:jc w:val="center"/>
        </w:trPr>
        <w:tc>
          <w:tcPr>
            <w:tcW w:w="1304" w:type="dxa"/>
            <w:vAlign w:val="center"/>
          </w:tcPr>
          <w:p w14:paraId="30ED4426" w14:textId="77777777" w:rsidR="003D2BAA" w:rsidRDefault="00125EE9">
            <w:r>
              <w:rPr>
                <w:sz w:val="18"/>
              </w:rPr>
              <w:t>2027Q3</w:t>
            </w:r>
          </w:p>
        </w:tc>
        <w:tc>
          <w:tcPr>
            <w:tcW w:w="1304" w:type="dxa"/>
            <w:vAlign w:val="center"/>
          </w:tcPr>
          <w:p w14:paraId="195C3169" w14:textId="77777777" w:rsidR="003D2BAA" w:rsidRDefault="00125EE9">
            <w:r>
              <w:rPr>
                <w:sz w:val="18"/>
              </w:rPr>
              <w:t>1,850</w:t>
            </w:r>
          </w:p>
        </w:tc>
        <w:tc>
          <w:tcPr>
            <w:tcW w:w="1587" w:type="dxa"/>
            <w:vAlign w:val="center"/>
          </w:tcPr>
          <w:p w14:paraId="00E04730" w14:textId="77777777" w:rsidR="003D2BAA" w:rsidRDefault="00125EE9">
            <w:r>
              <w:rPr>
                <w:sz w:val="18"/>
              </w:rPr>
              <w:t>1,300–2,500</w:t>
            </w:r>
          </w:p>
        </w:tc>
        <w:tc>
          <w:tcPr>
            <w:tcW w:w="4649" w:type="dxa"/>
            <w:vAlign w:val="center"/>
          </w:tcPr>
          <w:p w14:paraId="3717BF33" w14:textId="77777777" w:rsidR="003D2BAA" w:rsidRDefault="00125EE9">
            <w:r>
              <w:rPr>
                <w:sz w:val="18"/>
              </w:rPr>
              <w:t>患者啟動速度與季度</w:t>
            </w:r>
            <w:r>
              <w:rPr>
                <w:sz w:val="18"/>
              </w:rPr>
              <w:t>run-rate</w:t>
            </w:r>
          </w:p>
        </w:tc>
      </w:tr>
      <w:tr w:rsidR="003D2BAA" w14:paraId="334D2D10" w14:textId="77777777">
        <w:trPr>
          <w:jc w:val="center"/>
        </w:trPr>
        <w:tc>
          <w:tcPr>
            <w:tcW w:w="1304" w:type="dxa"/>
            <w:vAlign w:val="center"/>
          </w:tcPr>
          <w:p w14:paraId="45FFDAC2" w14:textId="77777777" w:rsidR="003D2BAA" w:rsidRDefault="00125EE9">
            <w:r>
              <w:rPr>
                <w:sz w:val="18"/>
              </w:rPr>
              <w:t>2027Q4</w:t>
            </w:r>
          </w:p>
        </w:tc>
        <w:tc>
          <w:tcPr>
            <w:tcW w:w="1304" w:type="dxa"/>
            <w:vAlign w:val="center"/>
          </w:tcPr>
          <w:p w14:paraId="037830C1" w14:textId="77777777" w:rsidR="003D2BAA" w:rsidRDefault="00125EE9">
            <w:r>
              <w:rPr>
                <w:sz w:val="18"/>
              </w:rPr>
              <w:t>2,200</w:t>
            </w:r>
          </w:p>
        </w:tc>
        <w:tc>
          <w:tcPr>
            <w:tcW w:w="1587" w:type="dxa"/>
            <w:vAlign w:val="center"/>
          </w:tcPr>
          <w:p w14:paraId="34F2FB49" w14:textId="77777777" w:rsidR="003D2BAA" w:rsidRDefault="00125EE9">
            <w:r>
              <w:rPr>
                <w:sz w:val="18"/>
              </w:rPr>
              <w:t>1,500–3,000</w:t>
            </w:r>
          </w:p>
        </w:tc>
        <w:tc>
          <w:tcPr>
            <w:tcW w:w="4649" w:type="dxa"/>
            <w:vAlign w:val="center"/>
          </w:tcPr>
          <w:p w14:paraId="689EE893" w14:textId="77777777" w:rsidR="003D2BAA" w:rsidRDefault="00125EE9">
            <w:r>
              <w:rPr>
                <w:sz w:val="18"/>
              </w:rPr>
              <w:t>首四季營收曲線與</w:t>
            </w:r>
            <w:r>
              <w:rPr>
                <w:sz w:val="18"/>
              </w:rPr>
              <w:t>STGD1 franchise</w:t>
            </w:r>
            <w:r>
              <w:rPr>
                <w:sz w:val="18"/>
              </w:rPr>
              <w:t>重估</w:t>
            </w:r>
          </w:p>
        </w:tc>
      </w:tr>
    </w:tbl>
    <w:p w14:paraId="32C69A9A" w14:textId="77777777" w:rsidR="003D2BAA" w:rsidRDefault="003D2BAA"/>
    <w:p w14:paraId="0825CCFB" w14:textId="77777777" w:rsidR="003D2BAA" w:rsidRDefault="00125EE9">
      <w:pPr>
        <w:pStyle w:val="1"/>
        <w:rPr>
          <w:lang w:eastAsia="zh-TW"/>
        </w:rPr>
      </w:pPr>
      <w:r>
        <w:rPr>
          <w:lang w:eastAsia="zh-TW"/>
        </w:rPr>
        <w:lastRenderedPageBreak/>
        <w:t>一、仁新的估值核心已從「研發成功」切換為「商業化驗證」</w:t>
      </w:r>
    </w:p>
    <w:p w14:paraId="2D357427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仁新持有</w:t>
      </w:r>
      <w:r>
        <w:rPr>
          <w:lang w:eastAsia="zh-TW"/>
        </w:rPr>
        <w:t>Belite Bio</w:t>
      </w:r>
      <w:r>
        <w:rPr>
          <w:lang w:eastAsia="zh-TW"/>
        </w:rPr>
        <w:t>約</w:t>
      </w:r>
      <w:r>
        <w:rPr>
          <w:lang w:eastAsia="zh-TW"/>
        </w:rPr>
        <w:t>42.37%</w:t>
      </w:r>
      <w:r>
        <w:rPr>
          <w:lang w:eastAsia="zh-TW"/>
        </w:rPr>
        <w:t>股權；在認股權與權證完全稀釋情境下，持股比例可能降至約</w:t>
      </w:r>
      <w:r>
        <w:rPr>
          <w:lang w:eastAsia="zh-TW"/>
        </w:rPr>
        <w:t>35.96%</w:t>
      </w:r>
      <w:r>
        <w:rPr>
          <w:lang w:eastAsia="zh-TW"/>
        </w:rPr>
        <w:t>。因此仁新的主要資產仍是</w:t>
      </w:r>
      <w:r>
        <w:rPr>
          <w:lang w:eastAsia="zh-TW"/>
        </w:rPr>
        <w:t>Belite</w:t>
      </w:r>
      <w:r>
        <w:rPr>
          <w:lang w:eastAsia="zh-TW"/>
        </w:rPr>
        <w:t>，但市場未來的估值方式將不再只是「</w:t>
      </w:r>
      <w:r>
        <w:rPr>
          <w:lang w:eastAsia="zh-TW"/>
        </w:rPr>
        <w:t>BLTE</w:t>
      </w:r>
      <w:r>
        <w:rPr>
          <w:lang w:eastAsia="zh-TW"/>
        </w:rPr>
        <w:t>市值乘持股比例再打折」。當</w:t>
      </w:r>
      <w:r>
        <w:rPr>
          <w:lang w:eastAsia="zh-TW"/>
        </w:rPr>
        <w:t>Tinlarebant</w:t>
      </w:r>
      <w:r>
        <w:rPr>
          <w:lang w:eastAsia="zh-TW"/>
        </w:rPr>
        <w:t>開始產生營收與獲利，仁新合併報表將納入</w:t>
      </w:r>
      <w:r>
        <w:rPr>
          <w:lang w:eastAsia="zh-TW"/>
        </w:rPr>
        <w:t>Belite</w:t>
      </w:r>
      <w:r>
        <w:rPr>
          <w:lang w:eastAsia="zh-TW"/>
        </w:rPr>
        <w:t>營收，歸屬母公司獲利則受非控制權益影響。</w:t>
      </w:r>
    </w:p>
    <w:p w14:paraId="76B5D421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過去市場對仁新的主要疑問是三期能否成功。</w:t>
      </w:r>
      <w:r>
        <w:rPr>
          <w:lang w:eastAsia="zh-TW"/>
        </w:rPr>
        <w:t>DRAGON</w:t>
      </w:r>
      <w:r>
        <w:rPr>
          <w:lang w:eastAsia="zh-TW"/>
        </w:rPr>
        <w:t>已經將這項風險大幅降低。下一階段決定估值的變數依序是：</w:t>
      </w:r>
      <w:r>
        <w:rPr>
          <w:lang w:eastAsia="zh-TW"/>
        </w:rPr>
        <w:t>NDA</w:t>
      </w:r>
      <w:r>
        <w:rPr>
          <w:lang w:eastAsia="zh-TW"/>
        </w:rPr>
        <w:t>受理與</w:t>
      </w:r>
      <w:r>
        <w:rPr>
          <w:lang w:eastAsia="zh-TW"/>
        </w:rPr>
        <w:t>PDUFA</w:t>
      </w:r>
      <w:r>
        <w:rPr>
          <w:lang w:eastAsia="zh-TW"/>
        </w:rPr>
        <w:t>、</w:t>
      </w:r>
      <w:r>
        <w:rPr>
          <w:lang w:eastAsia="zh-TW"/>
        </w:rPr>
        <w:t>Priority Review</w:t>
      </w:r>
      <w:r>
        <w:rPr>
          <w:lang w:eastAsia="zh-TW"/>
        </w:rPr>
        <w:t>、</w:t>
      </w:r>
      <w:r>
        <w:rPr>
          <w:lang w:eastAsia="zh-TW"/>
        </w:rPr>
        <w:t>final label</w:t>
      </w:r>
      <w:r>
        <w:rPr>
          <w:lang w:eastAsia="zh-TW"/>
        </w:rPr>
        <w:t>、</w:t>
      </w:r>
      <w:r>
        <w:rPr>
          <w:lang w:eastAsia="zh-TW"/>
        </w:rPr>
        <w:t>launch-ready backlog</w:t>
      </w:r>
      <w:r>
        <w:rPr>
          <w:lang w:eastAsia="zh-TW"/>
        </w:rPr>
        <w:t>、實際藥價與</w:t>
      </w:r>
      <w:r>
        <w:rPr>
          <w:lang w:eastAsia="zh-TW"/>
        </w:rPr>
        <w:t>gross-to-net</w:t>
      </w:r>
      <w:r>
        <w:rPr>
          <w:lang w:eastAsia="zh-TW"/>
        </w:rPr>
        <w:t>、患者啟動速度，以及前三至四個商業化季度的營收斜率。</w:t>
      </w:r>
    </w:p>
    <w:p w14:paraId="3897FFA2" w14:textId="77777777" w:rsidR="003D2BAA" w:rsidRDefault="00125EE9">
      <w:pPr>
        <w:spacing w:after="100" w:line="300" w:lineRule="auto"/>
      </w:pPr>
      <w:r>
        <w:t>歷史新藥公司顯示，最大幅度的重估往往不發生在核准日，而發生在「無營收轉為可驗證</w:t>
      </w:r>
      <w:r>
        <w:t>commercial proof</w:t>
      </w:r>
      <w:r>
        <w:t>」的階段。</w:t>
      </w:r>
      <w:r>
        <w:t>Kalydeco</w:t>
      </w:r>
      <w:r>
        <w:t>、</w:t>
      </w:r>
      <w:r>
        <w:t>ORKAMBI</w:t>
      </w:r>
      <w:r>
        <w:t>與</w:t>
      </w:r>
      <w:r>
        <w:t>SPINRAZA</w:t>
      </w:r>
      <w:r>
        <w:t>均證明，遺傳性疾病、患者集中、</w:t>
      </w:r>
      <w:r>
        <w:t>first-and-only therapy</w:t>
      </w:r>
      <w:r>
        <w:t>的商業化速度可以明顯快於一般大眾市場藥物。</w:t>
      </w:r>
    </w:p>
    <w:p w14:paraId="3A36B741" w14:textId="77777777" w:rsidR="003D2BAA" w:rsidRDefault="00125EE9">
      <w:pPr>
        <w:pStyle w:val="1"/>
      </w:pPr>
      <w:r>
        <w:t>二、</w:t>
      </w:r>
      <w:r>
        <w:t>Tinlarebant</w:t>
      </w:r>
      <w:r>
        <w:t>的最終</w:t>
      </w:r>
      <w:r>
        <w:t>label</w:t>
      </w:r>
      <w:r>
        <w:t>：</w:t>
      </w:r>
      <w:r>
        <w:t>12</w:t>
      </w:r>
      <w:r>
        <w:t>歲以上廣泛</w:t>
      </w:r>
      <w:r>
        <w:t>STGD1</w:t>
      </w:r>
      <w:r>
        <w:t>是較具機率的情境</w:t>
      </w:r>
    </w:p>
    <w:p w14:paraId="60210470" w14:textId="77777777" w:rsidR="003D2BAA" w:rsidRDefault="00125EE9">
      <w:pPr>
        <w:spacing w:after="100" w:line="300" w:lineRule="auto"/>
        <w:rPr>
          <w:lang w:eastAsia="zh-TW"/>
        </w:rPr>
      </w:pPr>
      <w:r>
        <w:t>DRAGON</w:t>
      </w:r>
      <w:r>
        <w:t>納入</w:t>
      </w:r>
      <w:r>
        <w:t>12</w:t>
      </w:r>
      <w:r>
        <w:t>至</w:t>
      </w:r>
      <w:r>
        <w:t>20</w:t>
      </w:r>
      <w:r>
        <w:t>歲青少年</w:t>
      </w:r>
      <w:r>
        <w:t>STGD1</w:t>
      </w:r>
      <w:r>
        <w:t>患者，研究需要可量測</w:t>
      </w:r>
      <w:r>
        <w:t>DDAF</w:t>
      </w:r>
      <w:r>
        <w:t>病灶，以</w:t>
      </w:r>
      <w:r>
        <w:t>DDAF lesion growth</w:t>
      </w:r>
      <w:r>
        <w:t>作為主要療效評估。</w:t>
      </w:r>
      <w:r>
        <w:rPr>
          <w:lang w:eastAsia="zh-TW"/>
        </w:rPr>
        <w:t>若將所有試驗納入條件逐字複製為</w:t>
      </w:r>
      <w:r>
        <w:rPr>
          <w:lang w:eastAsia="zh-TW"/>
        </w:rPr>
        <w:t>label</w:t>
      </w:r>
      <w:r>
        <w:rPr>
          <w:lang w:eastAsia="zh-TW"/>
        </w:rPr>
        <w:t>，商業可治療人數將顯著縮小；然而試驗條件不必然等同最終適應症文字。</w:t>
      </w:r>
    </w:p>
    <w:p w14:paraId="6DB435FE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Tinlarebant</w:t>
      </w:r>
      <w:r>
        <w:rPr>
          <w:lang w:eastAsia="zh-TW"/>
        </w:rPr>
        <w:t>的藥理目標是降低</w:t>
      </w:r>
      <w:r>
        <w:rPr>
          <w:lang w:eastAsia="zh-TW"/>
        </w:rPr>
        <w:t>RBP4</w:t>
      </w:r>
      <w:r>
        <w:rPr>
          <w:lang w:eastAsia="zh-TW"/>
        </w:rPr>
        <w:t>、減少視網膜中維生素</w:t>
      </w:r>
      <w:r>
        <w:rPr>
          <w:lang w:eastAsia="zh-TW"/>
        </w:rPr>
        <w:t>A</w:t>
      </w:r>
      <w:r>
        <w:rPr>
          <w:lang w:eastAsia="zh-TW"/>
        </w:rPr>
        <w:t>衍生毒性副產物形成，核心概念是減慢視網膜組織持續死亡。</w:t>
      </w:r>
      <w:r>
        <w:rPr>
          <w:lang w:eastAsia="zh-TW"/>
        </w:rPr>
        <w:t>STGD1</w:t>
      </w:r>
      <w:r>
        <w:rPr>
          <w:lang w:eastAsia="zh-TW"/>
        </w:rPr>
        <w:t>自然病史與患者聲音均支持越早治療越具醫療意義，因為已失去的視網膜功能無法恢復。</w:t>
      </w:r>
      <w:r>
        <w:rPr>
          <w:lang w:eastAsia="zh-TW"/>
        </w:rPr>
        <w:t>Foundation Fighting Blindness</w:t>
      </w:r>
      <w:r>
        <w:rPr>
          <w:lang w:eastAsia="zh-TW"/>
        </w:rPr>
        <w:t>與</w:t>
      </w:r>
      <w:r>
        <w:rPr>
          <w:lang w:eastAsia="zh-TW"/>
        </w:rPr>
        <w:t>FDA</w:t>
      </w:r>
      <w:r>
        <w:rPr>
          <w:lang w:eastAsia="zh-TW"/>
        </w:rPr>
        <w:t>患者會議資料均顯示，患者與照護者對早期介入具有高度急迫性。</w:t>
      </w:r>
    </w:p>
    <w:p w14:paraId="35885466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Belite CMO Hendrik P.N. Scholl</w:t>
      </w:r>
      <w:r>
        <w:rPr>
          <w:lang w:eastAsia="zh-TW"/>
        </w:rPr>
        <w:t>長期主持或參與</w:t>
      </w:r>
      <w:r>
        <w:rPr>
          <w:lang w:eastAsia="zh-TW"/>
        </w:rPr>
        <w:t>ProgStar</w:t>
      </w:r>
      <w:r>
        <w:rPr>
          <w:lang w:eastAsia="zh-TW"/>
        </w:rPr>
        <w:t>等</w:t>
      </w:r>
      <w:r>
        <w:rPr>
          <w:lang w:eastAsia="zh-TW"/>
        </w:rPr>
        <w:t>STGD1</w:t>
      </w:r>
      <w:r>
        <w:rPr>
          <w:lang w:eastAsia="zh-TW"/>
        </w:rPr>
        <w:t>自然病史研究，其研究脈絡區分了「適合量化臨床終點的</w:t>
      </w:r>
      <w:r>
        <w:rPr>
          <w:lang w:eastAsia="zh-TW"/>
        </w:rPr>
        <w:t>DDAF</w:t>
      </w:r>
      <w:r>
        <w:rPr>
          <w:lang w:eastAsia="zh-TW"/>
        </w:rPr>
        <w:t>」與「真正應該開始治療的生物學時點」。</w:t>
      </w:r>
      <w:r>
        <w:rPr>
          <w:lang w:eastAsia="zh-TW"/>
        </w:rPr>
        <w:t>Belite</w:t>
      </w:r>
      <w:r>
        <w:rPr>
          <w:lang w:eastAsia="zh-TW"/>
        </w:rPr>
        <w:t>近期簡報亦使用</w:t>
      </w:r>
      <w:r>
        <w:rPr>
          <w:lang w:eastAsia="zh-TW"/>
        </w:rPr>
        <w:t>broad applicability across disease stages</w:t>
      </w:r>
      <w:r>
        <w:rPr>
          <w:lang w:eastAsia="zh-TW"/>
        </w:rPr>
        <w:t>的敘事。因此，本研究將</w:t>
      </w:r>
      <w:r>
        <w:rPr>
          <w:lang w:eastAsia="zh-TW"/>
        </w:rPr>
        <w:t>12</w:t>
      </w:r>
      <w:r>
        <w:rPr>
          <w:lang w:eastAsia="zh-TW"/>
        </w:rPr>
        <w:t>歲以上廣泛</w:t>
      </w:r>
      <w:r>
        <w:rPr>
          <w:lang w:eastAsia="zh-TW"/>
        </w:rPr>
        <w:t>STGD1</w:t>
      </w:r>
      <w:r>
        <w:rPr>
          <w:lang w:eastAsia="zh-TW"/>
        </w:rPr>
        <w:t>、未將</w:t>
      </w:r>
      <w:r>
        <w:rPr>
          <w:lang w:eastAsia="zh-TW"/>
        </w:rPr>
        <w:t>DDAF</w:t>
      </w:r>
      <w:r>
        <w:rPr>
          <w:lang w:eastAsia="zh-TW"/>
        </w:rPr>
        <w:t>、病灶面積或</w:t>
      </w:r>
      <w:r>
        <w:rPr>
          <w:lang w:eastAsia="zh-TW"/>
        </w:rPr>
        <w:t>BCVA</w:t>
      </w:r>
      <w:r>
        <w:rPr>
          <w:lang w:eastAsia="zh-TW"/>
        </w:rPr>
        <w:t>硬性寫入適應症，列為機率最高的</w:t>
      </w:r>
      <w:r>
        <w:rPr>
          <w:lang w:eastAsia="zh-TW"/>
        </w:rPr>
        <w:t>label</w:t>
      </w:r>
      <w:r>
        <w:rPr>
          <w:lang w:eastAsia="zh-TW"/>
        </w:rPr>
        <w:t>情境。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1134"/>
        <w:gridCol w:w="4195"/>
      </w:tblGrid>
      <w:tr w:rsidR="003D2BAA" w14:paraId="12C0592C" w14:textId="77777777">
        <w:trPr>
          <w:jc w:val="center"/>
        </w:trPr>
        <w:tc>
          <w:tcPr>
            <w:tcW w:w="3515" w:type="dxa"/>
            <w:shd w:val="clear" w:color="auto" w:fill="1F4E78"/>
            <w:vAlign w:val="center"/>
          </w:tcPr>
          <w:p w14:paraId="4A1AA219" w14:textId="77777777" w:rsidR="003D2BAA" w:rsidRDefault="00125EE9">
            <w:r>
              <w:rPr>
                <w:b/>
                <w:color w:val="FFFFFF"/>
                <w:sz w:val="18"/>
              </w:rPr>
              <w:t>Label</w:t>
            </w:r>
            <w:r>
              <w:rPr>
                <w:b/>
                <w:color w:val="FFFFFF"/>
                <w:sz w:val="18"/>
              </w:rPr>
              <w:t>情境</w:t>
            </w:r>
          </w:p>
        </w:tc>
        <w:tc>
          <w:tcPr>
            <w:tcW w:w="1134" w:type="dxa"/>
            <w:shd w:val="clear" w:color="auto" w:fill="1F4E78"/>
            <w:vAlign w:val="center"/>
          </w:tcPr>
          <w:p w14:paraId="7AC97923" w14:textId="77777777" w:rsidR="003D2BAA" w:rsidRDefault="00125EE9">
            <w:r>
              <w:rPr>
                <w:b/>
                <w:color w:val="FFFFFF"/>
                <w:sz w:val="18"/>
              </w:rPr>
              <w:t>機率</w:t>
            </w:r>
          </w:p>
        </w:tc>
        <w:tc>
          <w:tcPr>
            <w:tcW w:w="4195" w:type="dxa"/>
            <w:shd w:val="clear" w:color="auto" w:fill="1F4E78"/>
            <w:vAlign w:val="center"/>
          </w:tcPr>
          <w:p w14:paraId="1E392EAD" w14:textId="77777777" w:rsidR="003D2BAA" w:rsidRDefault="00125EE9">
            <w:r>
              <w:rPr>
                <w:b/>
                <w:color w:val="FFFFFF"/>
                <w:sz w:val="18"/>
              </w:rPr>
              <w:t>對</w:t>
            </w:r>
            <w:r>
              <w:rPr>
                <w:b/>
                <w:color w:val="FFFFFF"/>
                <w:sz w:val="18"/>
              </w:rPr>
              <w:t>launch-ready backlog</w:t>
            </w:r>
            <w:r>
              <w:rPr>
                <w:b/>
                <w:color w:val="FFFFFF"/>
                <w:sz w:val="18"/>
              </w:rPr>
              <w:t>的影響</w:t>
            </w:r>
          </w:p>
        </w:tc>
      </w:tr>
      <w:tr w:rsidR="003D2BAA" w14:paraId="09D9056E" w14:textId="77777777">
        <w:trPr>
          <w:jc w:val="center"/>
        </w:trPr>
        <w:tc>
          <w:tcPr>
            <w:tcW w:w="3515" w:type="dxa"/>
            <w:vAlign w:val="center"/>
          </w:tcPr>
          <w:p w14:paraId="7829BAE8" w14:textId="77777777" w:rsidR="003D2BAA" w:rsidRDefault="00125EE9">
            <w:r>
              <w:rPr>
                <w:sz w:val="18"/>
              </w:rPr>
              <w:t>DRAGON mirror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12–20</w:t>
            </w:r>
            <w:r>
              <w:rPr>
                <w:sz w:val="18"/>
              </w:rPr>
              <w:t>歲</w:t>
            </w:r>
            <w:r>
              <w:rPr>
                <w:sz w:val="18"/>
              </w:rPr>
              <w:t>+DDAF+</w:t>
            </w:r>
            <w:r>
              <w:rPr>
                <w:sz w:val="18"/>
              </w:rPr>
              <w:t>病灶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視力限制</w:t>
            </w:r>
          </w:p>
        </w:tc>
        <w:tc>
          <w:tcPr>
            <w:tcW w:w="1134" w:type="dxa"/>
            <w:vAlign w:val="center"/>
          </w:tcPr>
          <w:p w14:paraId="73F452E2" w14:textId="77777777" w:rsidR="003D2BAA" w:rsidRDefault="00125EE9">
            <w:r>
              <w:rPr>
                <w:sz w:val="18"/>
              </w:rPr>
              <w:t>5%</w:t>
            </w:r>
          </w:p>
        </w:tc>
        <w:tc>
          <w:tcPr>
            <w:tcW w:w="4195" w:type="dxa"/>
            <w:vAlign w:val="center"/>
          </w:tcPr>
          <w:p w14:paraId="7F1CAAFF" w14:textId="77777777" w:rsidR="003D2BAA" w:rsidRDefault="00125EE9">
            <w:r>
              <w:rPr>
                <w:sz w:val="18"/>
              </w:rPr>
              <w:t>300–900</w:t>
            </w:r>
            <w:r>
              <w:rPr>
                <w:sz w:val="18"/>
              </w:rPr>
              <w:t>人</w:t>
            </w:r>
          </w:p>
        </w:tc>
      </w:tr>
      <w:tr w:rsidR="003D2BAA" w14:paraId="01CF9D80" w14:textId="77777777">
        <w:trPr>
          <w:jc w:val="center"/>
        </w:trPr>
        <w:tc>
          <w:tcPr>
            <w:tcW w:w="3515" w:type="dxa"/>
            <w:vAlign w:val="center"/>
          </w:tcPr>
          <w:p w14:paraId="65B20C20" w14:textId="77777777" w:rsidR="003D2BAA" w:rsidRDefault="00125EE9">
            <w:r>
              <w:rPr>
                <w:sz w:val="18"/>
              </w:rPr>
              <w:t>12–20</w:t>
            </w:r>
            <w:r>
              <w:rPr>
                <w:sz w:val="18"/>
              </w:rPr>
              <w:t>歲</w:t>
            </w:r>
            <w:r>
              <w:rPr>
                <w:sz w:val="18"/>
              </w:rPr>
              <w:t xml:space="preserve"> broad STGD1</w:t>
            </w:r>
          </w:p>
        </w:tc>
        <w:tc>
          <w:tcPr>
            <w:tcW w:w="1134" w:type="dxa"/>
            <w:vAlign w:val="center"/>
          </w:tcPr>
          <w:p w14:paraId="7A88062E" w14:textId="77777777" w:rsidR="003D2BAA" w:rsidRDefault="00125EE9">
            <w:r>
              <w:rPr>
                <w:sz w:val="18"/>
              </w:rPr>
              <w:t>30%</w:t>
            </w:r>
          </w:p>
        </w:tc>
        <w:tc>
          <w:tcPr>
            <w:tcW w:w="4195" w:type="dxa"/>
            <w:vAlign w:val="center"/>
          </w:tcPr>
          <w:p w14:paraId="4F621BC1" w14:textId="77777777" w:rsidR="003D2BAA" w:rsidRDefault="00125EE9">
            <w:r>
              <w:rPr>
                <w:sz w:val="18"/>
              </w:rPr>
              <w:t>1,500–3,500</w:t>
            </w:r>
            <w:r>
              <w:rPr>
                <w:sz w:val="18"/>
              </w:rPr>
              <w:t>人</w:t>
            </w:r>
          </w:p>
        </w:tc>
      </w:tr>
      <w:tr w:rsidR="003D2BAA" w14:paraId="0F4D7644" w14:textId="77777777">
        <w:trPr>
          <w:jc w:val="center"/>
        </w:trPr>
        <w:tc>
          <w:tcPr>
            <w:tcW w:w="3515" w:type="dxa"/>
            <w:vAlign w:val="center"/>
          </w:tcPr>
          <w:p w14:paraId="14D9D793" w14:textId="77777777" w:rsidR="003D2BAA" w:rsidRDefault="00125EE9">
            <w:r>
              <w:rPr>
                <w:sz w:val="18"/>
              </w:rPr>
              <w:t>成人與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歲以上兒童</w:t>
            </w:r>
            <w:r>
              <w:rPr>
                <w:sz w:val="18"/>
              </w:rPr>
              <w:t xml:space="preserve"> broad STGD1</w:t>
            </w:r>
          </w:p>
        </w:tc>
        <w:tc>
          <w:tcPr>
            <w:tcW w:w="1134" w:type="dxa"/>
            <w:vAlign w:val="center"/>
          </w:tcPr>
          <w:p w14:paraId="042FCBFE" w14:textId="77777777" w:rsidR="003D2BAA" w:rsidRDefault="00125EE9">
            <w:r>
              <w:rPr>
                <w:sz w:val="18"/>
              </w:rPr>
              <w:t>50%</w:t>
            </w:r>
          </w:p>
        </w:tc>
        <w:tc>
          <w:tcPr>
            <w:tcW w:w="4195" w:type="dxa"/>
            <w:vAlign w:val="center"/>
          </w:tcPr>
          <w:p w14:paraId="38B1927C" w14:textId="77777777" w:rsidR="003D2BAA" w:rsidRDefault="00125EE9">
            <w:r>
              <w:rPr>
                <w:sz w:val="18"/>
              </w:rPr>
              <w:t>3,000–6,000</w:t>
            </w:r>
            <w:r>
              <w:rPr>
                <w:sz w:val="18"/>
              </w:rPr>
              <w:t>人</w:t>
            </w:r>
          </w:p>
        </w:tc>
      </w:tr>
      <w:tr w:rsidR="003D2BAA" w14:paraId="3819E31C" w14:textId="77777777">
        <w:trPr>
          <w:jc w:val="center"/>
        </w:trPr>
        <w:tc>
          <w:tcPr>
            <w:tcW w:w="3515" w:type="dxa"/>
            <w:vAlign w:val="center"/>
          </w:tcPr>
          <w:p w14:paraId="29BED2AA" w14:textId="77777777" w:rsidR="003D2BAA" w:rsidRDefault="00125EE9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更廣泛</w:t>
            </w:r>
            <w:r>
              <w:rPr>
                <w:sz w:val="18"/>
                <w:lang w:eastAsia="zh-TW"/>
              </w:rPr>
              <w:t>STGD1</w:t>
            </w:r>
            <w:r>
              <w:rPr>
                <w:sz w:val="18"/>
                <w:lang w:eastAsia="zh-TW"/>
              </w:rPr>
              <w:t>，適應症不明列年齡</w:t>
            </w:r>
          </w:p>
        </w:tc>
        <w:tc>
          <w:tcPr>
            <w:tcW w:w="1134" w:type="dxa"/>
            <w:vAlign w:val="center"/>
          </w:tcPr>
          <w:p w14:paraId="18A493EF" w14:textId="77777777" w:rsidR="003D2BAA" w:rsidRDefault="00125EE9">
            <w:r>
              <w:rPr>
                <w:sz w:val="18"/>
              </w:rPr>
              <w:t>15%</w:t>
            </w:r>
          </w:p>
        </w:tc>
        <w:tc>
          <w:tcPr>
            <w:tcW w:w="4195" w:type="dxa"/>
            <w:vAlign w:val="center"/>
          </w:tcPr>
          <w:p w14:paraId="7CCBF8EF" w14:textId="77777777" w:rsidR="003D2BAA" w:rsidRDefault="00125EE9">
            <w:r>
              <w:rPr>
                <w:sz w:val="18"/>
              </w:rPr>
              <w:t>5,000–8,000+</w:t>
            </w:r>
            <w:r>
              <w:rPr>
                <w:sz w:val="18"/>
              </w:rPr>
              <w:t>人</w:t>
            </w:r>
          </w:p>
        </w:tc>
      </w:tr>
    </w:tbl>
    <w:p w14:paraId="542A6D6E" w14:textId="77777777" w:rsidR="003D2BAA" w:rsidRDefault="003D2BAA"/>
    <w:p w14:paraId="7AB50101" w14:textId="77777777" w:rsidR="003D2BAA" w:rsidRDefault="00125EE9">
      <w:pPr>
        <w:pStyle w:val="1"/>
      </w:pPr>
      <w:r>
        <w:lastRenderedPageBreak/>
        <w:t>三、</w:t>
      </w:r>
      <w:r>
        <w:t>launch-ready backlog</w:t>
      </w:r>
      <w:r>
        <w:t>：市場最重要、但過去最被低估的變數</w:t>
      </w:r>
    </w:p>
    <w:p w14:paraId="0CF480B9" w14:textId="77777777" w:rsidR="003D2BAA" w:rsidRDefault="00125EE9">
      <w:pPr>
        <w:spacing w:after="100" w:line="300" w:lineRule="auto"/>
      </w:pPr>
      <w:r>
        <w:t>STGD1</w:t>
      </w:r>
      <w:r>
        <w:t>不是上市後才形成的新需求，而是一個多年累積的</w:t>
      </w:r>
      <w:r>
        <w:t>prevalent patient backlog</w:t>
      </w:r>
      <w:r>
        <w:t>。疾病持續惡化、視力損失不可逆、現階段沒有核准藥物，一旦出現三期證實有效且每日口服的</w:t>
      </w:r>
      <w:r>
        <w:t>first-in-class</w:t>
      </w:r>
      <w:r>
        <w:t>療法，患者行為更接近「等待已久的既有病患池釋放」，而非一般新藥逐季教育市場。</w:t>
      </w:r>
    </w:p>
    <w:p w14:paraId="1AFAE857" w14:textId="77777777" w:rsidR="003D2BAA" w:rsidRDefault="00125EE9">
      <w:pPr>
        <w:spacing w:after="100" w:line="300" w:lineRule="auto"/>
        <w:rPr>
          <w:lang w:eastAsia="zh-TW"/>
        </w:rPr>
      </w:pPr>
      <w:r>
        <w:t>Foundation Fighting Blindness</w:t>
      </w:r>
      <w:r>
        <w:t>的</w:t>
      </w:r>
      <w:r>
        <w:t>My Retina Tracker Registry</w:t>
      </w:r>
      <w:r>
        <w:t>在</w:t>
      </w:r>
      <w:r>
        <w:t>2025</w:t>
      </w:r>
      <w:r>
        <w:t>年已超過</w:t>
      </w:r>
      <w:r>
        <w:t>42,000</w:t>
      </w:r>
      <w:r>
        <w:t>名成員；</w:t>
      </w:r>
      <w:r>
        <w:t>2024</w:t>
      </w:r>
      <w:r>
        <w:t>年公開資料顯示，接受其遺傳檢測計畫的族群中，</w:t>
      </w:r>
      <w:r>
        <w:t>Stargardt disease</w:t>
      </w:r>
      <w:r>
        <w:t>約占</w:t>
      </w:r>
      <w:r>
        <w:t>11%</w:t>
      </w:r>
      <w:r>
        <w:t>。該</w:t>
      </w:r>
      <w:r>
        <w:t>registry</w:t>
      </w:r>
      <w:r>
        <w:t>長期用於臨床研究配對與招募，另有免費基因檢測與遺傳諮詢網路。</w:t>
      </w:r>
      <w:r>
        <w:rPr>
          <w:lang w:eastAsia="zh-TW"/>
        </w:rPr>
        <w:t>這意味</w:t>
      </w:r>
      <w:r>
        <w:rPr>
          <w:lang w:eastAsia="zh-TW"/>
        </w:rPr>
        <w:t>Tinlarebant</w:t>
      </w:r>
      <w:r>
        <w:rPr>
          <w:lang w:eastAsia="zh-TW"/>
        </w:rPr>
        <w:t>上市時面對的是一個已具備病友組織、</w:t>
      </w:r>
      <w:r>
        <w:rPr>
          <w:lang w:eastAsia="zh-TW"/>
        </w:rPr>
        <w:t>IRD</w:t>
      </w:r>
      <w:r>
        <w:rPr>
          <w:lang w:eastAsia="zh-TW"/>
        </w:rPr>
        <w:t>中心、基因資料與視網膜專科醫師網路的市場。</w:t>
      </w:r>
    </w:p>
    <w:p w14:paraId="26B00EC0" w14:textId="77777777" w:rsidR="003D2BAA" w:rsidRDefault="00125EE9">
      <w:pPr>
        <w:spacing w:after="100" w:line="300" w:lineRule="auto"/>
      </w:pPr>
      <w:r>
        <w:t>Belite</w:t>
      </w:r>
      <w:r>
        <w:t>管理層在</w:t>
      </w:r>
      <w:r>
        <w:t>2026Q1</w:t>
      </w:r>
      <w:r>
        <w:t>法說</w:t>
      </w:r>
      <w:r>
        <w:t>Q&amp;A</w:t>
      </w:r>
      <w:r>
        <w:t>中表示，許多</w:t>
      </w:r>
      <w:r>
        <w:t>retina specialists</w:t>
      </w:r>
      <w:r>
        <w:t>已擁有經基因檢測確認的</w:t>
      </w:r>
      <w:r>
        <w:t>Stargardt patient databases</w:t>
      </w:r>
      <w:r>
        <w:t>，公司正在進行大量</w:t>
      </w:r>
      <w:r>
        <w:t>survey</w:t>
      </w:r>
      <w:r>
        <w:t>，並規劃診斷</w:t>
      </w:r>
      <w:r>
        <w:t>/</w:t>
      </w:r>
      <w:r>
        <w:t>基因檢測推廣團隊與藥物推廣團隊。這是目前支持</w:t>
      </w:r>
      <w:r>
        <w:t>pre-launch backlog</w:t>
      </w:r>
      <w:r>
        <w:t>模型最直接的公司發言。</w:t>
      </w:r>
    </w:p>
    <w:p w14:paraId="4B32979E" w14:textId="77777777" w:rsidR="003D2BAA" w:rsidRDefault="00125EE9">
      <w:pPr>
        <w:spacing w:after="100" w:line="300" w:lineRule="auto"/>
      </w:pPr>
      <w:r>
        <w:t>綜合</w:t>
      </w:r>
      <w:r>
        <w:t>specialist databases</w:t>
      </w:r>
      <w:r>
        <w:t>、</w:t>
      </w:r>
      <w:r>
        <w:t>FFB registry</w:t>
      </w:r>
      <w:r>
        <w:t>、</w:t>
      </w:r>
      <w:r>
        <w:t>genetic testing network</w:t>
      </w:r>
      <w:r>
        <w:t>、</w:t>
      </w:r>
      <w:r>
        <w:t>retina center</w:t>
      </w:r>
      <w:r>
        <w:t>集中度與患者高度治療意願，本研究對核准時可進入</w:t>
      </w:r>
      <w:r>
        <w:t>launch funnel</w:t>
      </w:r>
      <w:r>
        <w:t>的患者數採</w:t>
      </w:r>
      <w:r>
        <w:t>2,000</w:t>
      </w:r>
      <w:r>
        <w:t>至</w:t>
      </w:r>
      <w:r>
        <w:t>3,000</w:t>
      </w:r>
      <w:r>
        <w:t>人合理區間，中心值</w:t>
      </w:r>
      <w:r>
        <w:t>2,500</w:t>
      </w:r>
      <w:r>
        <w:t>人；若商業調查確認超過</w:t>
      </w:r>
      <w:r>
        <w:t>3,000</w:t>
      </w:r>
      <w:r>
        <w:t>名</w:t>
      </w:r>
      <w:r>
        <w:t>identified patients</w:t>
      </w:r>
      <w:r>
        <w:t>，首四季</w:t>
      </w:r>
      <w:r>
        <w:t>10</w:t>
      </w:r>
      <w:r>
        <w:t>億美元營收的機率將由</w:t>
      </w:r>
      <w:r>
        <w:t>35%</w:t>
      </w:r>
      <w:r>
        <w:t>至</w:t>
      </w:r>
      <w:r>
        <w:t>45%</w:t>
      </w:r>
      <w:r>
        <w:t>上修至</w:t>
      </w:r>
      <w:r>
        <w:t>55%</w:t>
      </w:r>
      <w:r>
        <w:t>至</w:t>
      </w:r>
      <w:r>
        <w:t>65%</w:t>
      </w:r>
      <w:r>
        <w:t>；若超過</w:t>
      </w:r>
      <w:r>
        <w:t>5,000</w:t>
      </w:r>
      <w:r>
        <w:t>人，則可上修至</w:t>
      </w:r>
      <w:r>
        <w:t>75%</w:t>
      </w:r>
      <w:r>
        <w:t>至</w:t>
      </w:r>
      <w:r>
        <w:t>85%</w:t>
      </w:r>
      <w:r>
        <w:t>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361"/>
        <w:gridCol w:w="4649"/>
      </w:tblGrid>
      <w:tr w:rsidR="003D2BAA" w14:paraId="36DCAC53" w14:textId="77777777">
        <w:trPr>
          <w:jc w:val="center"/>
        </w:trPr>
        <w:tc>
          <w:tcPr>
            <w:tcW w:w="2835" w:type="dxa"/>
            <w:shd w:val="clear" w:color="auto" w:fill="1F4E78"/>
            <w:vAlign w:val="center"/>
          </w:tcPr>
          <w:p w14:paraId="6EEF6741" w14:textId="77777777" w:rsidR="003D2BAA" w:rsidRDefault="00125EE9">
            <w:r>
              <w:rPr>
                <w:b/>
                <w:color w:val="FFFFFF"/>
                <w:sz w:val="18"/>
              </w:rPr>
              <w:t>Commercial survey</w:t>
            </w:r>
            <w:r>
              <w:rPr>
                <w:b/>
                <w:color w:val="FFFFFF"/>
                <w:sz w:val="18"/>
              </w:rPr>
              <w:t>結果</w:t>
            </w:r>
          </w:p>
        </w:tc>
        <w:tc>
          <w:tcPr>
            <w:tcW w:w="1361" w:type="dxa"/>
            <w:shd w:val="clear" w:color="auto" w:fill="1F4E78"/>
            <w:vAlign w:val="center"/>
          </w:tcPr>
          <w:p w14:paraId="7159272A" w14:textId="77777777" w:rsidR="003D2BAA" w:rsidRDefault="00125EE9">
            <w:r>
              <w:rPr>
                <w:b/>
                <w:color w:val="FFFFFF"/>
                <w:sz w:val="18"/>
              </w:rPr>
              <w:t>主觀機率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04406E86" w14:textId="77777777" w:rsidR="003D2BAA" w:rsidRDefault="00125EE9">
            <w:r>
              <w:rPr>
                <w:b/>
                <w:color w:val="FFFFFF"/>
                <w:sz w:val="18"/>
              </w:rPr>
              <w:t>研究判讀</w:t>
            </w:r>
          </w:p>
        </w:tc>
      </w:tr>
      <w:tr w:rsidR="003D2BAA" w14:paraId="2A856B89" w14:textId="77777777">
        <w:trPr>
          <w:jc w:val="center"/>
        </w:trPr>
        <w:tc>
          <w:tcPr>
            <w:tcW w:w="2835" w:type="dxa"/>
            <w:vAlign w:val="center"/>
          </w:tcPr>
          <w:p w14:paraId="4ACBB4FB" w14:textId="77777777" w:rsidR="003D2BAA" w:rsidRDefault="00125EE9">
            <w:r>
              <w:rPr>
                <w:sz w:val="18"/>
              </w:rPr>
              <w:t>&lt;1,000</w:t>
            </w:r>
            <w:r>
              <w:rPr>
                <w:sz w:val="18"/>
              </w:rPr>
              <w:t>人</w:t>
            </w:r>
          </w:p>
        </w:tc>
        <w:tc>
          <w:tcPr>
            <w:tcW w:w="1361" w:type="dxa"/>
            <w:vAlign w:val="center"/>
          </w:tcPr>
          <w:p w14:paraId="03EAF04E" w14:textId="77777777" w:rsidR="003D2BAA" w:rsidRDefault="00125EE9">
            <w:r>
              <w:rPr>
                <w:sz w:val="18"/>
              </w:rPr>
              <w:t>10%</w:t>
            </w:r>
          </w:p>
        </w:tc>
        <w:tc>
          <w:tcPr>
            <w:tcW w:w="4649" w:type="dxa"/>
            <w:vAlign w:val="center"/>
          </w:tcPr>
          <w:p w14:paraId="6711A21F" w14:textId="77777777" w:rsidR="003D2BAA" w:rsidRDefault="00125EE9">
            <w:r>
              <w:rPr>
                <w:sz w:val="18"/>
              </w:rPr>
              <w:t>明顯低於預期</w:t>
            </w:r>
          </w:p>
        </w:tc>
      </w:tr>
      <w:tr w:rsidR="003D2BAA" w14:paraId="7CDA77B2" w14:textId="77777777">
        <w:trPr>
          <w:jc w:val="center"/>
        </w:trPr>
        <w:tc>
          <w:tcPr>
            <w:tcW w:w="2835" w:type="dxa"/>
            <w:vAlign w:val="center"/>
          </w:tcPr>
          <w:p w14:paraId="5B7B2C4D" w14:textId="77777777" w:rsidR="003D2BAA" w:rsidRDefault="00125EE9">
            <w:r>
              <w:rPr>
                <w:sz w:val="18"/>
              </w:rPr>
              <w:t>1,000–2,000</w:t>
            </w:r>
            <w:r>
              <w:rPr>
                <w:sz w:val="18"/>
              </w:rPr>
              <w:t>人</w:t>
            </w:r>
          </w:p>
        </w:tc>
        <w:tc>
          <w:tcPr>
            <w:tcW w:w="1361" w:type="dxa"/>
            <w:vAlign w:val="center"/>
          </w:tcPr>
          <w:p w14:paraId="1F5F7565" w14:textId="77777777" w:rsidR="003D2BAA" w:rsidRDefault="00125EE9">
            <w:r>
              <w:rPr>
                <w:sz w:val="18"/>
              </w:rPr>
              <w:t>20%</w:t>
            </w:r>
          </w:p>
        </w:tc>
        <w:tc>
          <w:tcPr>
            <w:tcW w:w="4649" w:type="dxa"/>
            <w:vAlign w:val="center"/>
          </w:tcPr>
          <w:p w14:paraId="2C275AFD" w14:textId="77777777" w:rsidR="003D2BAA" w:rsidRDefault="00125EE9">
            <w:r>
              <w:rPr>
                <w:sz w:val="18"/>
              </w:rPr>
              <w:t>backlog</w:t>
            </w:r>
            <w:r>
              <w:rPr>
                <w:sz w:val="18"/>
              </w:rPr>
              <w:t>偏弱</w:t>
            </w:r>
          </w:p>
        </w:tc>
      </w:tr>
      <w:tr w:rsidR="003D2BAA" w14:paraId="38649031" w14:textId="77777777">
        <w:trPr>
          <w:jc w:val="center"/>
        </w:trPr>
        <w:tc>
          <w:tcPr>
            <w:tcW w:w="2835" w:type="dxa"/>
            <w:vAlign w:val="center"/>
          </w:tcPr>
          <w:p w14:paraId="642ED50F" w14:textId="77777777" w:rsidR="003D2BAA" w:rsidRDefault="00125EE9">
            <w:r>
              <w:rPr>
                <w:sz w:val="18"/>
              </w:rPr>
              <w:t>2,000–3,000</w:t>
            </w:r>
            <w:r>
              <w:rPr>
                <w:sz w:val="18"/>
              </w:rPr>
              <w:t>人</w:t>
            </w:r>
          </w:p>
        </w:tc>
        <w:tc>
          <w:tcPr>
            <w:tcW w:w="1361" w:type="dxa"/>
            <w:vAlign w:val="center"/>
          </w:tcPr>
          <w:p w14:paraId="73B081C7" w14:textId="77777777" w:rsidR="003D2BAA" w:rsidRDefault="00125EE9">
            <w:r>
              <w:rPr>
                <w:sz w:val="18"/>
              </w:rPr>
              <w:t>35%</w:t>
            </w:r>
          </w:p>
        </w:tc>
        <w:tc>
          <w:tcPr>
            <w:tcW w:w="4649" w:type="dxa"/>
            <w:vAlign w:val="center"/>
          </w:tcPr>
          <w:p w14:paraId="556FAD9F" w14:textId="77777777" w:rsidR="003D2BAA" w:rsidRDefault="00125EE9">
            <w:r>
              <w:rPr>
                <w:sz w:val="18"/>
              </w:rPr>
              <w:t>基準情境</w:t>
            </w:r>
          </w:p>
        </w:tc>
      </w:tr>
      <w:tr w:rsidR="003D2BAA" w14:paraId="7D39D7A7" w14:textId="77777777">
        <w:trPr>
          <w:jc w:val="center"/>
        </w:trPr>
        <w:tc>
          <w:tcPr>
            <w:tcW w:w="2835" w:type="dxa"/>
            <w:vAlign w:val="center"/>
          </w:tcPr>
          <w:p w14:paraId="04FC8311" w14:textId="77777777" w:rsidR="003D2BAA" w:rsidRDefault="00125EE9">
            <w:r>
              <w:rPr>
                <w:sz w:val="18"/>
              </w:rPr>
              <w:t>3,000–5,000</w:t>
            </w:r>
            <w:r>
              <w:rPr>
                <w:sz w:val="18"/>
              </w:rPr>
              <w:t>人</w:t>
            </w:r>
          </w:p>
        </w:tc>
        <w:tc>
          <w:tcPr>
            <w:tcW w:w="1361" w:type="dxa"/>
            <w:vAlign w:val="center"/>
          </w:tcPr>
          <w:p w14:paraId="663CDFCA" w14:textId="77777777" w:rsidR="003D2BAA" w:rsidRDefault="00125EE9">
            <w:r>
              <w:rPr>
                <w:sz w:val="18"/>
              </w:rPr>
              <w:t>25%</w:t>
            </w:r>
          </w:p>
        </w:tc>
        <w:tc>
          <w:tcPr>
            <w:tcW w:w="4649" w:type="dxa"/>
            <w:vAlign w:val="center"/>
          </w:tcPr>
          <w:p w14:paraId="48624690" w14:textId="77777777" w:rsidR="003D2BAA" w:rsidRDefault="00125EE9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首年</w:t>
            </w:r>
            <w:r>
              <w:rPr>
                <w:sz w:val="18"/>
                <w:lang w:eastAsia="zh-TW"/>
              </w:rPr>
              <w:t>10</w:t>
            </w:r>
            <w:r>
              <w:rPr>
                <w:sz w:val="18"/>
                <w:lang w:eastAsia="zh-TW"/>
              </w:rPr>
              <w:t>億美元機率顯著上修</w:t>
            </w:r>
          </w:p>
        </w:tc>
      </w:tr>
      <w:tr w:rsidR="003D2BAA" w14:paraId="335F152E" w14:textId="77777777">
        <w:trPr>
          <w:jc w:val="center"/>
        </w:trPr>
        <w:tc>
          <w:tcPr>
            <w:tcW w:w="2835" w:type="dxa"/>
            <w:vAlign w:val="center"/>
          </w:tcPr>
          <w:p w14:paraId="2F131D9A" w14:textId="77777777" w:rsidR="003D2BAA" w:rsidRDefault="00125EE9">
            <w:r>
              <w:rPr>
                <w:sz w:val="18"/>
              </w:rPr>
              <w:t>&gt;5,000</w:t>
            </w:r>
            <w:r>
              <w:rPr>
                <w:sz w:val="18"/>
              </w:rPr>
              <w:t>人</w:t>
            </w:r>
          </w:p>
        </w:tc>
        <w:tc>
          <w:tcPr>
            <w:tcW w:w="1361" w:type="dxa"/>
            <w:vAlign w:val="center"/>
          </w:tcPr>
          <w:p w14:paraId="0B636135" w14:textId="77777777" w:rsidR="003D2BAA" w:rsidRDefault="00125EE9">
            <w:r>
              <w:rPr>
                <w:sz w:val="18"/>
              </w:rPr>
              <w:t>10%</w:t>
            </w:r>
          </w:p>
        </w:tc>
        <w:tc>
          <w:tcPr>
            <w:tcW w:w="4649" w:type="dxa"/>
            <w:vAlign w:val="center"/>
          </w:tcPr>
          <w:p w14:paraId="7E94F3EF" w14:textId="77777777" w:rsidR="003D2BAA" w:rsidRDefault="00125EE9">
            <w:r>
              <w:rPr>
                <w:sz w:val="18"/>
              </w:rPr>
              <w:t>prevalent backlog</w:t>
            </w:r>
            <w:r>
              <w:rPr>
                <w:sz w:val="18"/>
              </w:rPr>
              <w:t>釋放型超級多頭情境</w:t>
            </w:r>
          </w:p>
        </w:tc>
      </w:tr>
    </w:tbl>
    <w:p w14:paraId="61BC5B34" w14:textId="77777777" w:rsidR="003D2BAA" w:rsidRDefault="003D2BAA"/>
    <w:p w14:paraId="1203BD66" w14:textId="77777777" w:rsidR="003D2BAA" w:rsidRDefault="00125EE9">
      <w:pPr>
        <w:pStyle w:val="1"/>
      </w:pPr>
      <w:r>
        <w:t>四、從核准到營收：</w:t>
      </w:r>
      <w:r>
        <w:t>Tinlarebant</w:t>
      </w:r>
      <w:r>
        <w:t>不需要等待數季</w:t>
      </w:r>
    </w:p>
    <w:p w14:paraId="3485ADEC" w14:textId="77777777" w:rsidR="003D2BAA" w:rsidRDefault="00125EE9">
      <w:pPr>
        <w:spacing w:after="100" w:line="300" w:lineRule="auto"/>
      </w:pPr>
      <w:r>
        <w:t>Tinlarebant</w:t>
      </w:r>
      <w:r>
        <w:t>為每日口服小分子藥。</w:t>
      </w:r>
      <w:r>
        <w:t>Belite</w:t>
      </w:r>
      <w:r>
        <w:t>管理層已表示製造、包裝與配送相對容易，並正在提前準備</w:t>
      </w:r>
      <w:r>
        <w:t>supply chain</w:t>
      </w:r>
      <w:r>
        <w:t>與</w:t>
      </w:r>
      <w:r>
        <w:t>manufacturing</w:t>
      </w:r>
      <w:r>
        <w:t>，預期可在核准後快速</w:t>
      </w:r>
      <w:r>
        <w:t>launch</w:t>
      </w:r>
      <w:r>
        <w:t>。</w:t>
      </w:r>
    </w:p>
    <w:p w14:paraId="076E1599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歷史上，</w:t>
      </w:r>
      <w:r>
        <w:rPr>
          <w:lang w:eastAsia="zh-TW"/>
        </w:rPr>
        <w:t>ORKAMBI</w:t>
      </w:r>
      <w:r>
        <w:rPr>
          <w:lang w:eastAsia="zh-TW"/>
        </w:rPr>
        <w:t>於</w:t>
      </w:r>
      <w:r>
        <w:rPr>
          <w:lang w:eastAsia="zh-TW"/>
        </w:rPr>
        <w:t>FDA</w:t>
      </w:r>
      <w:r>
        <w:rPr>
          <w:lang w:eastAsia="zh-TW"/>
        </w:rPr>
        <w:t>核准後不到一個月已有患者取得藥物，第一個完整商業季度認列</w:t>
      </w:r>
      <w:r>
        <w:rPr>
          <w:lang w:eastAsia="zh-TW"/>
        </w:rPr>
        <w:t>1.308</w:t>
      </w:r>
      <w:r>
        <w:rPr>
          <w:lang w:eastAsia="zh-TW"/>
        </w:rPr>
        <w:t>億美元淨產品營收，季末超過</w:t>
      </w:r>
      <w:r>
        <w:rPr>
          <w:lang w:eastAsia="zh-TW"/>
        </w:rPr>
        <w:t>3,000</w:t>
      </w:r>
      <w:r>
        <w:rPr>
          <w:lang w:eastAsia="zh-TW"/>
        </w:rPr>
        <w:t>名患者開始治療。</w:t>
      </w:r>
      <w:r>
        <w:rPr>
          <w:lang w:eastAsia="zh-TW"/>
        </w:rPr>
        <w:t>Kalydeco</w:t>
      </w:r>
      <w:r>
        <w:rPr>
          <w:lang w:eastAsia="zh-TW"/>
        </w:rPr>
        <w:t>亦在核准季度即產生營收。這類遺傳性疾病口服藥的</w:t>
      </w:r>
      <w:r>
        <w:rPr>
          <w:lang w:eastAsia="zh-TW"/>
        </w:rPr>
        <w:t>commercial mechanics</w:t>
      </w:r>
      <w:r>
        <w:rPr>
          <w:lang w:eastAsia="zh-TW"/>
        </w:rPr>
        <w:t>顯示，藥證與營收之間可以只相隔數週。</w:t>
      </w:r>
    </w:p>
    <w:p w14:paraId="253F4069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lastRenderedPageBreak/>
        <w:t>假設</w:t>
      </w:r>
      <w:r>
        <w:rPr>
          <w:lang w:eastAsia="zh-TW"/>
        </w:rPr>
        <w:t>2027</w:t>
      </w:r>
      <w:r>
        <w:rPr>
          <w:lang w:eastAsia="zh-TW"/>
        </w:rPr>
        <w:t>年</w:t>
      </w:r>
      <w:r>
        <w:rPr>
          <w:lang w:eastAsia="zh-TW"/>
        </w:rPr>
        <w:t>2</w:t>
      </w:r>
      <w:r>
        <w:rPr>
          <w:lang w:eastAsia="zh-TW"/>
        </w:rPr>
        <w:t>月</w:t>
      </w:r>
      <w:r>
        <w:rPr>
          <w:lang w:eastAsia="zh-TW"/>
        </w:rPr>
        <w:t>1</w:t>
      </w:r>
      <w:r>
        <w:rPr>
          <w:lang w:eastAsia="zh-TW"/>
        </w:rPr>
        <w:t>日</w:t>
      </w:r>
      <w:r>
        <w:rPr>
          <w:lang w:eastAsia="zh-TW"/>
        </w:rPr>
        <w:t>FDA</w:t>
      </w:r>
      <w:r>
        <w:rPr>
          <w:lang w:eastAsia="zh-TW"/>
        </w:rPr>
        <w:t>核准，基準時間表為：</w:t>
      </w:r>
      <w:r>
        <w:rPr>
          <w:lang w:eastAsia="zh-TW"/>
        </w:rPr>
        <w:t>2</w:t>
      </w:r>
      <w:r>
        <w:rPr>
          <w:lang w:eastAsia="zh-TW"/>
        </w:rPr>
        <w:t>月上旬完成正式</w:t>
      </w:r>
      <w:r>
        <w:rPr>
          <w:lang w:eastAsia="zh-TW"/>
        </w:rPr>
        <w:t>label</w:t>
      </w:r>
      <w:r>
        <w:rPr>
          <w:lang w:eastAsia="zh-TW"/>
        </w:rPr>
        <w:t>與商業訊息啟動；</w:t>
      </w:r>
      <w:r>
        <w:rPr>
          <w:lang w:eastAsia="zh-TW"/>
        </w:rPr>
        <w:t>2</w:t>
      </w:r>
      <w:r>
        <w:rPr>
          <w:lang w:eastAsia="zh-TW"/>
        </w:rPr>
        <w:t>月中旬第一批處方、</w:t>
      </w:r>
      <w:r>
        <w:rPr>
          <w:lang w:eastAsia="zh-TW"/>
        </w:rPr>
        <w:t>benefit investigation</w:t>
      </w:r>
      <w:r>
        <w:rPr>
          <w:lang w:eastAsia="zh-TW"/>
        </w:rPr>
        <w:t>與</w:t>
      </w:r>
      <w:r>
        <w:rPr>
          <w:lang w:eastAsia="zh-TW"/>
        </w:rPr>
        <w:t>prior authorization</w:t>
      </w:r>
      <w:r>
        <w:rPr>
          <w:lang w:eastAsia="zh-TW"/>
        </w:rPr>
        <w:t>完成；</w:t>
      </w:r>
      <w:r>
        <w:rPr>
          <w:lang w:eastAsia="zh-TW"/>
        </w:rPr>
        <w:t>2</w:t>
      </w:r>
      <w:r>
        <w:rPr>
          <w:lang w:eastAsia="zh-TW"/>
        </w:rPr>
        <w:t>月中下旬開始第一批患者收到藥；</w:t>
      </w:r>
      <w:r>
        <w:rPr>
          <w:lang w:eastAsia="zh-TW"/>
        </w:rPr>
        <w:t>2</w:t>
      </w:r>
      <w:r>
        <w:rPr>
          <w:lang w:eastAsia="zh-TW"/>
        </w:rPr>
        <w:t>月底至</w:t>
      </w:r>
      <w:r>
        <w:rPr>
          <w:lang w:eastAsia="zh-TW"/>
        </w:rPr>
        <w:t>3</w:t>
      </w:r>
      <w:r>
        <w:rPr>
          <w:lang w:eastAsia="zh-TW"/>
        </w:rPr>
        <w:t>月形成有意義</w:t>
      </w:r>
      <w:r>
        <w:rPr>
          <w:lang w:eastAsia="zh-TW"/>
        </w:rPr>
        <w:t>patient-derived sales</w:t>
      </w:r>
      <w:r>
        <w:rPr>
          <w:lang w:eastAsia="zh-TW"/>
        </w:rPr>
        <w:t>；</w:t>
      </w:r>
      <w:r>
        <w:rPr>
          <w:lang w:eastAsia="zh-TW"/>
        </w:rPr>
        <w:t>2027Q1</w:t>
      </w:r>
      <w:r>
        <w:rPr>
          <w:lang w:eastAsia="zh-TW"/>
        </w:rPr>
        <w:t>即應出現實質</w:t>
      </w:r>
      <w:r>
        <w:rPr>
          <w:lang w:eastAsia="zh-TW"/>
        </w:rPr>
        <w:t>Tinlarebant</w:t>
      </w:r>
      <w:r>
        <w:rPr>
          <w:lang w:eastAsia="zh-TW"/>
        </w:rPr>
        <w:t>產品營收。</w:t>
      </w:r>
    </w:p>
    <w:p w14:paraId="0696CDF8" w14:textId="77777777" w:rsidR="003D2BAA" w:rsidRDefault="00125EE9">
      <w:pPr>
        <w:spacing w:after="100" w:line="300" w:lineRule="auto"/>
      </w:pPr>
      <w:r>
        <w:t>在</w:t>
      </w:r>
      <w:r>
        <w:t>2,500</w:t>
      </w:r>
      <w:r>
        <w:t>名</w:t>
      </w:r>
      <w:r>
        <w:t>launch-ready backlog</w:t>
      </w:r>
      <w:r>
        <w:t>中心情境下，</w:t>
      </w:r>
      <w:r>
        <w:t>2027Q1</w:t>
      </w:r>
      <w:r>
        <w:t>因只有約兩個月</w:t>
      </w:r>
      <w:r>
        <w:t>launch window</w:t>
      </w:r>
      <w:r>
        <w:t>，基準營收估計</w:t>
      </w:r>
      <w:r>
        <w:t>2,500</w:t>
      </w:r>
      <w:r>
        <w:t>萬至</w:t>
      </w:r>
      <w:r>
        <w:t>4,500</w:t>
      </w:r>
      <w:r>
        <w:t>萬美元；若</w:t>
      </w:r>
      <w:r>
        <w:t>backlog</w:t>
      </w:r>
      <w:r>
        <w:t>達</w:t>
      </w:r>
      <w:r>
        <w:t>4,000</w:t>
      </w:r>
      <w:r>
        <w:t>至</w:t>
      </w:r>
      <w:r>
        <w:t>5,000</w:t>
      </w:r>
      <w:r>
        <w:t>人且</w:t>
      </w:r>
      <w:r>
        <w:t>payer authorization</w:t>
      </w:r>
      <w:r>
        <w:t>快速，核准季度營收可上看</w:t>
      </w:r>
      <w:r>
        <w:t>4,500</w:t>
      </w:r>
      <w:r>
        <w:t>萬至</w:t>
      </w:r>
      <w:r>
        <w:t>1</w:t>
      </w:r>
      <w:r>
        <w:t>億美元。</w:t>
      </w:r>
    </w:p>
    <w:p w14:paraId="6268640E" w14:textId="77777777" w:rsidR="003D2BAA" w:rsidRDefault="00125EE9">
      <w:pPr>
        <w:pStyle w:val="1"/>
        <w:rPr>
          <w:lang w:eastAsia="zh-TW"/>
        </w:rPr>
      </w:pPr>
      <w:r>
        <w:rPr>
          <w:lang w:eastAsia="zh-TW"/>
        </w:rPr>
        <w:t>五、第一年</w:t>
      </w:r>
      <w:r>
        <w:rPr>
          <w:lang w:eastAsia="zh-TW"/>
        </w:rPr>
        <w:t>10</w:t>
      </w:r>
      <w:r>
        <w:rPr>
          <w:lang w:eastAsia="zh-TW"/>
        </w:rPr>
        <w:t>億美元：不應再被視為空泛夢想</w:t>
      </w:r>
    </w:p>
    <w:p w14:paraId="59D3596E" w14:textId="77777777" w:rsidR="003D2BAA" w:rsidRDefault="00125EE9">
      <w:pPr>
        <w:spacing w:after="100" w:line="300" w:lineRule="auto"/>
      </w:pPr>
      <w:r>
        <w:t>Belite</w:t>
      </w:r>
      <w:r>
        <w:t>管理層曾在法說討論</w:t>
      </w:r>
      <w:r>
        <w:t>350,000</w:t>
      </w:r>
      <w:r>
        <w:t>至</w:t>
      </w:r>
      <w:r>
        <w:t>500,000</w:t>
      </w:r>
      <w:r>
        <w:t>美元的定價參考區間，並表示已進行多個</w:t>
      </w:r>
      <w:r>
        <w:t>payer pricing projects</w:t>
      </w:r>
      <w:r>
        <w:t>。以</w:t>
      </w:r>
      <w:r>
        <w:t>400,000</w:t>
      </w:r>
      <w:r>
        <w:t>美元</w:t>
      </w:r>
      <w:r>
        <w:t>list price</w:t>
      </w:r>
      <w:r>
        <w:t>作為討論基準並不激進；真正應採模型的是扣除折讓後的</w:t>
      </w:r>
      <w:r>
        <w:t>net realized revenue</w:t>
      </w:r>
      <w:r>
        <w:t>。</w:t>
      </w:r>
    </w:p>
    <w:p w14:paraId="1C1AC3D4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本研究採每名患者每年淨收入</w:t>
      </w:r>
      <w:r>
        <w:rPr>
          <w:lang w:eastAsia="zh-TW"/>
        </w:rPr>
        <w:t>350,000</w:t>
      </w:r>
      <w:r>
        <w:rPr>
          <w:lang w:eastAsia="zh-TW"/>
        </w:rPr>
        <w:t>美元作為基準。若</w:t>
      </w:r>
      <w:r>
        <w:rPr>
          <w:lang w:eastAsia="zh-TW"/>
        </w:rPr>
        <w:t>2,500</w:t>
      </w:r>
      <w:r>
        <w:rPr>
          <w:lang w:eastAsia="zh-TW"/>
        </w:rPr>
        <w:t>名患者於第一季逐步啟動，首四商業季度營收仍可能低於</w:t>
      </w:r>
      <w:r>
        <w:rPr>
          <w:lang w:eastAsia="zh-TW"/>
        </w:rPr>
        <w:t>10</w:t>
      </w:r>
      <w:r>
        <w:rPr>
          <w:lang w:eastAsia="zh-TW"/>
        </w:rPr>
        <w:t>億美元；要在首四季達到</w:t>
      </w:r>
      <w:r>
        <w:rPr>
          <w:lang w:eastAsia="zh-TW"/>
        </w:rPr>
        <w:t>10</w:t>
      </w:r>
      <w:r>
        <w:rPr>
          <w:lang w:eastAsia="zh-TW"/>
        </w:rPr>
        <w:t>億美元，較合理需要約</w:t>
      </w:r>
      <w:r>
        <w:rPr>
          <w:lang w:eastAsia="zh-TW"/>
        </w:rPr>
        <w:t>3,000</w:t>
      </w:r>
      <w:r>
        <w:rPr>
          <w:lang w:eastAsia="zh-TW"/>
        </w:rPr>
        <w:t>至</w:t>
      </w:r>
      <w:r>
        <w:rPr>
          <w:lang w:eastAsia="zh-TW"/>
        </w:rPr>
        <w:t>4,000</w:t>
      </w:r>
      <w:r>
        <w:rPr>
          <w:lang w:eastAsia="zh-TW"/>
        </w:rPr>
        <w:t>名患者快速啟動並持續新增。</w:t>
      </w:r>
    </w:p>
    <w:p w14:paraId="49D760F3" w14:textId="77777777" w:rsidR="003D2BAA" w:rsidRDefault="00125EE9">
      <w:pPr>
        <w:spacing w:after="100" w:line="300" w:lineRule="auto"/>
      </w:pPr>
      <w:r>
        <w:rPr>
          <w:lang w:eastAsia="zh-TW"/>
        </w:rPr>
        <w:t>因此，「</w:t>
      </w:r>
      <w:r>
        <w:rPr>
          <w:lang w:eastAsia="zh-TW"/>
        </w:rPr>
        <w:t>2,500</w:t>
      </w:r>
      <w:r>
        <w:rPr>
          <w:lang w:eastAsia="zh-TW"/>
        </w:rPr>
        <w:t>人乘</w:t>
      </w:r>
      <w:r>
        <w:rPr>
          <w:lang w:eastAsia="zh-TW"/>
        </w:rPr>
        <w:t>40</w:t>
      </w:r>
      <w:r>
        <w:rPr>
          <w:lang w:eastAsia="zh-TW"/>
        </w:rPr>
        <w:t>萬美元等於</w:t>
      </w:r>
      <w:r>
        <w:rPr>
          <w:lang w:eastAsia="zh-TW"/>
        </w:rPr>
        <w:t>10</w:t>
      </w:r>
      <w:r>
        <w:rPr>
          <w:lang w:eastAsia="zh-TW"/>
        </w:rPr>
        <w:t>億美元」不是嚴謹的收入認列模型；但「首四商業季度</w:t>
      </w:r>
      <w:r>
        <w:rPr>
          <w:lang w:eastAsia="zh-TW"/>
        </w:rPr>
        <w:t>10</w:t>
      </w:r>
      <w:r>
        <w:rPr>
          <w:lang w:eastAsia="zh-TW"/>
        </w:rPr>
        <w:t>億美元」本身具有實際可行性。</w:t>
      </w:r>
      <w:r>
        <w:t>決定因素不在患者是否需要被說服，而在公司核准前已盤點多少可辨識患者、</w:t>
      </w:r>
      <w:r>
        <w:t>final label</w:t>
      </w:r>
      <w:r>
        <w:t>多寬，以及</w:t>
      </w:r>
      <w:r>
        <w:t>payer access</w:t>
      </w:r>
      <w:r>
        <w:t>能否快速將</w:t>
      </w:r>
      <w:r>
        <w:t>identified patient</w:t>
      </w:r>
      <w:r>
        <w:t>轉換為</w:t>
      </w:r>
      <w:r>
        <w:t>dispensed prescription</w:t>
      </w:r>
      <w:r>
        <w:t>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247"/>
        <w:gridCol w:w="1247"/>
        <w:gridCol w:w="1247"/>
        <w:gridCol w:w="1247"/>
        <w:gridCol w:w="1474"/>
      </w:tblGrid>
      <w:tr w:rsidR="003D2BAA" w14:paraId="1865F7D4" w14:textId="77777777">
        <w:trPr>
          <w:jc w:val="center"/>
        </w:trPr>
        <w:tc>
          <w:tcPr>
            <w:tcW w:w="2381" w:type="dxa"/>
            <w:shd w:val="clear" w:color="auto" w:fill="1F4E78"/>
            <w:vAlign w:val="center"/>
          </w:tcPr>
          <w:p w14:paraId="66AF284F" w14:textId="77777777" w:rsidR="003D2BAA" w:rsidRDefault="00125EE9">
            <w:r>
              <w:rPr>
                <w:b/>
                <w:color w:val="FFFFFF"/>
                <w:sz w:val="18"/>
              </w:rPr>
              <w:t>情境</w:t>
            </w:r>
          </w:p>
        </w:tc>
        <w:tc>
          <w:tcPr>
            <w:tcW w:w="1247" w:type="dxa"/>
            <w:shd w:val="clear" w:color="auto" w:fill="1F4E78"/>
            <w:vAlign w:val="center"/>
          </w:tcPr>
          <w:p w14:paraId="68AA5D53" w14:textId="77777777" w:rsidR="003D2BAA" w:rsidRDefault="00125EE9">
            <w:r>
              <w:rPr>
                <w:b/>
                <w:color w:val="FFFFFF"/>
                <w:sz w:val="18"/>
              </w:rPr>
              <w:t>Q1</w:t>
            </w:r>
          </w:p>
        </w:tc>
        <w:tc>
          <w:tcPr>
            <w:tcW w:w="1247" w:type="dxa"/>
            <w:shd w:val="clear" w:color="auto" w:fill="1F4E78"/>
            <w:vAlign w:val="center"/>
          </w:tcPr>
          <w:p w14:paraId="6ACB384E" w14:textId="77777777" w:rsidR="003D2BAA" w:rsidRDefault="00125EE9">
            <w:r>
              <w:rPr>
                <w:b/>
                <w:color w:val="FFFFFF"/>
                <w:sz w:val="18"/>
              </w:rPr>
              <w:t>Q2</w:t>
            </w:r>
          </w:p>
        </w:tc>
        <w:tc>
          <w:tcPr>
            <w:tcW w:w="1247" w:type="dxa"/>
            <w:shd w:val="clear" w:color="auto" w:fill="1F4E78"/>
            <w:vAlign w:val="center"/>
          </w:tcPr>
          <w:p w14:paraId="113BEB8B" w14:textId="77777777" w:rsidR="003D2BAA" w:rsidRDefault="00125EE9">
            <w:r>
              <w:rPr>
                <w:b/>
                <w:color w:val="FFFFFF"/>
                <w:sz w:val="18"/>
              </w:rPr>
              <w:t>Q3</w:t>
            </w:r>
          </w:p>
        </w:tc>
        <w:tc>
          <w:tcPr>
            <w:tcW w:w="1247" w:type="dxa"/>
            <w:shd w:val="clear" w:color="auto" w:fill="1F4E78"/>
            <w:vAlign w:val="center"/>
          </w:tcPr>
          <w:p w14:paraId="42C7F9DB" w14:textId="77777777" w:rsidR="003D2BAA" w:rsidRDefault="00125EE9">
            <w:r>
              <w:rPr>
                <w:b/>
                <w:color w:val="FFFFFF"/>
                <w:sz w:val="18"/>
              </w:rPr>
              <w:t>Q4</w:t>
            </w:r>
          </w:p>
        </w:tc>
        <w:tc>
          <w:tcPr>
            <w:tcW w:w="1474" w:type="dxa"/>
            <w:shd w:val="clear" w:color="auto" w:fill="1F4E78"/>
            <w:vAlign w:val="center"/>
          </w:tcPr>
          <w:p w14:paraId="0CC90F8B" w14:textId="77777777" w:rsidR="003D2BAA" w:rsidRDefault="00125EE9">
            <w:r>
              <w:rPr>
                <w:b/>
                <w:color w:val="FFFFFF"/>
                <w:sz w:val="18"/>
              </w:rPr>
              <w:t>首四季</w:t>
            </w:r>
          </w:p>
        </w:tc>
      </w:tr>
      <w:tr w:rsidR="003D2BAA" w14:paraId="4DF4A5F4" w14:textId="77777777">
        <w:trPr>
          <w:jc w:val="center"/>
        </w:trPr>
        <w:tc>
          <w:tcPr>
            <w:tcW w:w="2381" w:type="dxa"/>
            <w:vAlign w:val="center"/>
          </w:tcPr>
          <w:p w14:paraId="1AE13990" w14:textId="77777777" w:rsidR="003D2BAA" w:rsidRDefault="00125EE9">
            <w:r>
              <w:rPr>
                <w:sz w:val="18"/>
              </w:rPr>
              <w:t>Payer/label</w:t>
            </w:r>
            <w:r>
              <w:rPr>
                <w:sz w:val="18"/>
              </w:rPr>
              <w:t>受阻</w:t>
            </w:r>
          </w:p>
        </w:tc>
        <w:tc>
          <w:tcPr>
            <w:tcW w:w="1247" w:type="dxa"/>
            <w:vAlign w:val="center"/>
          </w:tcPr>
          <w:p w14:paraId="4D6A0FF8" w14:textId="77777777" w:rsidR="003D2BAA" w:rsidRDefault="00125EE9">
            <w:r>
              <w:rPr>
                <w:sz w:val="18"/>
              </w:rPr>
              <w:t>30</w:t>
            </w:r>
          </w:p>
        </w:tc>
        <w:tc>
          <w:tcPr>
            <w:tcW w:w="1247" w:type="dxa"/>
            <w:vAlign w:val="center"/>
          </w:tcPr>
          <w:p w14:paraId="78F381F2" w14:textId="77777777" w:rsidR="003D2BAA" w:rsidRDefault="00125EE9">
            <w:r>
              <w:rPr>
                <w:sz w:val="18"/>
              </w:rPr>
              <w:t>80</w:t>
            </w:r>
          </w:p>
        </w:tc>
        <w:tc>
          <w:tcPr>
            <w:tcW w:w="1247" w:type="dxa"/>
            <w:vAlign w:val="center"/>
          </w:tcPr>
          <w:p w14:paraId="30CD0D7D" w14:textId="77777777" w:rsidR="003D2BAA" w:rsidRDefault="00125EE9">
            <w:r>
              <w:rPr>
                <w:sz w:val="18"/>
              </w:rPr>
              <w:t>130</w:t>
            </w:r>
          </w:p>
        </w:tc>
        <w:tc>
          <w:tcPr>
            <w:tcW w:w="1247" w:type="dxa"/>
            <w:vAlign w:val="center"/>
          </w:tcPr>
          <w:p w14:paraId="458B2F87" w14:textId="77777777" w:rsidR="003D2BAA" w:rsidRDefault="00125EE9">
            <w:r>
              <w:rPr>
                <w:sz w:val="18"/>
              </w:rPr>
              <w:t>180</w:t>
            </w:r>
          </w:p>
        </w:tc>
        <w:tc>
          <w:tcPr>
            <w:tcW w:w="1474" w:type="dxa"/>
            <w:vAlign w:val="center"/>
          </w:tcPr>
          <w:p w14:paraId="07AB33F3" w14:textId="77777777" w:rsidR="003D2BAA" w:rsidRDefault="00125EE9">
            <w:r>
              <w:rPr>
                <w:sz w:val="18"/>
              </w:rPr>
              <w:t>420</w:t>
            </w:r>
          </w:p>
        </w:tc>
      </w:tr>
      <w:tr w:rsidR="003D2BAA" w14:paraId="38540F02" w14:textId="77777777">
        <w:trPr>
          <w:jc w:val="center"/>
        </w:trPr>
        <w:tc>
          <w:tcPr>
            <w:tcW w:w="2381" w:type="dxa"/>
            <w:vAlign w:val="center"/>
          </w:tcPr>
          <w:p w14:paraId="3D8F4FB7" w14:textId="77777777" w:rsidR="003D2BAA" w:rsidRDefault="00125EE9">
            <w:r>
              <w:rPr>
                <w:sz w:val="18"/>
              </w:rPr>
              <w:t>一般快速上市</w:t>
            </w:r>
          </w:p>
        </w:tc>
        <w:tc>
          <w:tcPr>
            <w:tcW w:w="1247" w:type="dxa"/>
            <w:vAlign w:val="center"/>
          </w:tcPr>
          <w:p w14:paraId="3DF203A9" w14:textId="77777777" w:rsidR="003D2BAA" w:rsidRDefault="00125EE9">
            <w:r>
              <w:rPr>
                <w:sz w:val="18"/>
              </w:rPr>
              <w:t>80</w:t>
            </w:r>
          </w:p>
        </w:tc>
        <w:tc>
          <w:tcPr>
            <w:tcW w:w="1247" w:type="dxa"/>
            <w:vAlign w:val="center"/>
          </w:tcPr>
          <w:p w14:paraId="08833E9E" w14:textId="77777777" w:rsidR="003D2BAA" w:rsidRDefault="00125EE9">
            <w:r>
              <w:rPr>
                <w:sz w:val="18"/>
              </w:rPr>
              <w:t>160</w:t>
            </w:r>
          </w:p>
        </w:tc>
        <w:tc>
          <w:tcPr>
            <w:tcW w:w="1247" w:type="dxa"/>
            <w:vAlign w:val="center"/>
          </w:tcPr>
          <w:p w14:paraId="2E05ED2B" w14:textId="77777777" w:rsidR="003D2BAA" w:rsidRDefault="00125EE9">
            <w:r>
              <w:rPr>
                <w:sz w:val="18"/>
              </w:rPr>
              <w:t>230</w:t>
            </w:r>
          </w:p>
        </w:tc>
        <w:tc>
          <w:tcPr>
            <w:tcW w:w="1247" w:type="dxa"/>
            <w:vAlign w:val="center"/>
          </w:tcPr>
          <w:p w14:paraId="3468662F" w14:textId="77777777" w:rsidR="003D2BAA" w:rsidRDefault="00125EE9">
            <w:r>
              <w:rPr>
                <w:sz w:val="18"/>
              </w:rPr>
              <w:t>300</w:t>
            </w:r>
          </w:p>
        </w:tc>
        <w:tc>
          <w:tcPr>
            <w:tcW w:w="1474" w:type="dxa"/>
            <w:vAlign w:val="center"/>
          </w:tcPr>
          <w:p w14:paraId="2424F191" w14:textId="77777777" w:rsidR="003D2BAA" w:rsidRDefault="00125EE9">
            <w:r>
              <w:rPr>
                <w:sz w:val="18"/>
              </w:rPr>
              <w:t>770</w:t>
            </w:r>
          </w:p>
        </w:tc>
      </w:tr>
      <w:tr w:rsidR="003D2BAA" w14:paraId="690ED13A" w14:textId="77777777">
        <w:trPr>
          <w:jc w:val="center"/>
        </w:trPr>
        <w:tc>
          <w:tcPr>
            <w:tcW w:w="2381" w:type="dxa"/>
            <w:vAlign w:val="center"/>
          </w:tcPr>
          <w:p w14:paraId="0BD09692" w14:textId="77777777" w:rsidR="003D2BAA" w:rsidRDefault="00125EE9">
            <w:r>
              <w:rPr>
                <w:sz w:val="18"/>
              </w:rPr>
              <w:t>患者積壓釋放</w:t>
            </w:r>
          </w:p>
        </w:tc>
        <w:tc>
          <w:tcPr>
            <w:tcW w:w="1247" w:type="dxa"/>
            <w:vAlign w:val="center"/>
          </w:tcPr>
          <w:p w14:paraId="5C2D2685" w14:textId="77777777" w:rsidR="003D2BAA" w:rsidRDefault="00125EE9">
            <w:r>
              <w:rPr>
                <w:sz w:val="18"/>
              </w:rPr>
              <w:t>150</w:t>
            </w:r>
          </w:p>
        </w:tc>
        <w:tc>
          <w:tcPr>
            <w:tcW w:w="1247" w:type="dxa"/>
            <w:vAlign w:val="center"/>
          </w:tcPr>
          <w:p w14:paraId="4B2BA118" w14:textId="77777777" w:rsidR="003D2BAA" w:rsidRDefault="00125EE9">
            <w:r>
              <w:rPr>
                <w:sz w:val="18"/>
              </w:rPr>
              <w:t>250</w:t>
            </w:r>
          </w:p>
        </w:tc>
        <w:tc>
          <w:tcPr>
            <w:tcW w:w="1247" w:type="dxa"/>
            <w:vAlign w:val="center"/>
          </w:tcPr>
          <w:p w14:paraId="63CFFB52" w14:textId="77777777" w:rsidR="003D2BAA" w:rsidRDefault="00125EE9">
            <w:r>
              <w:rPr>
                <w:sz w:val="18"/>
              </w:rPr>
              <w:t>320</w:t>
            </w:r>
          </w:p>
        </w:tc>
        <w:tc>
          <w:tcPr>
            <w:tcW w:w="1247" w:type="dxa"/>
            <w:vAlign w:val="center"/>
          </w:tcPr>
          <w:p w14:paraId="3CE95E51" w14:textId="77777777" w:rsidR="003D2BAA" w:rsidRDefault="00125EE9">
            <w:r>
              <w:rPr>
                <w:sz w:val="18"/>
              </w:rPr>
              <w:t>380</w:t>
            </w:r>
          </w:p>
        </w:tc>
        <w:tc>
          <w:tcPr>
            <w:tcW w:w="1474" w:type="dxa"/>
            <w:vAlign w:val="center"/>
          </w:tcPr>
          <w:p w14:paraId="5FD427FC" w14:textId="77777777" w:rsidR="003D2BAA" w:rsidRDefault="00125EE9">
            <w:r>
              <w:rPr>
                <w:sz w:val="18"/>
              </w:rPr>
              <w:t>1,100</w:t>
            </w:r>
          </w:p>
        </w:tc>
      </w:tr>
      <w:tr w:rsidR="003D2BAA" w14:paraId="72C8B341" w14:textId="77777777">
        <w:trPr>
          <w:jc w:val="center"/>
        </w:trPr>
        <w:tc>
          <w:tcPr>
            <w:tcW w:w="2381" w:type="dxa"/>
            <w:vAlign w:val="center"/>
          </w:tcPr>
          <w:p w14:paraId="787D8060" w14:textId="77777777" w:rsidR="003D2BAA" w:rsidRDefault="00125EE9">
            <w:r>
              <w:rPr>
                <w:sz w:val="18"/>
              </w:rPr>
              <w:t>超預期</w:t>
            </w:r>
            <w:r>
              <w:rPr>
                <w:sz w:val="18"/>
              </w:rPr>
              <w:t>bolus</w:t>
            </w:r>
          </w:p>
        </w:tc>
        <w:tc>
          <w:tcPr>
            <w:tcW w:w="1247" w:type="dxa"/>
            <w:vAlign w:val="center"/>
          </w:tcPr>
          <w:p w14:paraId="01B2C8B5" w14:textId="77777777" w:rsidR="003D2BAA" w:rsidRDefault="00125EE9">
            <w:r>
              <w:rPr>
                <w:sz w:val="18"/>
              </w:rPr>
              <w:t>220</w:t>
            </w:r>
          </w:p>
        </w:tc>
        <w:tc>
          <w:tcPr>
            <w:tcW w:w="1247" w:type="dxa"/>
            <w:vAlign w:val="center"/>
          </w:tcPr>
          <w:p w14:paraId="42CA7589" w14:textId="77777777" w:rsidR="003D2BAA" w:rsidRDefault="00125EE9">
            <w:r>
              <w:rPr>
                <w:sz w:val="18"/>
              </w:rPr>
              <w:t>380</w:t>
            </w:r>
          </w:p>
        </w:tc>
        <w:tc>
          <w:tcPr>
            <w:tcW w:w="1247" w:type="dxa"/>
            <w:vAlign w:val="center"/>
          </w:tcPr>
          <w:p w14:paraId="6C0BE1EF" w14:textId="77777777" w:rsidR="003D2BAA" w:rsidRDefault="00125EE9">
            <w:r>
              <w:rPr>
                <w:sz w:val="18"/>
              </w:rPr>
              <w:t>450</w:t>
            </w:r>
          </w:p>
        </w:tc>
        <w:tc>
          <w:tcPr>
            <w:tcW w:w="1247" w:type="dxa"/>
            <w:vAlign w:val="center"/>
          </w:tcPr>
          <w:p w14:paraId="1EE78483" w14:textId="77777777" w:rsidR="003D2BAA" w:rsidRDefault="00125EE9">
            <w:r>
              <w:rPr>
                <w:sz w:val="18"/>
              </w:rPr>
              <w:t>500</w:t>
            </w:r>
          </w:p>
        </w:tc>
        <w:tc>
          <w:tcPr>
            <w:tcW w:w="1474" w:type="dxa"/>
            <w:vAlign w:val="center"/>
          </w:tcPr>
          <w:p w14:paraId="32D364A4" w14:textId="77777777" w:rsidR="003D2BAA" w:rsidRDefault="00125EE9">
            <w:r>
              <w:rPr>
                <w:sz w:val="18"/>
              </w:rPr>
              <w:t>1,550</w:t>
            </w:r>
          </w:p>
        </w:tc>
      </w:tr>
    </w:tbl>
    <w:p w14:paraId="1891AFFD" w14:textId="77777777" w:rsidR="003D2BAA" w:rsidRDefault="003D2BAA"/>
    <w:p w14:paraId="28193BA0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單位：</w:t>
      </w:r>
      <w:r>
        <w:rPr>
          <w:lang w:eastAsia="zh-TW"/>
        </w:rPr>
        <w:t>US$mn</w:t>
      </w:r>
      <w:r>
        <w:rPr>
          <w:lang w:eastAsia="zh-TW"/>
        </w:rPr>
        <w:t>。若單季營收達</w:t>
      </w:r>
      <w:r>
        <w:rPr>
          <w:lang w:eastAsia="zh-TW"/>
        </w:rPr>
        <w:t>2.5</w:t>
      </w:r>
      <w:r>
        <w:rPr>
          <w:lang w:eastAsia="zh-TW"/>
        </w:rPr>
        <w:t>億美元，代表年化</w:t>
      </w:r>
      <w:r>
        <w:rPr>
          <w:lang w:eastAsia="zh-TW"/>
        </w:rPr>
        <w:t>run-rate</w:t>
      </w:r>
      <w:r>
        <w:rPr>
          <w:lang w:eastAsia="zh-TW"/>
        </w:rPr>
        <w:t>已達</w:t>
      </w:r>
      <w:r>
        <w:rPr>
          <w:lang w:eastAsia="zh-TW"/>
        </w:rPr>
        <w:t>10</w:t>
      </w:r>
      <w:r>
        <w:rPr>
          <w:lang w:eastAsia="zh-TW"/>
        </w:rPr>
        <w:t>億美元；市場通常不會等待全年累積營收正式跨越</w:t>
      </w:r>
      <w:r>
        <w:rPr>
          <w:lang w:eastAsia="zh-TW"/>
        </w:rPr>
        <w:t>10</w:t>
      </w:r>
      <w:r>
        <w:rPr>
          <w:lang w:eastAsia="zh-TW"/>
        </w:rPr>
        <w:t>億美元，便會提前重估下一年度營收與</w:t>
      </w:r>
      <w:r>
        <w:rPr>
          <w:lang w:eastAsia="zh-TW"/>
        </w:rPr>
        <w:t>peak sales</w:t>
      </w:r>
      <w:r>
        <w:rPr>
          <w:lang w:eastAsia="zh-TW"/>
        </w:rPr>
        <w:t>。</w:t>
      </w:r>
    </w:p>
    <w:p w14:paraId="6B11443C" w14:textId="77777777" w:rsidR="003D2BAA" w:rsidRDefault="00125EE9">
      <w:pPr>
        <w:pStyle w:val="1"/>
        <w:rPr>
          <w:lang w:eastAsia="zh-TW"/>
        </w:rPr>
      </w:pPr>
      <w:r>
        <w:rPr>
          <w:lang w:eastAsia="zh-TW"/>
        </w:rPr>
        <w:t>六、仁新的季度股價路徑</w:t>
      </w:r>
    </w:p>
    <w:p w14:paraId="1073AD35" w14:textId="77777777" w:rsidR="003D2BAA" w:rsidRDefault="00125EE9">
      <w:pPr>
        <w:spacing w:after="100" w:line="300" w:lineRule="auto"/>
      </w:pPr>
      <w:r>
        <w:t>2026Q3</w:t>
      </w:r>
      <w:r>
        <w:t>的主要催化為</w:t>
      </w:r>
      <w:r>
        <w:t>FDA filing acceptance</w:t>
      </w:r>
      <w:r>
        <w:t>、</w:t>
      </w:r>
      <w:r>
        <w:t>Priority Review/PDUFA</w:t>
      </w:r>
      <w:r>
        <w:t>與商業化</w:t>
      </w:r>
      <w:r>
        <w:t>survey</w:t>
      </w:r>
      <w:r>
        <w:t>。若</w:t>
      </w:r>
      <w:r>
        <w:t>identified patient universe</w:t>
      </w:r>
      <w:r>
        <w:t>超過</w:t>
      </w:r>
      <w:r>
        <w:t>3,000</w:t>
      </w:r>
      <w:r>
        <w:t>人，估值中樞可由</w:t>
      </w:r>
      <w:r>
        <w:t>750</w:t>
      </w:r>
      <w:r>
        <w:t>元上移至</w:t>
      </w:r>
      <w:r>
        <w:t>850</w:t>
      </w:r>
      <w:r>
        <w:t>至</w:t>
      </w:r>
      <w:r>
        <w:t>900</w:t>
      </w:r>
      <w:r>
        <w:t>元；若超過</w:t>
      </w:r>
      <w:r>
        <w:t>5,000</w:t>
      </w:r>
      <w:r>
        <w:t>人，市場將開始交易首年營收打敗管理層預期的可能性。</w:t>
      </w:r>
    </w:p>
    <w:p w14:paraId="40C88406" w14:textId="77777777" w:rsidR="003D2BAA" w:rsidRDefault="00125EE9">
      <w:pPr>
        <w:spacing w:after="100" w:line="300" w:lineRule="auto"/>
      </w:pPr>
      <w:r>
        <w:lastRenderedPageBreak/>
        <w:t>2026Q4</w:t>
      </w:r>
      <w:r>
        <w:t>將進入</w:t>
      </w:r>
      <w:r>
        <w:t>approval forward pricing</w:t>
      </w:r>
      <w:r>
        <w:t>階段。若沒有重大</w:t>
      </w:r>
      <w:r>
        <w:t>FDA</w:t>
      </w:r>
      <w:r>
        <w:t>補件、</w:t>
      </w:r>
      <w:r>
        <w:t>CMC</w:t>
      </w:r>
      <w:r>
        <w:t>或安全性問題，市場對核准機率的折價將快速縮小，基準中樞為</w:t>
      </w:r>
      <w:r>
        <w:t>900</w:t>
      </w:r>
      <w:r>
        <w:t>元。</w:t>
      </w:r>
    </w:p>
    <w:p w14:paraId="677DB5BD" w14:textId="77777777" w:rsidR="003D2BAA" w:rsidRDefault="00125EE9">
      <w:pPr>
        <w:spacing w:after="100" w:line="300" w:lineRule="auto"/>
      </w:pPr>
      <w:r>
        <w:t>2027Q1</w:t>
      </w:r>
      <w:r>
        <w:t>若完成美國核准，</w:t>
      </w:r>
      <w:r>
        <w:t>final label</w:t>
      </w:r>
      <w:r>
        <w:t>、</w:t>
      </w:r>
      <w:r>
        <w:t>PRV</w:t>
      </w:r>
      <w:r>
        <w:t>與</w:t>
      </w:r>
      <w:r>
        <w:t>commercial launch</w:t>
      </w:r>
      <w:r>
        <w:t>同時揭露。若</w:t>
      </w:r>
      <w:r>
        <w:t>label</w:t>
      </w:r>
      <w:r>
        <w:t>為</w:t>
      </w:r>
      <w:r>
        <w:t>12</w:t>
      </w:r>
      <w:r>
        <w:t>歲以上廣泛</w:t>
      </w:r>
      <w:r>
        <w:t>STGD1</w:t>
      </w:r>
      <w:r>
        <w:t>，</w:t>
      </w:r>
      <w:r>
        <w:t>launch-ready patient pool</w:t>
      </w:r>
      <w:r>
        <w:t>將被重新上修，估值中樞為</w:t>
      </w:r>
      <w:r>
        <w:t>1,250</w:t>
      </w:r>
      <w:r>
        <w:t>元，樂觀區間可達</w:t>
      </w:r>
      <w:r>
        <w:t>1,500</w:t>
      </w:r>
      <w:r>
        <w:t>至</w:t>
      </w:r>
      <w:r>
        <w:t>1,600</w:t>
      </w:r>
      <w:r>
        <w:t>元。</w:t>
      </w:r>
    </w:p>
    <w:p w14:paraId="5CB21283" w14:textId="77777777" w:rsidR="003D2BAA" w:rsidRDefault="00125EE9">
      <w:pPr>
        <w:spacing w:after="100" w:line="300" w:lineRule="auto"/>
        <w:rPr>
          <w:lang w:eastAsia="zh-TW"/>
        </w:rPr>
      </w:pPr>
      <w:r>
        <w:t>2027Q2</w:t>
      </w:r>
      <w:r>
        <w:t>是第一個真正的</w:t>
      </w:r>
      <w:r>
        <w:t>commercial proof</w:t>
      </w:r>
      <w:r>
        <w:t>季度。</w:t>
      </w:r>
      <w:r>
        <w:rPr>
          <w:lang w:eastAsia="zh-TW"/>
        </w:rPr>
        <w:t>第一份完整</w:t>
      </w:r>
      <w:r>
        <w:rPr>
          <w:lang w:eastAsia="zh-TW"/>
        </w:rPr>
        <w:t>Tinlarebant</w:t>
      </w:r>
      <w:r>
        <w:rPr>
          <w:lang w:eastAsia="zh-TW"/>
        </w:rPr>
        <w:t>銷售若達</w:t>
      </w:r>
      <w:r>
        <w:rPr>
          <w:lang w:eastAsia="zh-TW"/>
        </w:rPr>
        <w:t>1.2</w:t>
      </w:r>
      <w:r>
        <w:rPr>
          <w:lang w:eastAsia="zh-TW"/>
        </w:rPr>
        <w:t>億至</w:t>
      </w:r>
      <w:r>
        <w:rPr>
          <w:lang w:eastAsia="zh-TW"/>
        </w:rPr>
        <w:t>1.8</w:t>
      </w:r>
      <w:r>
        <w:rPr>
          <w:lang w:eastAsia="zh-TW"/>
        </w:rPr>
        <w:t>億美元，仁新估值中樞上移至</w:t>
      </w:r>
      <w:r>
        <w:rPr>
          <w:lang w:eastAsia="zh-TW"/>
        </w:rPr>
        <w:t>1,580</w:t>
      </w:r>
      <w:r>
        <w:rPr>
          <w:lang w:eastAsia="zh-TW"/>
        </w:rPr>
        <w:t>元。此時市場重估的核心不再是</w:t>
      </w:r>
      <w:r>
        <w:rPr>
          <w:lang w:eastAsia="zh-TW"/>
        </w:rPr>
        <w:t>FDA</w:t>
      </w:r>
      <w:r>
        <w:rPr>
          <w:lang w:eastAsia="zh-TW"/>
        </w:rPr>
        <w:t>，而是患者確實進藥、</w:t>
      </w:r>
      <w:r>
        <w:rPr>
          <w:lang w:eastAsia="zh-TW"/>
        </w:rPr>
        <w:t>payer</w:t>
      </w:r>
      <w:r>
        <w:rPr>
          <w:lang w:eastAsia="zh-TW"/>
        </w:rPr>
        <w:t>確實付費、</w:t>
      </w:r>
      <w:r>
        <w:rPr>
          <w:lang w:eastAsia="zh-TW"/>
        </w:rPr>
        <w:t>prevalent backlog</w:t>
      </w:r>
      <w:r>
        <w:rPr>
          <w:lang w:eastAsia="zh-TW"/>
        </w:rPr>
        <w:t>確實轉換。</w:t>
      </w:r>
    </w:p>
    <w:p w14:paraId="367D1949" w14:textId="77777777" w:rsidR="003D2BAA" w:rsidRDefault="00125EE9">
      <w:pPr>
        <w:spacing w:after="100" w:line="300" w:lineRule="auto"/>
      </w:pPr>
      <w:r>
        <w:rPr>
          <w:lang w:eastAsia="zh-TW"/>
        </w:rPr>
        <w:t>2027Q3</w:t>
      </w:r>
      <w:r>
        <w:rPr>
          <w:lang w:eastAsia="zh-TW"/>
        </w:rPr>
        <w:t>若單季營收進入</w:t>
      </w:r>
      <w:r>
        <w:rPr>
          <w:lang w:eastAsia="zh-TW"/>
        </w:rPr>
        <w:t>2.5</w:t>
      </w:r>
      <w:r>
        <w:rPr>
          <w:lang w:eastAsia="zh-TW"/>
        </w:rPr>
        <w:t>億至</w:t>
      </w:r>
      <w:r>
        <w:rPr>
          <w:lang w:eastAsia="zh-TW"/>
        </w:rPr>
        <w:t>3.5</w:t>
      </w:r>
      <w:r>
        <w:rPr>
          <w:lang w:eastAsia="zh-TW"/>
        </w:rPr>
        <w:t>億美元，市場將直接年化至</w:t>
      </w:r>
      <w:r>
        <w:rPr>
          <w:lang w:eastAsia="zh-TW"/>
        </w:rPr>
        <w:t>10</w:t>
      </w:r>
      <w:r>
        <w:rPr>
          <w:lang w:eastAsia="zh-TW"/>
        </w:rPr>
        <w:t>億至</w:t>
      </w:r>
      <w:r>
        <w:rPr>
          <w:lang w:eastAsia="zh-TW"/>
        </w:rPr>
        <w:t>14</w:t>
      </w:r>
      <w:r>
        <w:rPr>
          <w:lang w:eastAsia="zh-TW"/>
        </w:rPr>
        <w:t>億美元</w:t>
      </w:r>
      <w:r>
        <w:rPr>
          <w:lang w:eastAsia="zh-TW"/>
        </w:rPr>
        <w:t>run-rate</w:t>
      </w:r>
      <w:r>
        <w:rPr>
          <w:lang w:eastAsia="zh-TW"/>
        </w:rPr>
        <w:t>，仁新估值中樞提高至</w:t>
      </w:r>
      <w:r>
        <w:rPr>
          <w:lang w:eastAsia="zh-TW"/>
        </w:rPr>
        <w:t>1,850</w:t>
      </w:r>
      <w:r>
        <w:rPr>
          <w:lang w:eastAsia="zh-TW"/>
        </w:rPr>
        <w:t>元。</w:t>
      </w:r>
      <w:r>
        <w:t>2027Q4</w:t>
      </w:r>
      <w:r>
        <w:t>若首四季營收落在</w:t>
      </w:r>
      <w:r>
        <w:t>7.5</w:t>
      </w:r>
      <w:r>
        <w:t>億至</w:t>
      </w:r>
      <w:r>
        <w:t>10</w:t>
      </w:r>
      <w:r>
        <w:t>億美元以上，</w:t>
      </w:r>
      <w:r>
        <w:t>STGD1</w:t>
      </w:r>
      <w:r>
        <w:t>將由單一新藥轉為</w:t>
      </w:r>
      <w:r>
        <w:t>blockbuster rare-disease franchise</w:t>
      </w:r>
      <w:r>
        <w:t>，基準估值中樞</w:t>
      </w:r>
      <w:r>
        <w:t>2,200</w:t>
      </w:r>
      <w:r>
        <w:t>元。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3402"/>
      </w:tblGrid>
      <w:tr w:rsidR="003D2BAA" w14:paraId="1E854CA2" w14:textId="77777777">
        <w:trPr>
          <w:jc w:val="center"/>
        </w:trPr>
        <w:tc>
          <w:tcPr>
            <w:tcW w:w="4535" w:type="dxa"/>
            <w:shd w:val="clear" w:color="auto" w:fill="1F4E78"/>
            <w:vAlign w:val="center"/>
          </w:tcPr>
          <w:p w14:paraId="783FDC5C" w14:textId="77777777" w:rsidR="003D2BAA" w:rsidRDefault="00125EE9">
            <w:r>
              <w:rPr>
                <w:b/>
                <w:color w:val="FFFFFF"/>
                <w:sz w:val="18"/>
              </w:rPr>
              <w:t>2027</w:t>
            </w:r>
            <w:r>
              <w:rPr>
                <w:b/>
                <w:color w:val="FFFFFF"/>
                <w:sz w:val="18"/>
              </w:rPr>
              <w:t>首年</w:t>
            </w:r>
            <w:r>
              <w:rPr>
                <w:b/>
                <w:color w:val="FFFFFF"/>
                <w:sz w:val="18"/>
              </w:rPr>
              <w:t>Tinlarebant</w:t>
            </w:r>
            <w:r>
              <w:rPr>
                <w:b/>
                <w:color w:val="FFFFFF"/>
                <w:sz w:val="18"/>
              </w:rPr>
              <w:t>趨勢</w:t>
            </w:r>
          </w:p>
        </w:tc>
        <w:tc>
          <w:tcPr>
            <w:tcW w:w="3402" w:type="dxa"/>
            <w:shd w:val="clear" w:color="auto" w:fill="1F4E78"/>
            <w:vAlign w:val="center"/>
          </w:tcPr>
          <w:p w14:paraId="44F5A344" w14:textId="77777777" w:rsidR="003D2BAA" w:rsidRDefault="00125EE9">
            <w:r>
              <w:rPr>
                <w:b/>
                <w:color w:val="FFFFFF"/>
                <w:sz w:val="18"/>
              </w:rPr>
              <w:t>2027Q4</w:t>
            </w:r>
            <w:r>
              <w:rPr>
                <w:b/>
                <w:color w:val="FFFFFF"/>
                <w:sz w:val="18"/>
              </w:rPr>
              <w:t>仁新合理價</w:t>
            </w:r>
          </w:p>
        </w:tc>
      </w:tr>
      <w:tr w:rsidR="003D2BAA" w14:paraId="7BAB7965" w14:textId="77777777">
        <w:trPr>
          <w:jc w:val="center"/>
        </w:trPr>
        <w:tc>
          <w:tcPr>
            <w:tcW w:w="4535" w:type="dxa"/>
            <w:vAlign w:val="center"/>
          </w:tcPr>
          <w:p w14:paraId="7AD9B006" w14:textId="77777777" w:rsidR="003D2BAA" w:rsidRDefault="00125EE9">
            <w:r>
              <w:rPr>
                <w:sz w:val="18"/>
              </w:rPr>
              <w:t>&lt;US$500m</w:t>
            </w:r>
          </w:p>
        </w:tc>
        <w:tc>
          <w:tcPr>
            <w:tcW w:w="3402" w:type="dxa"/>
            <w:vAlign w:val="center"/>
          </w:tcPr>
          <w:p w14:paraId="0C42D9D5" w14:textId="77777777" w:rsidR="003D2BAA" w:rsidRDefault="00125EE9">
            <w:r>
              <w:rPr>
                <w:sz w:val="18"/>
              </w:rPr>
              <w:t>1,000–1,300</w:t>
            </w:r>
          </w:p>
        </w:tc>
      </w:tr>
      <w:tr w:rsidR="003D2BAA" w14:paraId="6899C5F4" w14:textId="77777777">
        <w:trPr>
          <w:jc w:val="center"/>
        </w:trPr>
        <w:tc>
          <w:tcPr>
            <w:tcW w:w="4535" w:type="dxa"/>
            <w:vAlign w:val="center"/>
          </w:tcPr>
          <w:p w14:paraId="7C5D20A8" w14:textId="77777777" w:rsidR="003D2BAA" w:rsidRDefault="00125EE9">
            <w:r>
              <w:rPr>
                <w:sz w:val="18"/>
              </w:rPr>
              <w:t>US$500–750m</w:t>
            </w:r>
          </w:p>
        </w:tc>
        <w:tc>
          <w:tcPr>
            <w:tcW w:w="3402" w:type="dxa"/>
            <w:vAlign w:val="center"/>
          </w:tcPr>
          <w:p w14:paraId="1BBACEBC" w14:textId="77777777" w:rsidR="003D2BAA" w:rsidRDefault="00125EE9">
            <w:r>
              <w:rPr>
                <w:sz w:val="18"/>
              </w:rPr>
              <w:t>1,300–1,700</w:t>
            </w:r>
          </w:p>
        </w:tc>
      </w:tr>
      <w:tr w:rsidR="003D2BAA" w14:paraId="59C62457" w14:textId="77777777">
        <w:trPr>
          <w:jc w:val="center"/>
        </w:trPr>
        <w:tc>
          <w:tcPr>
            <w:tcW w:w="4535" w:type="dxa"/>
            <w:vAlign w:val="center"/>
          </w:tcPr>
          <w:p w14:paraId="6E4C22AA" w14:textId="77777777" w:rsidR="003D2BAA" w:rsidRDefault="00125EE9">
            <w:r>
              <w:rPr>
                <w:sz w:val="18"/>
              </w:rPr>
              <w:t>US$750m–1.0bn</w:t>
            </w:r>
          </w:p>
        </w:tc>
        <w:tc>
          <w:tcPr>
            <w:tcW w:w="3402" w:type="dxa"/>
            <w:vAlign w:val="center"/>
          </w:tcPr>
          <w:p w14:paraId="79DACBB7" w14:textId="77777777" w:rsidR="003D2BAA" w:rsidRDefault="00125EE9">
            <w:r>
              <w:rPr>
                <w:sz w:val="18"/>
              </w:rPr>
              <w:t>1,700–2,300</w:t>
            </w:r>
          </w:p>
        </w:tc>
      </w:tr>
      <w:tr w:rsidR="003D2BAA" w14:paraId="4979840A" w14:textId="77777777">
        <w:trPr>
          <w:jc w:val="center"/>
        </w:trPr>
        <w:tc>
          <w:tcPr>
            <w:tcW w:w="4535" w:type="dxa"/>
            <w:vAlign w:val="center"/>
          </w:tcPr>
          <w:p w14:paraId="216CF6FF" w14:textId="77777777" w:rsidR="003D2BAA" w:rsidRDefault="00125EE9">
            <w:r>
              <w:rPr>
                <w:sz w:val="18"/>
              </w:rPr>
              <w:t>US$1.0–1.3bn</w:t>
            </w:r>
          </w:p>
        </w:tc>
        <w:tc>
          <w:tcPr>
            <w:tcW w:w="3402" w:type="dxa"/>
            <w:vAlign w:val="center"/>
          </w:tcPr>
          <w:p w14:paraId="6C4C62DC" w14:textId="77777777" w:rsidR="003D2BAA" w:rsidRDefault="00125EE9">
            <w:r>
              <w:rPr>
                <w:sz w:val="18"/>
              </w:rPr>
              <w:t>2,200–3,000</w:t>
            </w:r>
          </w:p>
        </w:tc>
      </w:tr>
      <w:tr w:rsidR="003D2BAA" w14:paraId="325199FF" w14:textId="77777777">
        <w:trPr>
          <w:jc w:val="center"/>
        </w:trPr>
        <w:tc>
          <w:tcPr>
            <w:tcW w:w="4535" w:type="dxa"/>
            <w:vAlign w:val="center"/>
          </w:tcPr>
          <w:p w14:paraId="55CB3FAF" w14:textId="77777777" w:rsidR="003D2BAA" w:rsidRDefault="00125EE9">
            <w:r>
              <w:rPr>
                <w:sz w:val="18"/>
              </w:rPr>
              <w:t>&gt;US$1.3bn</w:t>
            </w:r>
          </w:p>
        </w:tc>
        <w:tc>
          <w:tcPr>
            <w:tcW w:w="3402" w:type="dxa"/>
            <w:vAlign w:val="center"/>
          </w:tcPr>
          <w:p w14:paraId="7157046C" w14:textId="77777777" w:rsidR="003D2BAA" w:rsidRDefault="00125EE9">
            <w:r>
              <w:rPr>
                <w:sz w:val="18"/>
              </w:rPr>
              <w:t>3,000+</w:t>
            </w:r>
          </w:p>
        </w:tc>
      </w:tr>
    </w:tbl>
    <w:p w14:paraId="7F8DA1BA" w14:textId="77777777" w:rsidR="003D2BAA" w:rsidRDefault="003D2BAA"/>
    <w:p w14:paraId="77825175" w14:textId="77777777" w:rsidR="003D2BAA" w:rsidRDefault="00125EE9">
      <w:pPr>
        <w:pStyle w:val="1"/>
        <w:rPr>
          <w:lang w:eastAsia="zh-TW"/>
        </w:rPr>
      </w:pPr>
      <w:r>
        <w:rPr>
          <w:lang w:eastAsia="zh-TW"/>
        </w:rPr>
        <w:t>七、仁新</w:t>
      </w:r>
      <w:r>
        <w:rPr>
          <w:lang w:eastAsia="zh-TW"/>
        </w:rPr>
        <w:t>EPS</w:t>
      </w:r>
      <w:r>
        <w:rPr>
          <w:lang w:eastAsia="zh-TW"/>
        </w:rPr>
        <w:t>的快速驗證方法</w:t>
      </w:r>
    </w:p>
    <w:p w14:paraId="5D7BDD21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Tinlarebant</w:t>
      </w:r>
      <w:r>
        <w:rPr>
          <w:lang w:eastAsia="zh-TW"/>
        </w:rPr>
        <w:t>上市後，應以</w:t>
      </w:r>
      <w:r>
        <w:rPr>
          <w:lang w:eastAsia="zh-TW"/>
        </w:rPr>
        <w:t>BLTE</w:t>
      </w:r>
      <w:r>
        <w:rPr>
          <w:lang w:eastAsia="zh-TW"/>
        </w:rPr>
        <w:t>實際淨利直接估算仁新歸屬母公司獲利，而不是僅用營收乘成熟期淨利率。以仁新持有</w:t>
      </w:r>
      <w:r>
        <w:rPr>
          <w:lang w:eastAsia="zh-TW"/>
        </w:rPr>
        <w:t>Belite</w:t>
      </w:r>
      <w:r>
        <w:rPr>
          <w:lang w:eastAsia="zh-TW"/>
        </w:rPr>
        <w:t>約</w:t>
      </w:r>
      <w:r>
        <w:rPr>
          <w:lang w:eastAsia="zh-TW"/>
        </w:rPr>
        <w:t>42.37%</w:t>
      </w:r>
      <w:r>
        <w:rPr>
          <w:lang w:eastAsia="zh-TW"/>
        </w:rPr>
        <w:t>、匯率</w:t>
      </w:r>
      <w:r>
        <w:rPr>
          <w:lang w:eastAsia="zh-TW"/>
        </w:rPr>
        <w:t>30</w:t>
      </w:r>
      <w:r>
        <w:rPr>
          <w:lang w:eastAsia="zh-TW"/>
        </w:rPr>
        <w:t>元、拆股前</w:t>
      </w:r>
      <w:r>
        <w:rPr>
          <w:lang w:eastAsia="zh-TW"/>
        </w:rPr>
        <w:t>8,292</w:t>
      </w:r>
      <w:r>
        <w:rPr>
          <w:lang w:eastAsia="zh-TW"/>
        </w:rPr>
        <w:t>萬股粗估，</w:t>
      </w:r>
      <w:r>
        <w:rPr>
          <w:lang w:eastAsia="zh-TW"/>
        </w:rPr>
        <w:t>BLTE</w:t>
      </w:r>
      <w:r>
        <w:rPr>
          <w:lang w:eastAsia="zh-TW"/>
        </w:rPr>
        <w:t>每</w:t>
      </w:r>
      <w:r>
        <w:rPr>
          <w:lang w:eastAsia="zh-TW"/>
        </w:rPr>
        <w:t>1</w:t>
      </w:r>
      <w:r>
        <w:rPr>
          <w:lang w:eastAsia="zh-TW"/>
        </w:rPr>
        <w:t>億美元淨利約可貢獻仁新拆股前</w:t>
      </w:r>
      <w:r>
        <w:rPr>
          <w:lang w:eastAsia="zh-TW"/>
        </w:rPr>
        <w:t>EPS 15.3</w:t>
      </w:r>
      <w:r>
        <w:rPr>
          <w:lang w:eastAsia="zh-TW"/>
        </w:rPr>
        <w:t>元。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4422"/>
      </w:tblGrid>
      <w:tr w:rsidR="003D2BAA" w14:paraId="363D17AB" w14:textId="77777777">
        <w:trPr>
          <w:jc w:val="center"/>
        </w:trPr>
        <w:tc>
          <w:tcPr>
            <w:tcW w:w="3515" w:type="dxa"/>
            <w:shd w:val="clear" w:color="auto" w:fill="1F4E78"/>
            <w:vAlign w:val="center"/>
          </w:tcPr>
          <w:p w14:paraId="73DF1CEB" w14:textId="77777777" w:rsidR="003D2BAA" w:rsidRDefault="00125EE9">
            <w:r>
              <w:rPr>
                <w:b/>
                <w:color w:val="FFFFFF"/>
                <w:sz w:val="18"/>
              </w:rPr>
              <w:t>BLTE</w:t>
            </w:r>
            <w:r>
              <w:rPr>
                <w:b/>
                <w:color w:val="FFFFFF"/>
                <w:sz w:val="18"/>
              </w:rPr>
              <w:t>淨利</w:t>
            </w:r>
          </w:p>
        </w:tc>
        <w:tc>
          <w:tcPr>
            <w:tcW w:w="4422" w:type="dxa"/>
            <w:shd w:val="clear" w:color="auto" w:fill="1F4E78"/>
            <w:vAlign w:val="center"/>
          </w:tcPr>
          <w:p w14:paraId="51654CB8" w14:textId="77777777" w:rsidR="003D2BAA" w:rsidRDefault="00125EE9">
            <w:pPr>
              <w:rPr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仁新拆股前</w:t>
            </w:r>
            <w:r>
              <w:rPr>
                <w:b/>
                <w:color w:val="FFFFFF"/>
                <w:sz w:val="18"/>
                <w:lang w:eastAsia="zh-TW"/>
              </w:rPr>
              <w:t>EPS</w:t>
            </w:r>
            <w:r>
              <w:rPr>
                <w:b/>
                <w:color w:val="FFFFFF"/>
                <w:sz w:val="18"/>
                <w:lang w:eastAsia="zh-TW"/>
              </w:rPr>
              <w:t>貢獻</w:t>
            </w:r>
          </w:p>
        </w:tc>
      </w:tr>
      <w:tr w:rsidR="003D2BAA" w14:paraId="0402C793" w14:textId="77777777">
        <w:trPr>
          <w:jc w:val="center"/>
        </w:trPr>
        <w:tc>
          <w:tcPr>
            <w:tcW w:w="3515" w:type="dxa"/>
            <w:vAlign w:val="center"/>
          </w:tcPr>
          <w:p w14:paraId="60C1D961" w14:textId="77777777" w:rsidR="003D2BAA" w:rsidRDefault="00125EE9">
            <w:r>
              <w:rPr>
                <w:sz w:val="18"/>
              </w:rPr>
              <w:t>US$25m</w:t>
            </w:r>
          </w:p>
        </w:tc>
        <w:tc>
          <w:tcPr>
            <w:tcW w:w="4422" w:type="dxa"/>
            <w:vAlign w:val="center"/>
          </w:tcPr>
          <w:p w14:paraId="07BD4B6A" w14:textId="77777777" w:rsidR="003D2BAA" w:rsidRDefault="00125EE9">
            <w:r>
              <w:rPr>
                <w:sz w:val="18"/>
              </w:rPr>
              <w:t>3.8</w:t>
            </w:r>
            <w:r>
              <w:rPr>
                <w:sz w:val="18"/>
              </w:rPr>
              <w:t>元</w:t>
            </w:r>
          </w:p>
        </w:tc>
      </w:tr>
      <w:tr w:rsidR="003D2BAA" w14:paraId="2DF83061" w14:textId="77777777">
        <w:trPr>
          <w:jc w:val="center"/>
        </w:trPr>
        <w:tc>
          <w:tcPr>
            <w:tcW w:w="3515" w:type="dxa"/>
            <w:vAlign w:val="center"/>
          </w:tcPr>
          <w:p w14:paraId="79AF105D" w14:textId="77777777" w:rsidR="003D2BAA" w:rsidRDefault="00125EE9">
            <w:r>
              <w:rPr>
                <w:sz w:val="18"/>
              </w:rPr>
              <w:t>US$50m</w:t>
            </w:r>
          </w:p>
        </w:tc>
        <w:tc>
          <w:tcPr>
            <w:tcW w:w="4422" w:type="dxa"/>
            <w:vAlign w:val="center"/>
          </w:tcPr>
          <w:p w14:paraId="4C13C84E" w14:textId="77777777" w:rsidR="003D2BAA" w:rsidRDefault="00125EE9">
            <w:r>
              <w:rPr>
                <w:sz w:val="18"/>
              </w:rPr>
              <w:t>7.7</w:t>
            </w:r>
            <w:r>
              <w:rPr>
                <w:sz w:val="18"/>
              </w:rPr>
              <w:t>元</w:t>
            </w:r>
          </w:p>
        </w:tc>
      </w:tr>
      <w:tr w:rsidR="003D2BAA" w14:paraId="4B28D99D" w14:textId="77777777">
        <w:trPr>
          <w:jc w:val="center"/>
        </w:trPr>
        <w:tc>
          <w:tcPr>
            <w:tcW w:w="3515" w:type="dxa"/>
            <w:vAlign w:val="center"/>
          </w:tcPr>
          <w:p w14:paraId="2564BD20" w14:textId="77777777" w:rsidR="003D2BAA" w:rsidRDefault="00125EE9">
            <w:r>
              <w:rPr>
                <w:sz w:val="18"/>
              </w:rPr>
              <w:t>US$100m</w:t>
            </w:r>
          </w:p>
        </w:tc>
        <w:tc>
          <w:tcPr>
            <w:tcW w:w="4422" w:type="dxa"/>
            <w:vAlign w:val="center"/>
          </w:tcPr>
          <w:p w14:paraId="24B83DD5" w14:textId="77777777" w:rsidR="003D2BAA" w:rsidRDefault="00125EE9">
            <w:r>
              <w:rPr>
                <w:sz w:val="18"/>
              </w:rPr>
              <w:t>15.3</w:t>
            </w:r>
            <w:r>
              <w:rPr>
                <w:sz w:val="18"/>
              </w:rPr>
              <w:t>元</w:t>
            </w:r>
          </w:p>
        </w:tc>
      </w:tr>
      <w:tr w:rsidR="003D2BAA" w14:paraId="35437B15" w14:textId="77777777">
        <w:trPr>
          <w:jc w:val="center"/>
        </w:trPr>
        <w:tc>
          <w:tcPr>
            <w:tcW w:w="3515" w:type="dxa"/>
            <w:vAlign w:val="center"/>
          </w:tcPr>
          <w:p w14:paraId="79312F94" w14:textId="77777777" w:rsidR="003D2BAA" w:rsidRDefault="00125EE9">
            <w:r>
              <w:rPr>
                <w:sz w:val="18"/>
              </w:rPr>
              <w:t>US$200m</w:t>
            </w:r>
          </w:p>
        </w:tc>
        <w:tc>
          <w:tcPr>
            <w:tcW w:w="4422" w:type="dxa"/>
            <w:vAlign w:val="center"/>
          </w:tcPr>
          <w:p w14:paraId="6EFB2EE8" w14:textId="77777777" w:rsidR="003D2BAA" w:rsidRDefault="00125EE9">
            <w:r>
              <w:rPr>
                <w:sz w:val="18"/>
              </w:rPr>
              <w:t>30.7</w:t>
            </w:r>
            <w:r>
              <w:rPr>
                <w:sz w:val="18"/>
              </w:rPr>
              <w:t>元</w:t>
            </w:r>
          </w:p>
        </w:tc>
      </w:tr>
      <w:tr w:rsidR="003D2BAA" w14:paraId="650C6BAF" w14:textId="77777777">
        <w:trPr>
          <w:jc w:val="center"/>
        </w:trPr>
        <w:tc>
          <w:tcPr>
            <w:tcW w:w="3515" w:type="dxa"/>
            <w:vAlign w:val="center"/>
          </w:tcPr>
          <w:p w14:paraId="78D5B7C2" w14:textId="77777777" w:rsidR="003D2BAA" w:rsidRDefault="00125EE9">
            <w:r>
              <w:rPr>
                <w:sz w:val="18"/>
              </w:rPr>
              <w:t>US$300m</w:t>
            </w:r>
          </w:p>
        </w:tc>
        <w:tc>
          <w:tcPr>
            <w:tcW w:w="4422" w:type="dxa"/>
            <w:vAlign w:val="center"/>
          </w:tcPr>
          <w:p w14:paraId="39F7733B" w14:textId="77777777" w:rsidR="003D2BAA" w:rsidRDefault="00125EE9">
            <w:r>
              <w:rPr>
                <w:sz w:val="18"/>
              </w:rPr>
              <w:t>46.0</w:t>
            </w:r>
            <w:r>
              <w:rPr>
                <w:sz w:val="18"/>
              </w:rPr>
              <w:t>元</w:t>
            </w:r>
          </w:p>
        </w:tc>
      </w:tr>
      <w:tr w:rsidR="003D2BAA" w14:paraId="4CFFA2E7" w14:textId="77777777">
        <w:trPr>
          <w:jc w:val="center"/>
        </w:trPr>
        <w:tc>
          <w:tcPr>
            <w:tcW w:w="3515" w:type="dxa"/>
            <w:vAlign w:val="center"/>
          </w:tcPr>
          <w:p w14:paraId="288BFCD4" w14:textId="77777777" w:rsidR="003D2BAA" w:rsidRDefault="00125EE9">
            <w:r>
              <w:rPr>
                <w:sz w:val="18"/>
              </w:rPr>
              <w:t>US$400m</w:t>
            </w:r>
          </w:p>
        </w:tc>
        <w:tc>
          <w:tcPr>
            <w:tcW w:w="4422" w:type="dxa"/>
            <w:vAlign w:val="center"/>
          </w:tcPr>
          <w:p w14:paraId="1D6F2C35" w14:textId="77777777" w:rsidR="003D2BAA" w:rsidRDefault="00125EE9">
            <w:r>
              <w:rPr>
                <w:sz w:val="18"/>
              </w:rPr>
              <w:t>61.3</w:t>
            </w:r>
            <w:r>
              <w:rPr>
                <w:sz w:val="18"/>
              </w:rPr>
              <w:t>元</w:t>
            </w:r>
          </w:p>
        </w:tc>
      </w:tr>
    </w:tbl>
    <w:p w14:paraId="061953DC" w14:textId="77777777" w:rsidR="003D2BAA" w:rsidRDefault="003D2BAA"/>
    <w:p w14:paraId="14B2CD88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lastRenderedPageBreak/>
        <w:t>首四個商業化季度的淨利率不宜直接套用</w:t>
      </w:r>
      <w:r>
        <w:rPr>
          <w:lang w:eastAsia="zh-TW"/>
        </w:rPr>
        <w:t>40%</w:t>
      </w:r>
      <w:r>
        <w:rPr>
          <w:lang w:eastAsia="zh-TW"/>
        </w:rPr>
        <w:t>成熟期假設。基準應採</w:t>
      </w:r>
      <w:r>
        <w:rPr>
          <w:lang w:eastAsia="zh-TW"/>
        </w:rPr>
        <w:t>20%</w:t>
      </w:r>
      <w:r>
        <w:rPr>
          <w:lang w:eastAsia="zh-TW"/>
        </w:rPr>
        <w:t>至</w:t>
      </w:r>
      <w:r>
        <w:rPr>
          <w:lang w:eastAsia="zh-TW"/>
        </w:rPr>
        <w:t>30%</w:t>
      </w:r>
      <w:r>
        <w:rPr>
          <w:lang w:eastAsia="zh-TW"/>
        </w:rPr>
        <w:t>的</w:t>
      </w:r>
      <w:r>
        <w:rPr>
          <w:lang w:eastAsia="zh-TW"/>
        </w:rPr>
        <w:t>launch-stage net margin</w:t>
      </w:r>
      <w:r>
        <w:rPr>
          <w:lang w:eastAsia="zh-TW"/>
        </w:rPr>
        <w:t>；當營收規模放大、銷售與管理平台固定成本被稀釋後，成熟期</w:t>
      </w:r>
      <w:r>
        <w:rPr>
          <w:lang w:eastAsia="zh-TW"/>
        </w:rPr>
        <w:t>38%</w:t>
      </w:r>
      <w:r>
        <w:rPr>
          <w:lang w:eastAsia="zh-TW"/>
        </w:rPr>
        <w:t>至</w:t>
      </w:r>
      <w:r>
        <w:rPr>
          <w:lang w:eastAsia="zh-TW"/>
        </w:rPr>
        <w:t>42% GAAP</w:t>
      </w:r>
      <w:r>
        <w:rPr>
          <w:lang w:eastAsia="zh-TW"/>
        </w:rPr>
        <w:t>淨利率具有合理性。</w:t>
      </w:r>
    </w:p>
    <w:p w14:paraId="2A838D22" w14:textId="77777777" w:rsidR="003D2BAA" w:rsidRDefault="00125EE9">
      <w:pPr>
        <w:pStyle w:val="1"/>
        <w:rPr>
          <w:lang w:eastAsia="zh-TW"/>
        </w:rPr>
      </w:pPr>
      <w:r>
        <w:rPr>
          <w:lang w:eastAsia="zh-TW"/>
        </w:rPr>
        <w:t>八、</w:t>
      </w:r>
      <w:r>
        <w:rPr>
          <w:lang w:eastAsia="zh-TW"/>
        </w:rPr>
        <w:t>PRV</w:t>
      </w:r>
      <w:r>
        <w:rPr>
          <w:lang w:eastAsia="zh-TW"/>
        </w:rPr>
        <w:t>：一次性獲利將放大「由研發轉商業」的市場認知</w:t>
      </w:r>
    </w:p>
    <w:p w14:paraId="13CA2A12" w14:textId="77777777" w:rsidR="003D2BAA" w:rsidRDefault="00125EE9">
      <w:pPr>
        <w:spacing w:after="100" w:line="300" w:lineRule="auto"/>
      </w:pPr>
      <w:r>
        <w:t>Tinlarebant</w:t>
      </w:r>
      <w:r>
        <w:t>若符合</w:t>
      </w:r>
      <w:r>
        <w:t>Rare Pediatric Disease PRV</w:t>
      </w:r>
      <w:r>
        <w:t>授予條件並於核准後取得</w:t>
      </w:r>
      <w:r>
        <w:t>voucher</w:t>
      </w:r>
      <w:r>
        <w:t>，近期市場交易價格約落在</w:t>
      </w:r>
      <w:r>
        <w:t>1.8</w:t>
      </w:r>
      <w:r>
        <w:t>億至</w:t>
      </w:r>
      <w:r>
        <w:t>2.05</w:t>
      </w:r>
      <w:r>
        <w:t>億美元附近。以仁新持股比例換算，</w:t>
      </w:r>
      <w:r>
        <w:t>PRV</w:t>
      </w:r>
      <w:r>
        <w:t>的經濟利益可形成約</w:t>
      </w:r>
      <w:r>
        <w:t>20</w:t>
      </w:r>
      <w:r>
        <w:t>元以上拆股前一次性</w:t>
      </w:r>
      <w:r>
        <w:t>EPS</w:t>
      </w:r>
      <w:r>
        <w:t>級別的效果。</w:t>
      </w:r>
    </w:p>
    <w:p w14:paraId="4DBCAA69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PRV</w:t>
      </w:r>
      <w:r>
        <w:rPr>
          <w:lang w:eastAsia="zh-TW"/>
        </w:rPr>
        <w:t>不是仁新長期估值的核心，但對市場心理具有高度重要性。它可能使仁新在</w:t>
      </w:r>
      <w:r>
        <w:rPr>
          <w:lang w:eastAsia="zh-TW"/>
        </w:rPr>
        <w:t>Tinlarebant recurring operating profit</w:t>
      </w:r>
      <w:r>
        <w:rPr>
          <w:lang w:eastAsia="zh-TW"/>
        </w:rPr>
        <w:t>尚未完全放大前，即在合併報表上呈現大型一次性獲利，提前改變市場對「興櫃研發公司」的認知。</w:t>
      </w:r>
    </w:p>
    <w:p w14:paraId="59E26EFC" w14:textId="77777777" w:rsidR="003D2BAA" w:rsidRDefault="00125EE9">
      <w:pPr>
        <w:pStyle w:val="1"/>
        <w:rPr>
          <w:lang w:eastAsia="zh-TW"/>
        </w:rPr>
      </w:pPr>
      <w:r>
        <w:rPr>
          <w:lang w:eastAsia="zh-TW"/>
        </w:rPr>
        <w:t>九、</w:t>
      </w:r>
      <w:r>
        <w:rPr>
          <w:lang w:eastAsia="zh-TW"/>
        </w:rPr>
        <w:t>GA</w:t>
      </w:r>
      <w:r>
        <w:rPr>
          <w:lang w:eastAsia="zh-TW"/>
        </w:rPr>
        <w:t>：五年估值中的第二成長曲線</w:t>
      </w:r>
    </w:p>
    <w:p w14:paraId="5EC8A884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Belite</w:t>
      </w:r>
      <w:r>
        <w:rPr>
          <w:lang w:eastAsia="zh-TW"/>
        </w:rPr>
        <w:t>正在執行</w:t>
      </w:r>
      <w:r>
        <w:rPr>
          <w:lang w:eastAsia="zh-TW"/>
        </w:rPr>
        <w:t>Tinlarebant</w:t>
      </w:r>
      <w:r>
        <w:rPr>
          <w:lang w:eastAsia="zh-TW"/>
        </w:rPr>
        <w:t>治療</w:t>
      </w:r>
      <w:r>
        <w:rPr>
          <w:lang w:eastAsia="zh-TW"/>
        </w:rPr>
        <w:t>geographic atrophy</w:t>
      </w:r>
      <w:r>
        <w:rPr>
          <w:lang w:eastAsia="zh-TW"/>
        </w:rPr>
        <w:t>的</w:t>
      </w:r>
      <w:r>
        <w:rPr>
          <w:lang w:eastAsia="zh-TW"/>
        </w:rPr>
        <w:t>PHOENIX</w:t>
      </w:r>
      <w:r>
        <w:rPr>
          <w:lang w:eastAsia="zh-TW"/>
        </w:rPr>
        <w:t>全球三期試驗，公開文件顯示已完成約</w:t>
      </w:r>
      <w:r>
        <w:rPr>
          <w:lang w:eastAsia="zh-TW"/>
        </w:rPr>
        <w:t>530</w:t>
      </w:r>
      <w:r>
        <w:rPr>
          <w:lang w:eastAsia="zh-TW"/>
        </w:rPr>
        <w:t>名患者收案。</w:t>
      </w:r>
      <w:r>
        <w:rPr>
          <w:lang w:eastAsia="zh-TW"/>
        </w:rPr>
        <w:t>GA</w:t>
      </w:r>
      <w:r>
        <w:rPr>
          <w:lang w:eastAsia="zh-TW"/>
        </w:rPr>
        <w:t>的患者規模遠大於</w:t>
      </w:r>
      <w:r>
        <w:rPr>
          <w:lang w:eastAsia="zh-TW"/>
        </w:rPr>
        <w:t>STGD1</w:t>
      </w:r>
      <w:r>
        <w:rPr>
          <w:lang w:eastAsia="zh-TW"/>
        </w:rPr>
        <w:t>，但本研究不將</w:t>
      </w:r>
      <w:r>
        <w:rPr>
          <w:lang w:eastAsia="zh-TW"/>
        </w:rPr>
        <w:t>GA</w:t>
      </w:r>
      <w:r>
        <w:rPr>
          <w:lang w:eastAsia="zh-TW"/>
        </w:rPr>
        <w:t>完整成功價值提前納入，因為目前尚未有三期療效成功結果。</w:t>
      </w:r>
    </w:p>
    <w:p w14:paraId="52F5AA2A" w14:textId="77777777" w:rsidR="003D2BAA" w:rsidRDefault="00125EE9">
      <w:pPr>
        <w:spacing w:after="100" w:line="300" w:lineRule="auto"/>
        <w:rPr>
          <w:lang w:eastAsia="zh-TW"/>
        </w:rPr>
      </w:pPr>
      <w:r>
        <w:t>GA</w:t>
      </w:r>
      <w:r>
        <w:t>的價值在於</w:t>
      </w:r>
      <w:r>
        <w:t>Tinlarebant</w:t>
      </w:r>
      <w:r>
        <w:t>已具有相同</w:t>
      </w:r>
      <w:r>
        <w:t>RBP4</w:t>
      </w:r>
      <w:r>
        <w:t>與</w:t>
      </w:r>
      <w:r>
        <w:t>bisretinoid</w:t>
      </w:r>
      <w:r>
        <w:t>機制平台。若</w:t>
      </w:r>
      <w:r>
        <w:t>PHOENIX</w:t>
      </w:r>
      <w:r>
        <w:t>成功，</w:t>
      </w:r>
      <w:r>
        <w:t>Belite</w:t>
      </w:r>
      <w:r>
        <w:t>將不再是單一罕病藥公司，而是跨</w:t>
      </w:r>
      <w:r>
        <w:t>STGD1</w:t>
      </w:r>
      <w:r>
        <w:t>與</w:t>
      </w:r>
      <w:r>
        <w:t>GA</w:t>
      </w:r>
      <w:r>
        <w:t>的視網膜退化平台。</w:t>
      </w:r>
      <w:r>
        <w:rPr>
          <w:lang w:eastAsia="zh-TW"/>
        </w:rPr>
        <w:t>五年模型對</w:t>
      </w:r>
      <w:r>
        <w:rPr>
          <w:lang w:eastAsia="zh-TW"/>
        </w:rPr>
        <w:t>GA</w:t>
      </w:r>
      <w:r>
        <w:rPr>
          <w:lang w:eastAsia="zh-TW"/>
        </w:rPr>
        <w:t>僅給予</w:t>
      </w:r>
      <w:r>
        <w:rPr>
          <w:lang w:eastAsia="zh-TW"/>
        </w:rPr>
        <w:t>700</w:t>
      </w:r>
      <w:r>
        <w:rPr>
          <w:lang w:eastAsia="zh-TW"/>
        </w:rPr>
        <w:t>元</w:t>
      </w:r>
      <w:r>
        <w:rPr>
          <w:lang w:eastAsia="zh-TW"/>
        </w:rPr>
        <w:t>/</w:t>
      </w:r>
      <w:r>
        <w:rPr>
          <w:lang w:eastAsia="zh-TW"/>
        </w:rPr>
        <w:t>股風險調整價值；若三期成功並找到最具療效與急迫性的</w:t>
      </w:r>
      <w:r>
        <w:rPr>
          <w:lang w:eastAsia="zh-TW"/>
        </w:rPr>
        <w:t>GA</w:t>
      </w:r>
      <w:r>
        <w:rPr>
          <w:lang w:eastAsia="zh-TW"/>
        </w:rPr>
        <w:t>次族群，仁新長期估值可明顯高於</w:t>
      </w:r>
      <w:r>
        <w:rPr>
          <w:lang w:eastAsia="zh-TW"/>
        </w:rPr>
        <w:t>4,200</w:t>
      </w:r>
      <w:r>
        <w:rPr>
          <w:lang w:eastAsia="zh-TW"/>
        </w:rPr>
        <w:t>元。</w:t>
      </w:r>
    </w:p>
    <w:p w14:paraId="358E01C6" w14:textId="77777777" w:rsidR="003D2BAA" w:rsidRDefault="00125EE9">
      <w:pPr>
        <w:pStyle w:val="1"/>
        <w:rPr>
          <w:lang w:eastAsia="zh-TW"/>
        </w:rPr>
      </w:pPr>
      <w:r>
        <w:rPr>
          <w:lang w:eastAsia="zh-TW"/>
        </w:rPr>
        <w:t>十、</w:t>
      </w:r>
      <w:r>
        <w:rPr>
          <w:lang w:eastAsia="zh-TW"/>
        </w:rPr>
        <w:t>LBS-007</w:t>
      </w:r>
      <w:r>
        <w:rPr>
          <w:lang w:eastAsia="zh-TW"/>
        </w:rPr>
        <w:t>：仁新本體從控股價值轉向雙引擎的選擇權</w:t>
      </w:r>
    </w:p>
    <w:p w14:paraId="23E6CDB7" w14:textId="77777777" w:rsidR="003D2BAA" w:rsidRDefault="00125EE9">
      <w:pPr>
        <w:spacing w:after="100" w:line="300" w:lineRule="auto"/>
      </w:pPr>
      <w:r>
        <w:t>LBS-007</w:t>
      </w:r>
      <w:r>
        <w:t>為非</w:t>
      </w:r>
      <w:r>
        <w:t>ATP</w:t>
      </w:r>
      <w:r>
        <w:t>競爭型</w:t>
      </w:r>
      <w:r>
        <w:t>CDC7 inhibitor</w:t>
      </w:r>
      <w:r>
        <w:t>，目前在復發或抗藥急性白血病</w:t>
      </w:r>
      <w:r>
        <w:t>AML/ALL</w:t>
      </w:r>
      <w:r>
        <w:t>執行</w:t>
      </w:r>
      <w:r>
        <w:t>Phase I/II</w:t>
      </w:r>
      <w:r>
        <w:t>。現階段公開試驗仍以安全性、耐受性、</w:t>
      </w:r>
      <w:r>
        <w:t>MTD/RP2D</w:t>
      </w:r>
      <w:r>
        <w:t>與早期療效訊號為核心。</w:t>
      </w:r>
    </w:p>
    <w:p w14:paraId="686EB594" w14:textId="77777777" w:rsidR="003D2BAA" w:rsidRDefault="00125EE9">
      <w:pPr>
        <w:spacing w:after="100" w:line="300" w:lineRule="auto"/>
      </w:pPr>
      <w:r>
        <w:t>LBS-007</w:t>
      </w:r>
      <w:r>
        <w:t>最重要的估值節點不是「取代所有化療」的遠期敘事，而是</w:t>
      </w:r>
      <w:r>
        <w:t>RP2D</w:t>
      </w:r>
      <w:r>
        <w:t>是否確立、是否出現可重複的</w:t>
      </w:r>
      <w:r>
        <w:t>CR/CRi</w:t>
      </w:r>
      <w:r>
        <w:t>、</w:t>
      </w:r>
      <w:r>
        <w:t>duration of response</w:t>
      </w:r>
      <w:r>
        <w:t>與特定</w:t>
      </w:r>
      <w:r>
        <w:t>biomarker subgroup</w:t>
      </w:r>
      <w:r>
        <w:t>。若正式</w:t>
      </w:r>
      <w:r>
        <w:t>human data</w:t>
      </w:r>
      <w:r>
        <w:t>證實強力</w:t>
      </w:r>
      <w:r>
        <w:t>single-agent activity</w:t>
      </w:r>
      <w:r>
        <w:t>，仁新將不再只是</w:t>
      </w:r>
      <w:r>
        <w:t>Belite</w:t>
      </w:r>
      <w:r>
        <w:t>控股公司，而會形成眼科商業化現金流加癌症</w:t>
      </w:r>
      <w:r>
        <w:t>pipeline</w:t>
      </w:r>
      <w:r>
        <w:t>的雙引擎估值。</w:t>
      </w:r>
    </w:p>
    <w:p w14:paraId="7A38CF45" w14:textId="642CFC72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lastRenderedPageBreak/>
        <w:t>五年模型對</w:t>
      </w:r>
      <w:r>
        <w:rPr>
          <w:lang w:eastAsia="zh-TW"/>
        </w:rPr>
        <w:t>LBS-007</w:t>
      </w:r>
      <w:r>
        <w:rPr>
          <w:lang w:eastAsia="zh-TW"/>
        </w:rPr>
        <w:t>給予</w:t>
      </w:r>
      <w:r>
        <w:rPr>
          <w:lang w:eastAsia="zh-TW"/>
        </w:rPr>
        <w:t>450</w:t>
      </w:r>
      <w:r>
        <w:rPr>
          <w:lang w:eastAsia="zh-TW"/>
        </w:rPr>
        <w:t>元</w:t>
      </w:r>
      <w:r>
        <w:rPr>
          <w:lang w:eastAsia="zh-TW"/>
        </w:rPr>
        <w:t>/</w:t>
      </w:r>
      <w:r>
        <w:rPr>
          <w:lang w:eastAsia="zh-TW"/>
        </w:rPr>
        <w:t>股風險調整價值；若未來公開</w:t>
      </w:r>
      <w:r>
        <w:rPr>
          <w:lang w:eastAsia="zh-TW"/>
        </w:rPr>
        <w:t>10</w:t>
      </w:r>
      <w:r>
        <w:rPr>
          <w:lang w:eastAsia="zh-TW"/>
        </w:rPr>
        <w:t>至</w:t>
      </w:r>
      <w:r>
        <w:rPr>
          <w:lang w:eastAsia="zh-TW"/>
        </w:rPr>
        <w:t>20</w:t>
      </w:r>
      <w:r>
        <w:rPr>
          <w:lang w:eastAsia="zh-TW"/>
        </w:rPr>
        <w:t>名以上末線</w:t>
      </w:r>
      <w:r>
        <w:rPr>
          <w:lang w:eastAsia="zh-TW"/>
        </w:rPr>
        <w:t>AML/ALL</w:t>
      </w:r>
      <w:r>
        <w:rPr>
          <w:lang w:eastAsia="zh-TW"/>
        </w:rPr>
        <w:t>患者的明確反應率、持續反應與</w:t>
      </w:r>
      <w:r>
        <w:rPr>
          <w:lang w:eastAsia="zh-TW"/>
        </w:rPr>
        <w:t>RP2D</w:t>
      </w:r>
      <w:r>
        <w:rPr>
          <w:lang w:eastAsia="zh-TW"/>
        </w:rPr>
        <w:t>資料，該價值可能迅速擴大</w:t>
      </w:r>
      <w:r w:rsidR="003C11BB">
        <w:rPr>
          <w:rFonts w:hint="eastAsia"/>
          <w:lang w:eastAsia="zh-TW"/>
        </w:rPr>
        <w:t>，因為歷史上從未有股本如此輕盈的癌症新藥公司，一旦仁新本身持有的LBS-007成功研發，此爆發力將會超乎一般投資人想像</w:t>
      </w:r>
      <w:r>
        <w:rPr>
          <w:lang w:eastAsia="zh-TW"/>
        </w:rPr>
        <w:t>。</w:t>
      </w:r>
    </w:p>
    <w:p w14:paraId="70748878" w14:textId="77777777" w:rsidR="003D2BAA" w:rsidRDefault="00125EE9">
      <w:pPr>
        <w:pStyle w:val="1"/>
        <w:rPr>
          <w:lang w:eastAsia="zh-TW"/>
        </w:rPr>
      </w:pPr>
      <w:r>
        <w:rPr>
          <w:lang w:eastAsia="zh-TW"/>
        </w:rPr>
        <w:t>十一、五年估值：</w:t>
      </w:r>
      <w:r>
        <w:rPr>
          <w:lang w:eastAsia="zh-TW"/>
        </w:rPr>
        <w:t>4,200</w:t>
      </w:r>
      <w:r>
        <w:rPr>
          <w:lang w:eastAsia="zh-TW"/>
        </w:rPr>
        <w:t>元長期目標價</w:t>
      </w:r>
    </w:p>
    <w:p w14:paraId="41A44DEB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五年估值不以單一年份</w:t>
      </w:r>
      <w:r>
        <w:rPr>
          <w:lang w:eastAsia="zh-TW"/>
        </w:rPr>
        <w:t>PE</w:t>
      </w:r>
      <w:r>
        <w:rPr>
          <w:lang w:eastAsia="zh-TW"/>
        </w:rPr>
        <w:t>硬算，而採資產價值與商業化階段重估。</w:t>
      </w:r>
      <w:r>
        <w:rPr>
          <w:lang w:eastAsia="zh-TW"/>
        </w:rPr>
        <w:t>STGD1</w:t>
      </w:r>
      <w:r>
        <w:rPr>
          <w:lang w:eastAsia="zh-TW"/>
        </w:rPr>
        <w:t>是主要價值來源；</w:t>
      </w:r>
      <w:r>
        <w:rPr>
          <w:lang w:eastAsia="zh-TW"/>
        </w:rPr>
        <w:t>GA</w:t>
      </w:r>
      <w:r>
        <w:rPr>
          <w:lang w:eastAsia="zh-TW"/>
        </w:rPr>
        <w:t>採成功機率折價；</w:t>
      </w:r>
      <w:r>
        <w:rPr>
          <w:lang w:eastAsia="zh-TW"/>
        </w:rPr>
        <w:t>LBS-007</w:t>
      </w:r>
      <w:r>
        <w:rPr>
          <w:lang w:eastAsia="zh-TW"/>
        </w:rPr>
        <w:t>採早期腫瘤藥</w:t>
      </w:r>
      <w:r>
        <w:rPr>
          <w:lang w:eastAsia="zh-TW"/>
        </w:rPr>
        <w:t>option value</w:t>
      </w:r>
      <w:r>
        <w:rPr>
          <w:lang w:eastAsia="zh-TW"/>
        </w:rPr>
        <w:t>；</w:t>
      </w:r>
      <w:r>
        <w:rPr>
          <w:lang w:eastAsia="zh-TW"/>
        </w:rPr>
        <w:t>PRV</w:t>
      </w:r>
      <w:r>
        <w:rPr>
          <w:lang w:eastAsia="zh-TW"/>
        </w:rPr>
        <w:t>、現金與其他資產作為補充。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3402"/>
      </w:tblGrid>
      <w:tr w:rsidR="003D2BAA" w14:paraId="08B97D45" w14:textId="77777777">
        <w:trPr>
          <w:jc w:val="center"/>
        </w:trPr>
        <w:tc>
          <w:tcPr>
            <w:tcW w:w="4535" w:type="dxa"/>
            <w:shd w:val="clear" w:color="auto" w:fill="1F4E78"/>
            <w:vAlign w:val="center"/>
          </w:tcPr>
          <w:p w14:paraId="574E009E" w14:textId="77777777" w:rsidR="003D2BAA" w:rsidRDefault="00125EE9">
            <w:r>
              <w:rPr>
                <w:b/>
                <w:color w:val="FFFFFF"/>
                <w:sz w:val="18"/>
              </w:rPr>
              <w:t>資產</w:t>
            </w:r>
          </w:p>
        </w:tc>
        <w:tc>
          <w:tcPr>
            <w:tcW w:w="3402" w:type="dxa"/>
            <w:shd w:val="clear" w:color="auto" w:fill="1F4E78"/>
            <w:vAlign w:val="center"/>
          </w:tcPr>
          <w:p w14:paraId="667A9BD7" w14:textId="77777777" w:rsidR="003D2BAA" w:rsidRDefault="00125EE9">
            <w:pPr>
              <w:rPr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五年每股價值（拆股前等值）</w:t>
            </w:r>
          </w:p>
        </w:tc>
      </w:tr>
      <w:tr w:rsidR="003D2BAA" w14:paraId="73AD9CF8" w14:textId="77777777">
        <w:trPr>
          <w:jc w:val="center"/>
        </w:trPr>
        <w:tc>
          <w:tcPr>
            <w:tcW w:w="4535" w:type="dxa"/>
            <w:vAlign w:val="center"/>
          </w:tcPr>
          <w:p w14:paraId="4F0784B3" w14:textId="77777777" w:rsidR="003D2BAA" w:rsidRDefault="00125EE9">
            <w:r>
              <w:rPr>
                <w:sz w:val="18"/>
              </w:rPr>
              <w:t>STGD1</w:t>
            </w:r>
          </w:p>
        </w:tc>
        <w:tc>
          <w:tcPr>
            <w:tcW w:w="3402" w:type="dxa"/>
            <w:vAlign w:val="center"/>
          </w:tcPr>
          <w:p w14:paraId="6E7AAF8D" w14:textId="77777777" w:rsidR="003D2BAA" w:rsidRDefault="00125EE9">
            <w:r>
              <w:rPr>
                <w:sz w:val="18"/>
              </w:rPr>
              <w:t>2,800</w:t>
            </w:r>
            <w:r>
              <w:rPr>
                <w:sz w:val="18"/>
              </w:rPr>
              <w:t>元</w:t>
            </w:r>
          </w:p>
        </w:tc>
      </w:tr>
      <w:tr w:rsidR="003D2BAA" w14:paraId="739F8DEA" w14:textId="77777777">
        <w:trPr>
          <w:jc w:val="center"/>
        </w:trPr>
        <w:tc>
          <w:tcPr>
            <w:tcW w:w="4535" w:type="dxa"/>
            <w:vAlign w:val="center"/>
          </w:tcPr>
          <w:p w14:paraId="666BD3E5" w14:textId="77777777" w:rsidR="003D2BAA" w:rsidRDefault="00125EE9">
            <w:r>
              <w:rPr>
                <w:sz w:val="18"/>
              </w:rPr>
              <w:t>GA</w:t>
            </w:r>
            <w:r>
              <w:rPr>
                <w:sz w:val="18"/>
              </w:rPr>
              <w:t>風險調整</w:t>
            </w:r>
          </w:p>
        </w:tc>
        <w:tc>
          <w:tcPr>
            <w:tcW w:w="3402" w:type="dxa"/>
            <w:vAlign w:val="center"/>
          </w:tcPr>
          <w:p w14:paraId="51ACF77E" w14:textId="77777777" w:rsidR="003D2BAA" w:rsidRDefault="00125EE9">
            <w:r>
              <w:rPr>
                <w:sz w:val="18"/>
              </w:rPr>
              <w:t>700</w:t>
            </w:r>
            <w:r>
              <w:rPr>
                <w:sz w:val="18"/>
              </w:rPr>
              <w:t>元</w:t>
            </w:r>
          </w:p>
        </w:tc>
      </w:tr>
      <w:tr w:rsidR="003D2BAA" w14:paraId="4E148399" w14:textId="77777777">
        <w:trPr>
          <w:jc w:val="center"/>
        </w:trPr>
        <w:tc>
          <w:tcPr>
            <w:tcW w:w="4535" w:type="dxa"/>
            <w:vAlign w:val="center"/>
          </w:tcPr>
          <w:p w14:paraId="4B142E7C" w14:textId="77777777" w:rsidR="003D2BAA" w:rsidRDefault="00125EE9">
            <w:r>
              <w:rPr>
                <w:sz w:val="18"/>
              </w:rPr>
              <w:t>LBS-007</w:t>
            </w:r>
            <w:r>
              <w:rPr>
                <w:sz w:val="18"/>
              </w:rPr>
              <w:t>風險調整</w:t>
            </w:r>
          </w:p>
        </w:tc>
        <w:tc>
          <w:tcPr>
            <w:tcW w:w="3402" w:type="dxa"/>
            <w:vAlign w:val="center"/>
          </w:tcPr>
          <w:p w14:paraId="60483B36" w14:textId="77777777" w:rsidR="003D2BAA" w:rsidRDefault="00125EE9">
            <w:r>
              <w:rPr>
                <w:sz w:val="18"/>
              </w:rPr>
              <w:t>450</w:t>
            </w:r>
            <w:r>
              <w:rPr>
                <w:sz w:val="18"/>
              </w:rPr>
              <w:t>元</w:t>
            </w:r>
          </w:p>
        </w:tc>
      </w:tr>
      <w:tr w:rsidR="003D2BAA" w14:paraId="4F2C74FB" w14:textId="77777777">
        <w:trPr>
          <w:jc w:val="center"/>
        </w:trPr>
        <w:tc>
          <w:tcPr>
            <w:tcW w:w="4535" w:type="dxa"/>
            <w:vAlign w:val="center"/>
          </w:tcPr>
          <w:p w14:paraId="04095D87" w14:textId="77777777" w:rsidR="003D2BAA" w:rsidRDefault="00125EE9">
            <w:r>
              <w:rPr>
                <w:sz w:val="18"/>
              </w:rPr>
              <w:t>現金／</w:t>
            </w:r>
            <w:r>
              <w:rPr>
                <w:sz w:val="18"/>
              </w:rPr>
              <w:t>PRV</w:t>
            </w:r>
            <w:r>
              <w:rPr>
                <w:sz w:val="18"/>
              </w:rPr>
              <w:t>／其他</w:t>
            </w:r>
          </w:p>
        </w:tc>
        <w:tc>
          <w:tcPr>
            <w:tcW w:w="3402" w:type="dxa"/>
            <w:vAlign w:val="center"/>
          </w:tcPr>
          <w:p w14:paraId="7655A875" w14:textId="77777777" w:rsidR="003D2BAA" w:rsidRDefault="00125EE9">
            <w:r>
              <w:rPr>
                <w:sz w:val="18"/>
              </w:rPr>
              <w:t>250</w:t>
            </w:r>
            <w:r>
              <w:rPr>
                <w:sz w:val="18"/>
              </w:rPr>
              <w:t>元</w:t>
            </w:r>
          </w:p>
        </w:tc>
      </w:tr>
      <w:tr w:rsidR="003D2BAA" w14:paraId="1E42F601" w14:textId="77777777">
        <w:trPr>
          <w:jc w:val="center"/>
        </w:trPr>
        <w:tc>
          <w:tcPr>
            <w:tcW w:w="4535" w:type="dxa"/>
            <w:vAlign w:val="center"/>
          </w:tcPr>
          <w:p w14:paraId="7790B159" w14:textId="77777777" w:rsidR="003D2BAA" w:rsidRDefault="00125EE9">
            <w:r>
              <w:rPr>
                <w:sz w:val="18"/>
              </w:rPr>
              <w:t>合計</w:t>
            </w:r>
          </w:p>
        </w:tc>
        <w:tc>
          <w:tcPr>
            <w:tcW w:w="3402" w:type="dxa"/>
            <w:vAlign w:val="center"/>
          </w:tcPr>
          <w:p w14:paraId="04F0A051" w14:textId="77777777" w:rsidR="003D2BAA" w:rsidRDefault="00125EE9">
            <w:r>
              <w:rPr>
                <w:sz w:val="18"/>
              </w:rPr>
              <w:t>4,200</w:t>
            </w:r>
            <w:r>
              <w:rPr>
                <w:sz w:val="18"/>
              </w:rPr>
              <w:t>元</w:t>
            </w:r>
          </w:p>
        </w:tc>
      </w:tr>
    </w:tbl>
    <w:p w14:paraId="09E44F25" w14:textId="77777777" w:rsidR="003D2BAA" w:rsidRDefault="003D2BAA"/>
    <w:p w14:paraId="16BCFC8F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4,200</w:t>
      </w:r>
      <w:r>
        <w:rPr>
          <w:lang w:eastAsia="zh-TW"/>
        </w:rPr>
        <w:t>元並非超級多頭上限，而是基準長期目標。若</w:t>
      </w:r>
      <w:r>
        <w:rPr>
          <w:lang w:eastAsia="zh-TW"/>
        </w:rPr>
        <w:t>STGD1</w:t>
      </w:r>
      <w:r>
        <w:rPr>
          <w:lang w:eastAsia="zh-TW"/>
        </w:rPr>
        <w:t>五年治療患者達</w:t>
      </w:r>
      <w:r>
        <w:rPr>
          <w:lang w:eastAsia="zh-TW"/>
        </w:rPr>
        <w:t>10,000</w:t>
      </w:r>
      <w:r>
        <w:rPr>
          <w:lang w:eastAsia="zh-TW"/>
        </w:rPr>
        <w:t>人、年淨收入約</w:t>
      </w:r>
      <w:r>
        <w:rPr>
          <w:lang w:eastAsia="zh-TW"/>
        </w:rPr>
        <w:t>35</w:t>
      </w:r>
      <w:r>
        <w:rPr>
          <w:lang w:eastAsia="zh-TW"/>
        </w:rPr>
        <w:t>萬美元，產品營收可達</w:t>
      </w:r>
      <w:r>
        <w:rPr>
          <w:lang w:eastAsia="zh-TW"/>
        </w:rPr>
        <w:t>35</w:t>
      </w:r>
      <w:r>
        <w:rPr>
          <w:lang w:eastAsia="zh-TW"/>
        </w:rPr>
        <w:t>億美元級別；若</w:t>
      </w:r>
      <w:r>
        <w:rPr>
          <w:lang w:eastAsia="zh-TW"/>
        </w:rPr>
        <w:t>GA</w:t>
      </w:r>
      <w:r>
        <w:rPr>
          <w:lang w:eastAsia="zh-TW"/>
        </w:rPr>
        <w:t>三期成功，且</w:t>
      </w:r>
      <w:r>
        <w:rPr>
          <w:lang w:eastAsia="zh-TW"/>
        </w:rPr>
        <w:t>LBS-007</w:t>
      </w:r>
      <w:r>
        <w:rPr>
          <w:lang w:eastAsia="zh-TW"/>
        </w:rPr>
        <w:t>出現正式人體療效證據，</w:t>
      </w:r>
      <w:r>
        <w:rPr>
          <w:lang w:eastAsia="zh-TW"/>
        </w:rPr>
        <w:t>6,000</w:t>
      </w:r>
      <w:r>
        <w:rPr>
          <w:lang w:eastAsia="zh-TW"/>
        </w:rPr>
        <w:t>至</w:t>
      </w:r>
      <w:r>
        <w:rPr>
          <w:lang w:eastAsia="zh-TW"/>
        </w:rPr>
        <w:t>8,000</w:t>
      </w:r>
      <w:r>
        <w:rPr>
          <w:lang w:eastAsia="zh-TW"/>
        </w:rPr>
        <w:t>元以上將成為需要重新評估的情境。</w:t>
      </w:r>
    </w:p>
    <w:p w14:paraId="6B31C3AD" w14:textId="77777777" w:rsidR="003D2BAA" w:rsidRDefault="00125EE9">
      <w:pPr>
        <w:spacing w:after="100" w:line="300" w:lineRule="auto"/>
      </w:pPr>
      <w:r>
        <w:t>反之，若</w:t>
      </w:r>
      <w:r>
        <w:t>final label</w:t>
      </w:r>
      <w:r>
        <w:t>過窄、</w:t>
      </w:r>
      <w:r>
        <w:t>commercial survey</w:t>
      </w:r>
      <w:r>
        <w:t>僅確認低千人患者、</w:t>
      </w:r>
      <w:r>
        <w:t>payer access</w:t>
      </w:r>
      <w:r>
        <w:t>慢、首四商業化季度營收低於</w:t>
      </w:r>
      <w:r>
        <w:t>5</w:t>
      </w:r>
      <w:r>
        <w:t>億美元，則</w:t>
      </w:r>
      <w:r>
        <w:t>2027Q4</w:t>
      </w:r>
      <w:r>
        <w:t>的</w:t>
      </w:r>
      <w:r>
        <w:t>2,200</w:t>
      </w:r>
      <w:r>
        <w:t>元基準需要下修至</w:t>
      </w:r>
      <w:r>
        <w:t>1,000</w:t>
      </w:r>
      <w:r>
        <w:t>至</w:t>
      </w:r>
      <w:r>
        <w:t>1,300</w:t>
      </w:r>
      <w:r>
        <w:t>元。</w:t>
      </w:r>
    </w:p>
    <w:p w14:paraId="6F2CB9DB" w14:textId="77777777" w:rsidR="003D2BAA" w:rsidRDefault="00125EE9">
      <w:pPr>
        <w:pStyle w:val="1"/>
        <w:rPr>
          <w:lang w:eastAsia="zh-TW"/>
        </w:rPr>
      </w:pPr>
      <w:r>
        <w:rPr>
          <w:lang w:eastAsia="zh-TW"/>
        </w:rPr>
        <w:t>十二、結論</w:t>
      </w:r>
    </w:p>
    <w:p w14:paraId="21E30A0F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仁新的投資邏輯已經進入最值得研究的階段。</w:t>
      </w:r>
      <w:r>
        <w:rPr>
          <w:lang w:eastAsia="zh-TW"/>
        </w:rPr>
        <w:t>Tinlarebant</w:t>
      </w:r>
      <w:r>
        <w:rPr>
          <w:lang w:eastAsia="zh-TW"/>
        </w:rPr>
        <w:t>三期成功與</w:t>
      </w:r>
      <w:r>
        <w:rPr>
          <w:lang w:eastAsia="zh-TW"/>
        </w:rPr>
        <w:t>NDA</w:t>
      </w:r>
      <w:r>
        <w:rPr>
          <w:lang w:eastAsia="zh-TW"/>
        </w:rPr>
        <w:t>完成送件，使主要風險由「藥物是否有效」轉向「監管與商業化能否按照市場期待落地」。</w:t>
      </w:r>
    </w:p>
    <w:p w14:paraId="1E05B2E6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STGD1</w:t>
      </w:r>
      <w:r>
        <w:rPr>
          <w:lang w:eastAsia="zh-TW"/>
        </w:rPr>
        <w:t>具備罕見遺傳疾病、不可逆視力惡化、缺乏核准治療、患者與照護者高度急迫、專科醫師與基因檢測網路集中，以及每日口服小分子藥等條件。這組合使</w:t>
      </w:r>
      <w:r>
        <w:rPr>
          <w:lang w:eastAsia="zh-TW"/>
        </w:rPr>
        <w:t>Tinlarebant</w:t>
      </w:r>
      <w:r>
        <w:rPr>
          <w:lang w:eastAsia="zh-TW"/>
        </w:rPr>
        <w:t>具有</w:t>
      </w:r>
      <w:r>
        <w:rPr>
          <w:lang w:eastAsia="zh-TW"/>
        </w:rPr>
        <w:t>prevalent patient backlog</w:t>
      </w:r>
      <w:r>
        <w:rPr>
          <w:lang w:eastAsia="zh-TW"/>
        </w:rPr>
        <w:t>快速釋放的可能性。</w:t>
      </w:r>
    </w:p>
    <w:p w14:paraId="5BACE60A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Belite</w:t>
      </w:r>
      <w:r>
        <w:rPr>
          <w:lang w:eastAsia="zh-TW"/>
        </w:rPr>
        <w:t>已公開表示許多</w:t>
      </w:r>
      <w:r>
        <w:rPr>
          <w:lang w:eastAsia="zh-TW"/>
        </w:rPr>
        <w:t>retina specialists</w:t>
      </w:r>
      <w:r>
        <w:rPr>
          <w:lang w:eastAsia="zh-TW"/>
        </w:rPr>
        <w:t>擁有基因確認的</w:t>
      </w:r>
      <w:r>
        <w:rPr>
          <w:lang w:eastAsia="zh-TW"/>
        </w:rPr>
        <w:t>Stargardt patient databases</w:t>
      </w:r>
      <w:r>
        <w:rPr>
          <w:lang w:eastAsia="zh-TW"/>
        </w:rPr>
        <w:t>，公司正在進行</w:t>
      </w:r>
      <w:r>
        <w:rPr>
          <w:lang w:eastAsia="zh-TW"/>
        </w:rPr>
        <w:t>survey</w:t>
      </w:r>
      <w:r>
        <w:rPr>
          <w:lang w:eastAsia="zh-TW"/>
        </w:rPr>
        <w:t>並提前建立診斷</w:t>
      </w:r>
      <w:r>
        <w:rPr>
          <w:lang w:eastAsia="zh-TW"/>
        </w:rPr>
        <w:t>/</w:t>
      </w:r>
      <w:r>
        <w:rPr>
          <w:lang w:eastAsia="zh-TW"/>
        </w:rPr>
        <w:t>基因檢測與藥物推廣體系。市場下一個真正需要回答的問題，不是患者是否願意接受治療，而是核准當天到底已有多少患者可以快速進入處方與給付流程。</w:t>
      </w:r>
    </w:p>
    <w:p w14:paraId="1301E839" w14:textId="77777777" w:rsidR="003D2BAA" w:rsidRDefault="00125EE9">
      <w:pPr>
        <w:spacing w:after="100" w:line="300" w:lineRule="auto"/>
      </w:pPr>
      <w:r>
        <w:lastRenderedPageBreak/>
        <w:t>若</w:t>
      </w:r>
      <w:r>
        <w:t>identified patient universe</w:t>
      </w:r>
      <w:r>
        <w:t>超過</w:t>
      </w:r>
      <w:r>
        <w:t>3,000</w:t>
      </w:r>
      <w:r>
        <w:t>人、</w:t>
      </w:r>
      <w:r>
        <w:t>final label</w:t>
      </w:r>
      <w:r>
        <w:t>為</w:t>
      </w:r>
      <w:r>
        <w:t>12</w:t>
      </w:r>
      <w:r>
        <w:t>歲以上廣泛</w:t>
      </w:r>
      <w:r>
        <w:t>STGD1</w:t>
      </w:r>
      <w:r>
        <w:t>，且第一個完整商業季度營收達</w:t>
      </w:r>
      <w:r>
        <w:t>1.2</w:t>
      </w:r>
      <w:r>
        <w:t>億至</w:t>
      </w:r>
      <w:r>
        <w:t>1.8</w:t>
      </w:r>
      <w:r>
        <w:t>億美元，仁新的估值將正式由「興櫃生技控股折價」轉向「全球罕病新藥商業化成長」。</w:t>
      </w:r>
    </w:p>
    <w:p w14:paraId="4B369D56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在此基準情境下，</w:t>
      </w:r>
      <w:r>
        <w:rPr>
          <w:lang w:eastAsia="zh-TW"/>
        </w:rPr>
        <w:t>2027Q4</w:t>
      </w:r>
      <w:r>
        <w:rPr>
          <w:lang w:eastAsia="zh-TW"/>
        </w:rPr>
        <w:t>股價中樞</w:t>
      </w:r>
      <w:r>
        <w:rPr>
          <w:lang w:eastAsia="zh-TW"/>
        </w:rPr>
        <w:t>2,200</w:t>
      </w:r>
      <w:r>
        <w:rPr>
          <w:lang w:eastAsia="zh-TW"/>
        </w:rPr>
        <w:t>元、五年目標價</w:t>
      </w:r>
      <w:r>
        <w:rPr>
          <w:lang w:eastAsia="zh-TW"/>
        </w:rPr>
        <w:t>4,200</w:t>
      </w:r>
      <w:r>
        <w:rPr>
          <w:lang w:eastAsia="zh-TW"/>
        </w:rPr>
        <w:t>元具有合理性。</w:t>
      </w:r>
      <w:r>
        <w:rPr>
          <w:lang w:eastAsia="zh-TW"/>
        </w:rPr>
        <w:t>STGD1</w:t>
      </w:r>
      <w:r>
        <w:rPr>
          <w:lang w:eastAsia="zh-TW"/>
        </w:rPr>
        <w:t>提供近期獲利引擎，</w:t>
      </w:r>
      <w:r>
        <w:rPr>
          <w:lang w:eastAsia="zh-TW"/>
        </w:rPr>
        <w:t>GA</w:t>
      </w:r>
      <w:r>
        <w:rPr>
          <w:lang w:eastAsia="zh-TW"/>
        </w:rPr>
        <w:t>提供第二市場擴張曲線，</w:t>
      </w:r>
      <w:r>
        <w:rPr>
          <w:lang w:eastAsia="zh-TW"/>
        </w:rPr>
        <w:t>LBS-007</w:t>
      </w:r>
      <w:r>
        <w:rPr>
          <w:lang w:eastAsia="zh-TW"/>
        </w:rPr>
        <w:t>則保留仁新本體從控股公司轉為雙引擎新藥公司的高上限選擇權。</w:t>
      </w:r>
    </w:p>
    <w:p w14:paraId="093EC2CA" w14:textId="77777777" w:rsidR="003D2BAA" w:rsidRDefault="00125EE9">
      <w:pPr>
        <w:pStyle w:val="1"/>
      </w:pPr>
      <w:r>
        <w:t>主要公開資料來源</w:t>
      </w:r>
    </w:p>
    <w:p w14:paraId="47C36AFE" w14:textId="77777777" w:rsidR="003D2BAA" w:rsidRDefault="00125EE9">
      <w:pPr>
        <w:spacing w:after="100" w:line="300" w:lineRule="auto"/>
      </w:pPr>
      <w:r>
        <w:t>1. Belite Bio Investor Relations, News Releases and Company Presentation.</w:t>
      </w:r>
    </w:p>
    <w:p w14:paraId="2EEC612D" w14:textId="77777777" w:rsidR="003D2BAA" w:rsidRDefault="00125EE9">
      <w:pPr>
        <w:spacing w:after="100" w:line="300" w:lineRule="auto"/>
      </w:pPr>
      <w:r>
        <w:t>2. Belite Bio 2026 Q1 Financial Results and Corporate Update.</w:t>
      </w:r>
    </w:p>
    <w:p w14:paraId="3D58B917" w14:textId="77777777" w:rsidR="003D2BAA" w:rsidRDefault="00125EE9">
      <w:pPr>
        <w:spacing w:after="100" w:line="300" w:lineRule="auto"/>
      </w:pPr>
      <w:r>
        <w:t>3. Belite Bio 2025 Form 20-F and SEC filings.</w:t>
      </w:r>
    </w:p>
    <w:p w14:paraId="0FC1749C" w14:textId="77777777" w:rsidR="003D2BAA" w:rsidRDefault="00125EE9">
      <w:pPr>
        <w:spacing w:after="100" w:line="300" w:lineRule="auto"/>
      </w:pPr>
      <w:r>
        <w:t>4. Foundation Fighting Blindness, My Retina Tracker Registry and Genetic Testing Program updates.</w:t>
      </w:r>
    </w:p>
    <w:p w14:paraId="0BA34291" w14:textId="77777777" w:rsidR="003D2BAA" w:rsidRDefault="00125EE9">
      <w:pPr>
        <w:spacing w:after="100" w:line="300" w:lineRule="auto"/>
      </w:pPr>
      <w:r>
        <w:t>5. U.S. FDA, Stargardt Disease Patient-Led Listening Session summary.</w:t>
      </w:r>
    </w:p>
    <w:p w14:paraId="113D6981" w14:textId="77777777" w:rsidR="003D2BAA" w:rsidRDefault="00125EE9">
      <w:pPr>
        <w:spacing w:after="100" w:line="300" w:lineRule="auto"/>
      </w:pPr>
      <w:r>
        <w:t>6. ClinicalTrials.gov NCT05756322, LBS-007 Phase I/II study.</w:t>
      </w:r>
    </w:p>
    <w:p w14:paraId="7C052F82" w14:textId="77777777" w:rsidR="003D2BAA" w:rsidRDefault="00125EE9">
      <w:pPr>
        <w:spacing w:after="100" w:line="300" w:lineRule="auto"/>
      </w:pPr>
      <w:r>
        <w:t>7. Lin BioScience official website and public company announcements.</w:t>
      </w:r>
    </w:p>
    <w:p w14:paraId="6DFC9086" w14:textId="77777777" w:rsidR="003D2BAA" w:rsidRDefault="00125EE9">
      <w:pPr>
        <w:spacing w:after="100" w:line="300" w:lineRule="auto"/>
        <w:rPr>
          <w:lang w:eastAsia="zh-TW"/>
        </w:rPr>
      </w:pPr>
      <w:r>
        <w:rPr>
          <w:lang w:eastAsia="zh-TW"/>
        </w:rPr>
        <w:t>本報告為市場研究與學術討論用途，情境機率、股價中樞與長期目標價均屬研究模型，不代表公司財測或主管機關決定。</w:t>
      </w:r>
    </w:p>
    <w:sectPr w:rsidR="003D2BAA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A33A7" w14:textId="77777777" w:rsidR="00125EE9" w:rsidRDefault="00125EE9">
      <w:pPr>
        <w:spacing w:after="0" w:line="240" w:lineRule="auto"/>
      </w:pPr>
      <w:r>
        <w:separator/>
      </w:r>
    </w:p>
  </w:endnote>
  <w:endnote w:type="continuationSeparator" w:id="0">
    <w:p w14:paraId="4EBD7380" w14:textId="77777777" w:rsidR="00125EE9" w:rsidRDefault="00125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11A8" w14:textId="77777777" w:rsidR="003D2BAA" w:rsidRDefault="00125EE9">
    <w:pPr>
      <w:pStyle w:val="a7"/>
      <w:jc w:val="center"/>
      <w:rPr>
        <w:lang w:eastAsia="zh-TW"/>
      </w:rPr>
    </w:pPr>
    <w:r>
      <w:rPr>
        <w:sz w:val="16"/>
        <w:lang w:eastAsia="zh-TW"/>
      </w:rPr>
      <w:t>仁新醫藥市場研究｜</w:t>
    </w:r>
    <w:r>
      <w:rPr>
        <w:sz w:val="16"/>
        <w:lang w:eastAsia="zh-TW"/>
      </w:rPr>
      <w:t>2026</w:t>
    </w:r>
    <w:r>
      <w:rPr>
        <w:sz w:val="16"/>
        <w:lang w:eastAsia="zh-TW"/>
      </w:rPr>
      <w:t>年</w:t>
    </w:r>
    <w:r>
      <w:rPr>
        <w:sz w:val="16"/>
        <w:lang w:eastAsia="zh-TW"/>
      </w:rPr>
      <w:t>7</w:t>
    </w:r>
    <w:r>
      <w:rPr>
        <w:sz w:val="16"/>
        <w:lang w:eastAsia="zh-TW"/>
      </w:rPr>
      <w:t>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CF1EE" w14:textId="77777777" w:rsidR="00125EE9" w:rsidRDefault="00125EE9">
      <w:pPr>
        <w:spacing w:after="0" w:line="240" w:lineRule="auto"/>
      </w:pPr>
      <w:r>
        <w:separator/>
      </w:r>
    </w:p>
  </w:footnote>
  <w:footnote w:type="continuationSeparator" w:id="0">
    <w:p w14:paraId="3160B85A" w14:textId="77777777" w:rsidR="00125EE9" w:rsidRDefault="00125E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016469">
    <w:abstractNumId w:val="8"/>
  </w:num>
  <w:num w:numId="2" w16cid:durableId="489103960">
    <w:abstractNumId w:val="6"/>
  </w:num>
  <w:num w:numId="3" w16cid:durableId="1190410752">
    <w:abstractNumId w:val="5"/>
  </w:num>
  <w:num w:numId="4" w16cid:durableId="2029405634">
    <w:abstractNumId w:val="4"/>
  </w:num>
  <w:num w:numId="5" w16cid:durableId="1571307317">
    <w:abstractNumId w:val="7"/>
  </w:num>
  <w:num w:numId="6" w16cid:durableId="2045597465">
    <w:abstractNumId w:val="3"/>
  </w:num>
  <w:num w:numId="7" w16cid:durableId="1380544654">
    <w:abstractNumId w:val="2"/>
  </w:num>
  <w:num w:numId="8" w16cid:durableId="1665741463">
    <w:abstractNumId w:val="1"/>
  </w:num>
  <w:num w:numId="9" w16cid:durableId="2021003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EE9"/>
    <w:rsid w:val="0015074B"/>
    <w:rsid w:val="0029639D"/>
    <w:rsid w:val="00326F90"/>
    <w:rsid w:val="003C11BB"/>
    <w:rsid w:val="003D2BAA"/>
    <w:rsid w:val="00766FCB"/>
    <w:rsid w:val="00A529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980113-841C-496B-A006-7F8758E55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3088</Words>
  <Characters>5158</Characters>
  <Application>Microsoft Office Word</Application>
  <DocSecurity>0</DocSecurity>
  <Lines>198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昇倫 李</cp:lastModifiedBy>
  <cp:revision>3</cp:revision>
  <dcterms:created xsi:type="dcterms:W3CDTF">2013-12-23T23:15:00Z</dcterms:created>
  <dcterms:modified xsi:type="dcterms:W3CDTF">2026-07-12T14:29:00Z</dcterms:modified>
  <cp:category/>
</cp:coreProperties>
</file>